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36" w:lineRule="exact" w:before="0" w:after="210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14 (2022) 100176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404"/>
        </w:trPr>
        <w:tc>
          <w:tcPr>
            <w:tcW w:type="dxa" w:w="1450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49" cy="8305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49" cy="8305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42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2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0"/>
            <w:vMerge w:val="restart"/>
            <w:tcBorders>
              <w:top w:sz="2.3919999599456787" w:val="single" w:color="#000000"/>
              <w:end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50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74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348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2" w:after="0"/>
              <w:ind w:left="0" w:right="0" w:firstLine="0"/>
              <w:jc w:val="center"/>
            </w:pP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u" w:hAnsi="u" w:eastAsia="u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u" w:hAnsi="u" w:eastAsia="u"/>
                <w:b w:val="0"/>
                <w:i w:val="0"/>
                <w:color w:val="007FAC"/>
                <w:sz w:val="16"/>
              </w:rPr>
              <w:hyperlink r:id="rId11" w:history="1">
                <w:r>
                  <w:rPr>
                    <w:rStyle w:val="Hyperlink"/>
                  </w:rPr>
                  <w:t>www.elsevier.com/locate/array</w:t>
                </w:r>
              </w:hyperlink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144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44" w:lineRule="exact" w:before="648" w:after="0"/>
        <w:ind w:left="6" w:right="2016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Industrial digitalization in the industry 4.0 era: Classification, reuse and 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authoring of digital models on Digital Twin platforms</w:t>
      </w:r>
    </w:p>
    <w:p>
      <w:pPr>
        <w:autoSpaceDN w:val="0"/>
        <w:autoSpaceDE w:val="0"/>
        <w:widowControl/>
        <w:spacing w:line="258" w:lineRule="exact" w:before="122" w:after="0"/>
        <w:ind w:left="6" w:right="1584" w:firstLine="0"/>
        <w:jc w:val="left"/>
      </w:pPr>
      <w:r>
        <w:rPr>
          <w:rFonts w:ascii="CharisSIL" w:hAnsi="CharisSIL" w:eastAsia="CharisSIL"/>
          <w:b w:val="0"/>
          <w:i w:val="0"/>
          <w:color w:val="007FAC"/>
          <w:sz w:val="21"/>
        </w:rPr>
        <w:t>Valentina Zambrano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STIXMath" w:hAnsi="STIXMath" w:eastAsia="STIXMath"/>
          <w:b w:val="0"/>
          <w:i w:val="0"/>
          <w:color w:val="007FAC"/>
          <w:sz w:val="15"/>
        </w:rPr>
        <w:t>∗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Johannes Mueller-Roemer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Michael Sandberg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c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Prasad Talasila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c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 xml:space="preserve">, 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>Davide Zanin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d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Peter Gorm Larsen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c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Elke Loeschner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e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Wolfgang Thronicke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e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Dario Pietraroia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f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 xml:space="preserve">, 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>Giuseppe Landolfi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d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Alessandro Fontana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d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Manuel Laspalas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Jibinraj Antony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g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Valerie Poser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g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 xml:space="preserve">, 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>Tamas Kiss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h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Simon Bergweiler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g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Sebastian Pena Serna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i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Salvador Izquierdo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Ismael Viejo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 xml:space="preserve">, 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>Asier Juan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Francisco Serrano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21"/>
        </w:rPr>
        <w:t xml:space="preserve"> André Stork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b</w:t>
      </w:r>
    </w:p>
    <w:p>
      <w:pPr>
        <w:autoSpaceDN w:val="0"/>
        <w:autoSpaceDE w:val="0"/>
        <w:widowControl/>
        <w:spacing w:line="172" w:lineRule="exact" w:before="104" w:after="52"/>
        <w:ind w:left="6" w:right="3312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9"/>
        </w:rPr>
        <w:t>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Instituto Tecnológico de Aragón – ITAINNOVA, C/ María de Luna 7-8, 50018 Zaragoza, Spain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b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Fraunhofer Institute for Computer Graphics Research IGD, Fraunhoferstraße 5, 64283 Darmstadt, Germany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c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Aarhus University, Nordre Ringgade 1, 8000 Aarhus, Denmark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Scuola Universitaria Professionale della Svizzera Italiana – SUPSI, Via Pobiette 11, 6928 Manno, Switzerland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Atos Information Technology GmbH, Otto-Hahn-Ring 6, 81739 Munich, Germany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Technology Transfer System – TTS, Via Francesco d’Ovidio 3, 20131 Milano, Italy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g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Deutsches Forschungszentrum Für Künstliche Intelligenz – DFKI GmbH, Trippstadter Str. 122, 67663 Kaiserslautern, Germany </w:t>
      </w:r>
      <w:r>
        <w:rPr>
          <w:rFonts w:ascii="CharisSIL" w:hAnsi="CharisSIL" w:eastAsia="CharisSIL"/>
          <w:b w:val="0"/>
          <w:i w:val="0"/>
          <w:color w:val="000000"/>
          <w:sz w:val="9"/>
        </w:rPr>
        <w:t>h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University of Westminster, Centre for Parallel Computing, New Cavendish Street, W1W 6UW London, United Kingdom </w:t>
      </w:r>
      <w:r>
        <w:rPr>
          <w:rFonts w:ascii="CharisSIL" w:hAnsi="CharisSIL" w:eastAsia="CharisSIL"/>
          <w:b w:val="0"/>
          <w:i w:val="0"/>
          <w:color w:val="000000"/>
          <w:sz w:val="9"/>
        </w:rPr>
        <w:t>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Clesgo GmbH, Seyfferstraße 34, 70197 Stuttgart, Germany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652"/>
        </w:trPr>
        <w:tc>
          <w:tcPr>
            <w:tcW w:type="dxa" w:w="11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212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14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212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2426"/>
        </w:trPr>
        <w:tc>
          <w:tcPr>
            <w:tcW w:type="dxa" w:w="267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129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Digital Twin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Cyber–Physical System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Industry 4.0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Reusable models</w:t>
            </w:r>
          </w:p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" w:after="0"/>
              <w:ind w:left="620" w:right="30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Digital Twins (DTs) are real-time digital models that allow for self-diagnosis, self-optimization and self-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configuration without the need for human input or intervention. While DTs are a central aspect of the ongoing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fourth industrial revolution (I4.0), this leap forward may be reserved for the established, large-cap companies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since the adoption of digital technologies among Small and Medium-size Enterprises (SMEs) is still modest. The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aim of the H2020 European Project "DIGITbrain" is to support a modular construction of DTs by reusing their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fundamental building blocks, i.e., the</w:t>
            </w:r>
            <w:r>
              <w:rPr>
                <w:w w:val="102.4728570665632"/>
                <w:rFonts w:ascii="CharisSIL" w:hAnsi="CharisSIL" w:eastAsia="CharisSIL"/>
                <w:b w:val="0"/>
                <w:i/>
                <w:color w:val="000000"/>
                <w:sz w:val="14"/>
              </w:rPr>
              <w:t xml:space="preserve"> 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that describe the behavior of the DT, their associated</w:t>
            </w:r>
            <w:r>
              <w:rPr>
                <w:w w:val="102.4728570665632"/>
                <w:rFonts w:ascii="CharisSIL" w:hAnsi="CharisSIL" w:eastAsia="CharisSIL"/>
                <w:b w:val="0"/>
                <w:i/>
                <w:color w:val="000000"/>
                <w:sz w:val="14"/>
              </w:rPr>
              <w:t xml:space="preserve"> Algorithms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 the</w:t>
            </w:r>
            <w:r>
              <w:rPr>
                <w:w w:val="102.4728570665632"/>
                <w:rFonts w:ascii="CharisSIL" w:hAnsi="CharisSIL" w:eastAsia="CharisSIL"/>
                <w:b w:val="0"/>
                <w:i/>
                <w:color w:val="000000"/>
                <w:sz w:val="14"/>
              </w:rPr>
              <w:t xml:space="preserve"> Data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 required for the evaluation. By offering these building blocks as a service via a DT Platform (a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Digital Twin Environment), the technical barriers among SMEs to adopt these technologies are lowered. This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paper describes how digital models can be classified, reused and authored on such DT Platforms. Through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experimental analyses of three industrial cases, the paper exemplifies how DTs are employed in relation to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product assembly of agricultural robots, polymer injection molding, as well as laser-cutting and sheet-metal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forming of aluminum.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6"/>
        <w:ind w:left="0" w:right="0"/>
      </w:pPr>
    </w:p>
    <w:p>
      <w:pPr>
        <w:sectPr>
          <w:pgSz w:w="11906" w:h="15874"/>
          <w:pgMar w:top="334" w:right="726" w:bottom="576" w:left="746" w:header="720" w:footer="720" w:gutter="0"/>
          <w:cols w:space="720" w:num="1" w:equalWidth="0"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1. Introduction</w:t>
      </w:r>
    </w:p>
    <w:p>
      <w:pPr>
        <w:autoSpaceDN w:val="0"/>
        <w:autoSpaceDE w:val="0"/>
        <w:widowControl/>
        <w:spacing w:line="228" w:lineRule="exact" w:before="318" w:after="0"/>
        <w:ind w:left="6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successful manufacturing company must be agile, innovative,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highly efficient. Not only do companies today face fierce competition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globalization, but product requirements constantly increase due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new legislation, regulations, and customer expectations. Therefore,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manufacturing companies already exploit digitalization techniques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successful in the competitive market. This is the basis of the ongoing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fourth industrial revolution (i.e., I4.0), which is already bringing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paradigm shift to manufacturing engineering.</w:t>
      </w:r>
    </w:p>
    <w:p>
      <w:pPr>
        <w:sectPr>
          <w:type w:val="continuous"/>
          <w:pgSz w:w="11906" w:h="15874"/>
          <w:pgMar w:top="334" w:right="726" w:bottom="576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60" w:after="386"/>
        <w:ind w:left="180" w:right="2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I4.0 builds on the foundation of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Internet of Things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(IoT) technology,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 sensors and software are embedded in devices (i.e., cyber–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physical systems) to exploit different aspects of computerization.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such, a central aspect of I4.0 is the deployment of the so-called Dig-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ital Twins (DTs)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that ultimately act as real-time digital 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allow for self-diagnosis, self-optimization and self-configuration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without the need for human input or intervention. There is, however,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that indicate that the leap forward offered by I4.0 might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reserved for the established, large-cap companies. For example,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Digital Transformation Scoreboard in EU signals that the adoption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digital technologies among SMEs and mid-caps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is below 10%, which</w:t>
      </w:r>
    </w:p>
    <w:p>
      <w:pPr>
        <w:sectPr>
          <w:type w:val="nextColumn"/>
          <w:pgSz w:w="11906" w:h="15874"/>
          <w:pgMar w:top="334" w:right="726" w:bottom="576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308" w:lineRule="exact" w:before="0" w:after="0"/>
        <w:ind w:left="142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4"/>
        </w:rPr>
        <w:t>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Corresponding au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3" w:history="1">
          <w:r>
            <w:rPr>
              <w:rStyle w:val="Hyperlink"/>
            </w:rPr>
            <w:t>thor.</w:t>
          </w:r>
        </w:hyperlink>
      </w:r>
    </w:p>
    <w:p>
      <w:pPr>
        <w:autoSpaceDN w:val="0"/>
        <w:autoSpaceDE w:val="0"/>
        <w:widowControl/>
        <w:spacing w:line="258" w:lineRule="exact" w:before="0" w:after="0"/>
        <w:ind w:left="304" w:right="0" w:firstLine="0"/>
        <w:jc w:val="left"/>
      </w:pP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 addresses: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3" w:history="1">
          <w:r>
            <w:rPr>
              <w:rStyle w:val="Hyperlink"/>
            </w:rPr>
            <w:t>vzambrano@itainnova.es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(V. Zambrano),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4" w:history="1">
          <w:r>
            <w:rPr>
              <w:rStyle w:val="Hyperlink"/>
            </w:rPr>
            <w:t>prasad.talasila@ece.au.dk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(P. Talasila).</w:t>
      </w:r>
    </w:p>
    <w:p>
      <w:pPr>
        <w:autoSpaceDN w:val="0"/>
        <w:autoSpaceDE w:val="0"/>
        <w:widowControl/>
        <w:spacing w:line="182" w:lineRule="exact" w:before="154" w:after="0"/>
        <w:ind w:left="4" w:right="720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9" w:history="1">
          <w:r>
            <w:rPr>
              <w:rStyle w:val="Hyperlink"/>
            </w:rPr>
            <w:t xml:space="preserve">https://doi.org/10.1016/j.array.2022.100176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 25 April 2022; Accepted 25 April 2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022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Available online 10 May 2022</w:t>
      </w:r>
    </w:p>
    <w:p>
      <w:pPr>
        <w:autoSpaceDN w:val="0"/>
        <w:autoSpaceDE w:val="0"/>
        <w:widowControl/>
        <w:spacing w:line="236" w:lineRule="exact" w:before="0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2590-0056/© 2022 The Authors. Published by Elsevier Inc. This is an open access article under the CC BY license (</w:t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5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726" w:bottom="576" w:left="746" w:header="720" w:footer="720" w:gutter="0"/>
          <w:cols w:space="720" w:num="1" w:equalWidth="0"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V. Zambrano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100176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poses a significant barrier if I4.0 technologies are to be adopted across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entire manufacturing sector.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DTs are becoming increasingly prominent in the manufacturing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industry. DTs are capable of optimizing processes and products prior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their execution thanks to their ability of high-fidelity forecasting.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manufacturing industries, DTs can be virtual representations of differ-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ent systems, e.g., machinery, production lines, products, or any 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operation or service related to the manufacturing process. Therefore,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DTs can be introduced at any time in the manufacturing process, hence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their usefulness is not limited to pre-production planning and design,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where prediction and optimization of the product or production lines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apply, but they can also be used for maintenance, market analysis,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etc.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7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One way to allow SMEs and mid-caps access to I4.0 technologies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offer the services via a platform, which is sometimes referred to as a </w:t>
      </w:r>
      <w:r>
        <w:rPr>
          <w:rFonts w:ascii="CharisSIL" w:hAnsi="CharisSIL" w:eastAsia="CharisSIL"/>
          <w:b w:val="0"/>
          <w:i/>
          <w:color w:val="000000"/>
          <w:sz w:val="16"/>
        </w:rPr>
        <w:t>Digital Twin Environment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Not only does this lower the investment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infrastructure requirements of companies, but it also gives non-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technical staff access to key technologies with only limited training.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Digital Twin Environment can utilize collected data to let 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algorithms remotely steer and optimize products and processes ac-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cording to the operating conditions. As such, manufacturing companies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 now outsource both expertise and parts of the supply chain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service providers, which is referred to as Manufacturing as a Service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(MaaS)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provide a MaaS platform, several building blocks are needed,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many of which have already been explored, among others, in previously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funded European H2020 projects. A non-exhaustive list of these EU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projects includes: digital services marketplaces for manufacturing 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panies (CloudiFacturing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MANUSQUARE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]); deployments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smart applications in open-source IoT platforms (FIWARE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]); cloud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orchestration engines (COLA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]); as well as basic research into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cyber–physical systems (INTO-CPS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]) and simulation and forecast-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 technologies (MAYA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]). The natural step from present state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art is to develop a complete set of solutions that further extends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concept of DTs and enable manufacturing companies to tap into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full potential of I4.0. This is the goal of the European H2020 project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DIGITbrain and this paper presents the project’s novel approach how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for Digital Twins can be made reusable based on the DIGITbrain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technology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order to provide a digital integrated platform, both software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hardware components need to be considered. However, one of the core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technologies of the DIGITbrain project is the device-agnostic software-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verification mechanism by the implementation of a lightweight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cryptographic library. This paper strictly focuses on Models, as a sepa-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rate and reusable asset in DIGITbrain.</w:t>
      </w:r>
    </w:p>
    <w:p>
      <w:pPr>
        <w:autoSpaceDN w:val="0"/>
        <w:autoSpaceDE w:val="0"/>
        <w:widowControl/>
        <w:spacing w:line="208" w:lineRule="exact" w:before="7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This paper is organized as follows: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provides background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 the paper by reviewing related work;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identifies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reviews a classification of models that may be used on MaaS platforms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evaluation, including the behavior of models, organization,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interaction of coupled models, embedded models, and stateful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stateless models;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presents the proposed model characteri-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zation and metadata structure within DIGITbrain;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explains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 models can be authored;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lists some of the most relevant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results obtained during the first year of DIGITbrain Project leading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enhanced model reusability; and finally,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concludes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findings of the paper.</w:t>
      </w:r>
    </w:p>
    <w:p>
      <w:pPr>
        <w:autoSpaceDN w:val="0"/>
        <w:autoSpaceDE w:val="0"/>
        <w:widowControl/>
        <w:spacing w:line="288" w:lineRule="exact" w:before="12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2. Background and related work</w:t>
      </w:r>
    </w:p>
    <w:p>
      <w:pPr>
        <w:autoSpaceDN w:val="0"/>
        <w:autoSpaceDE w:val="0"/>
        <w:widowControl/>
        <w:spacing w:line="210" w:lineRule="exact" w:before="20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use of DTs dates more than 50 years back to the Apollo 13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program, where NASA had designed physical simulators to mirror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conditions that astronauts would experience in the spacecraft during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spaceflight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While no formal, generic definition followed its ini-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tial introduction, the consensus now characterizes a DT as a digital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with near real-time, bidirectional communication to the physical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Accordingly, models with one-way communication are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V. Zambrano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100176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68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time-consuming process. Each DT is typically constructed individually,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without reusing previous results and existing building blocks. The work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described in this paper is the first step to overcome this obstacle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categorizing and describing models with a rich set of metadata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enable their reusability when building DTs.</w:t>
      </w:r>
    </w:p>
    <w:p>
      <w:pPr>
        <w:autoSpaceDN w:val="0"/>
        <w:autoSpaceDE w:val="0"/>
        <w:widowControl/>
        <w:spacing w:line="288" w:lineRule="exact" w:before="294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3. Types of models</w:t>
      </w:r>
    </w:p>
    <w:p>
      <w:pPr>
        <w:autoSpaceDN w:val="0"/>
        <w:autoSpaceDE w:val="0"/>
        <w:widowControl/>
        <w:spacing w:line="220" w:lineRule="exact" w:before="302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DIGITbrain Project includes and supports several kinds of mod-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els. A model in DIGITbrain is an asset that contains the knowledge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related to a specific industrial product instance (i.e., a concrete man-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ufacturing machine or production line), which can hence describe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forecast the behavior of such an instance when specific operating 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ditions are given (n.b., the process of forecasting a system’s behavior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according to specific operating conditions is also known as model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evaluation). In this section, we detail the different model types.</w:t>
      </w:r>
    </w:p>
    <w:p>
      <w:pPr>
        <w:autoSpaceDN w:val="0"/>
        <w:autoSpaceDE w:val="0"/>
        <w:widowControl/>
        <w:spacing w:line="286" w:lineRule="exact" w:before="29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3.1. Co-simulation models</w:t>
      </w:r>
    </w:p>
    <w:p>
      <w:pPr>
        <w:autoSpaceDN w:val="0"/>
        <w:autoSpaceDE w:val="0"/>
        <w:widowControl/>
        <w:spacing w:line="220" w:lineRule="exact" w:before="30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related to Cyber–Physical Systems (CPSs) are often difficult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develop, due to the large variety of sub-systems (e.g., networks,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control algorithms, mechanical components, electrical circuits, sen-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sors) and components with different formalisms. Since sub-systems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components can be reused in different scenarios and applications, it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becomes very helpful to be able to model them separately, instead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creating a single monolithic model that includes all of them. For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purpose, co-simulation is a very useful approach for coupling together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different parts of a whole system.</w:t>
      </w:r>
    </w:p>
    <w:p>
      <w:pPr>
        <w:autoSpaceDN w:val="0"/>
        <w:autoSpaceDE w:val="0"/>
        <w:widowControl/>
        <w:spacing w:line="220" w:lineRule="exact" w:before="6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sub-systems and components are created by model developers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exported as co-simulation units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In order to perform co-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simulation of a complete system, these co-simulation units need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standard way of interacting with each other. Since manufacturing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systems are typically produced by a combination of heterogeneous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components, these components are usually supplied by several legal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entities; hence protection of the intellectual property for the underlying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 is needed.</w:t>
      </w:r>
    </w:p>
    <w:p>
      <w:pPr>
        <w:autoSpaceDN w:val="0"/>
        <w:autoSpaceDE w:val="0"/>
        <w:widowControl/>
        <w:spacing w:line="220" w:lineRule="exact" w:before="6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Functional Mockup Interface (FMI)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is a widely used so-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lution for the above described problem where the orchestration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combining differing simulation units is made by independent orchestra-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 engines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FMI is a cross-platform and open-source standard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exchange models and perform co-simulation. Components that conform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the FMI standard are called Functional Mockup Units (FMUs). 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FMU is distributed as an archive with the file extension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.fmu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An FMU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contains the following:</w:t>
      </w:r>
    </w:p>
    <w:p>
      <w:pPr>
        <w:autoSpaceDN w:val="0"/>
        <w:tabs>
          <w:tab w:pos="398" w:val="left"/>
        </w:tabs>
        <w:autoSpaceDE w:val="0"/>
        <w:widowControl/>
        <w:spacing w:line="216" w:lineRule="exact" w:before="142" w:after="0"/>
        <w:ind w:left="270" w:right="0" w:firstLine="0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 XML-file with metadata, definitions of all the variables inside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FMU, and desired outputs</w:t>
      </w:r>
      <w:r>
        <w:br/>
      </w: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implementation in source and/or binary form, specifically:</w:t>
      </w:r>
    </w:p>
    <w:p>
      <w:pPr>
        <w:autoSpaceDN w:val="0"/>
        <w:tabs>
          <w:tab w:pos="796" w:val="left"/>
        </w:tabs>
        <w:autoSpaceDE w:val="0"/>
        <w:widowControl/>
        <w:spacing w:line="218" w:lineRule="exact" w:before="118" w:after="0"/>
        <w:ind w:left="638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binaries: this directory contains the executable files of the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FMU and can also contain shared library executable code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 different OS (Operating System) platforms</w:t>
      </w:r>
      <w:r>
        <w:br/>
      </w:r>
      <w:r>
        <w:rPr>
          <w:rFonts w:ascii="CharisSIL" w:hAnsi="CharisSIL" w:eastAsia="CharisSIL"/>
          <w:b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resources (optional): the contents of this directory can be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 by the FMU during execution time</w:t>
      </w:r>
      <w:r>
        <w:br/>
      </w:r>
      <w:r>
        <w:rPr>
          <w:rFonts w:ascii="CharisSIL" w:hAnsi="CharisSIL" w:eastAsia="CharisSIL"/>
          <w:b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sources (optional): the source code of the FMU, compiled to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produce the shared libraries placed in the binaries directory</w:t>
      </w:r>
    </w:p>
    <w:p>
      <w:pPr>
        <w:autoSpaceDN w:val="0"/>
        <w:autoSpaceDE w:val="0"/>
        <w:widowControl/>
        <w:spacing w:line="288" w:lineRule="exact" w:before="48" w:after="0"/>
        <w:ind w:left="270" w:right="0" w:firstLine="0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additional Data, such as documentation</w:t>
      </w:r>
    </w:p>
    <w:p>
      <w:pPr>
        <w:autoSpaceDN w:val="0"/>
        <w:autoSpaceDE w:val="0"/>
        <w:widowControl/>
        <w:spacing w:line="222" w:lineRule="exact" w:before="142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It is important to remark that the model itself inside the FMU may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distributed as binary and hence can be exchanged as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black boxes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also beneficial to protect the intellectual property of the source code.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V. Zambrano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100176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78730" cy="2730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273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8" w:after="182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1.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Example of a SoS characterization from an LCA perspective.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where M is the ROM’s approximation order, so that the first addend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corresponds to a first approximation of the system, while following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terms are corrections to it, being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𝛼</w:t>
      </w:r>
      <w:r>
        <w:rPr>
          <w:rFonts w:ascii="STIXMath" w:hAnsi="STIXMath" w:eastAsia="STIXMath"/>
          <w:b w:val="0"/>
          <w:i/>
          <w:color w:val="000000"/>
          <w:sz w:val="12"/>
        </w:rPr>
        <w:t>𝑚</w:t>
      </w:r>
      <w:r>
        <w:rPr>
          <w:rFonts w:ascii="STIXMath" w:hAnsi="STIXMath" w:eastAsia="STIXMath"/>
          <w:b w:val="0"/>
          <w:i/>
          <w:color w:val="000000"/>
          <w:sz w:val="16"/>
        </w:rPr>
        <w:t>, 𝑚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 1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…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, 𝑀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weighting coefficients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 generally decreasing values.</w:t>
      </w:r>
    </w:p>
    <w:p>
      <w:pPr>
        <w:autoSpaceDN w:val="0"/>
        <w:autoSpaceDE w:val="0"/>
        <w:widowControl/>
        <w:spacing w:line="210" w:lineRule="exact" w:before="82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CAELIA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>TM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ROMs, for instance, can be easily obtained from input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 files such as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.txt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or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.csv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that typically include data points where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both inputs and output values are provided, similarly to supervised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 algorithms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These ROM models can be easily embedded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managed by virtually any kind of environment, e.g., desktop applica-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tions or web interfaces, where users can provide keyboard inputs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navigate to obtain real-time results. The computed ROM model file 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 straightforwardly embedded in different platforms as a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.txt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file 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includes all the necessary information and parameters to compute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system’s response in real-time.</w:t>
      </w:r>
    </w:p>
    <w:p>
      <w:pPr>
        <w:autoSpaceDN w:val="0"/>
        <w:autoSpaceDE w:val="0"/>
        <w:widowControl/>
        <w:spacing w:line="288" w:lineRule="exact" w:before="134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3.4. System of Systems models</w:t>
      </w:r>
    </w:p>
    <w:p>
      <w:pPr>
        <w:autoSpaceDN w:val="0"/>
        <w:autoSpaceDE w:val="0"/>
        <w:widowControl/>
        <w:spacing w:line="210" w:lineRule="exact" w:before="21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System of Systems (SoS) models can be based on both structural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behavioral models. One example of a SoS model, from a structural point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view, is the Life Cycle Assessment (LCA) tool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model applied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a manufacturing domain. LCA is a well-acknowledged methodology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analyzing the environmental impacts of manufacturing processes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along their entire life cycle. LCA assessment leverages on the use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well-founded background data that enable users to personalize their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operation information so to calculate the environmental indicators 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 impacts related to a specific process. This process is sup-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ported by the LCA Process Templates (PT) tool which creates process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characterization by formalizing the Life Cycle Inventory (LCI) descrip-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tion, where for each specific process inputs and outputs are identified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quantified. LCI considers resources (i.e., inputs) coming from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ecosphere (e.g., raw material, water) or from another technosphere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(e.g., ancillary material such as lubricating oil) and energy of various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types. LCI assesses emissions (i.e., outputs), such as waste, products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co-products. LCI data represent the variables belonging to the LCA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and are retrieved directly from the production line or collected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manually through IoT devices.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shows an example of LCA process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characterization. The figure shows how LCI output of a certain process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 become the input for another process in a SoS model.</w:t>
      </w:r>
    </w:p>
    <w:p>
      <w:pPr>
        <w:autoSpaceDN w:val="0"/>
        <w:autoSpaceDE w:val="0"/>
        <w:widowControl/>
        <w:spacing w:line="210" w:lineRule="exact" w:before="7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a LCA point of view, an output of a specific process (i.e.,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system) can be formalized as an input to another process. Since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process is considered the fundamental unit for the LCA evaluation,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 system might be represented by a production machine (as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V. Zambrano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100176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0" w:right="17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Distinguishing between stateful and stateless models is particularly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important for the correct evaluation of models. On the one hand, while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stateless models can be reconstructed at any time, stateful 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their evaluating algorithms must remain instantiated on a given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compute node. Alternatively, the algorithm must support serializing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its state and restoring it on a different machine. On the other hand,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keeping stateless models instantiated is not a requirement, although it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might be beneficial to avoid instantiation overhead. In this context,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it is important to consider the cost of on-demand instantiation of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with a given algorithm, as well as (de)serialization costs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stateful models. If the cost of on-demand instantiation is less than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benefit derived from continuous model evaluation, then on-demand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instantiation might be a better choice.</w:t>
      </w:r>
    </w:p>
    <w:p>
      <w:pPr>
        <w:autoSpaceDN w:val="0"/>
        <w:autoSpaceDE w:val="0"/>
        <w:widowControl/>
        <w:spacing w:line="286" w:lineRule="exact" w:before="13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4. Reusable models for DIGITbrain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55" w:type="dxa"/>
      </w:tblPr>
      <w:tblGrid>
        <w:gridCol w:w="3478"/>
        <w:gridCol w:w="3478"/>
        <w:gridCol w:w="3478"/>
      </w:tblGrid>
      <w:tr>
        <w:trPr>
          <w:trHeight w:hRule="exact" w:val="392"/>
        </w:trPr>
        <w:tc>
          <w:tcPr>
            <w:tcW w:type="dxa" w:w="5030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1584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Selection of model metadata related to model definition.</w:t>
            </w:r>
          </w:p>
        </w:tc>
      </w:tr>
      <w:tr>
        <w:trPr>
          <w:trHeight w:hRule="exact" w:val="238"/>
        </w:trPr>
        <w:tc>
          <w:tcPr>
            <w:tcW w:type="dxa" w:w="15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Key</w:t>
            </w:r>
          </w:p>
        </w:tc>
        <w:tc>
          <w:tcPr>
            <w:tcW w:type="dxa" w:w="8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Type</w:t>
            </w:r>
          </w:p>
        </w:tc>
        <w:tc>
          <w:tcPr>
            <w:tcW w:type="dxa" w:w="261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Description</w:t>
            </w:r>
          </w:p>
        </w:tc>
      </w:tr>
      <w:tr>
        <w:trPr>
          <w:trHeight w:hRule="exact" w:val="186"/>
        </w:trPr>
        <w:tc>
          <w:tcPr>
            <w:tcW w:type="dxa" w:w="159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94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ID</w:t>
            </w:r>
          </w:p>
        </w:tc>
        <w:tc>
          <w:tcPr>
            <w:tcW w:type="dxa" w:w="82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132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UUID</w:t>
            </w:r>
          </w:p>
        </w:tc>
        <w:tc>
          <w:tcPr>
            <w:tcW w:type="dxa" w:w="2618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SemVer ID of the model.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Name of the model.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 version.</w:t>
            </w:r>
          </w:p>
          <w:p>
            <w:pPr>
              <w:autoSpaceDN w:val="0"/>
              <w:autoSpaceDE w:val="0"/>
              <w:widowControl/>
              <w:spacing w:line="170" w:lineRule="exact" w:before="60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Licensing model chosen from a fixed set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 known licenses.</w:t>
            </w:r>
          </w:p>
        </w:tc>
      </w:tr>
      <w:tr>
        <w:trPr>
          <w:trHeight w:hRule="exact" w:val="180"/>
        </w:trPr>
        <w:tc>
          <w:tcPr>
            <w:tcW w:type="dxa" w:w="15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94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name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string</w:t>
            </w:r>
          </w:p>
        </w:tc>
        <w:tc>
          <w:tcPr>
            <w:tcW w:type="dxa" w:w="3478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160"/>
        </w:trPr>
        <w:tc>
          <w:tcPr>
            <w:tcW w:type="dxa" w:w="15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94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version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SemVer2</w:t>
            </w:r>
          </w:p>
        </w:tc>
        <w:tc>
          <w:tcPr>
            <w:tcW w:type="dxa" w:w="3478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380"/>
        </w:trPr>
        <w:tc>
          <w:tcPr>
            <w:tcW w:type="dxa" w:w="15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94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license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string</w:t>
            </w:r>
          </w:p>
        </w:tc>
        <w:tc>
          <w:tcPr>
            <w:tcW w:type="dxa" w:w="3478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15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94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provider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32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enum</w:t>
            </w:r>
          </w:p>
        </w:tc>
        <w:tc>
          <w:tcPr>
            <w:tcW w:type="dxa" w:w="26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2" w:right="32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Provider name: Institution or Person. 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(optional)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Dictionary with keys being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phone, email, address.</w:t>
            </w:r>
          </w:p>
        </w:tc>
      </w:tr>
      <w:tr>
        <w:trPr>
          <w:trHeight w:hRule="exact" w:val="360"/>
        </w:trPr>
        <w:tc>
          <w:tcPr>
            <w:tcW w:type="dxa" w:w="15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" w:after="0"/>
              <w:ind w:left="0" w:right="0" w:firstLine="0"/>
              <w:jc w:val="center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provider_contacts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" w:after="0"/>
              <w:ind w:left="132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obj</w:t>
            </w:r>
          </w:p>
        </w:tc>
        <w:tc>
          <w:tcPr>
            <w:tcW w:type="dxa" w:w="3478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5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94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AuthTool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132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obj</w:t>
            </w:r>
          </w:p>
        </w:tc>
        <w:tc>
          <w:tcPr>
            <w:tcW w:type="dxa" w:w="26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6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Authoring tool used to create the model.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type, e.g., ML, LCA, 3D FEM,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CFD, system simulation, discrete event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simulation, or co-simulation; any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that supports the given type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can be used to evaluate this model.</w:t>
            </w:r>
          </w:p>
        </w:tc>
      </w:tr>
      <w:tr>
        <w:trPr>
          <w:trHeight w:hRule="exact" w:val="864"/>
        </w:trPr>
        <w:tc>
          <w:tcPr>
            <w:tcW w:type="dxa" w:w="15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94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type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32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enum</w:t>
            </w:r>
          </w:p>
        </w:tc>
        <w:tc>
          <w:tcPr>
            <w:tcW w:type="dxa" w:w="347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2"/>
        <w:ind w:left="0" w:right="0"/>
      </w:pP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8"/>
        <w:gridCol w:w="2608"/>
        <w:gridCol w:w="2608"/>
        <w:gridCol w:w="2608"/>
      </w:tblGrid>
      <w:tr>
        <w:trPr>
          <w:trHeight w:hRule="exact" w:val="380"/>
        </w:trPr>
        <w:tc>
          <w:tcPr>
            <w:tcW w:type="dxa" w:w="4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84" w:after="0"/>
              <w:ind w:left="0" w:right="0" w:firstLine="0"/>
              <w:jc w:val="left"/>
            </w:pP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4.1. Reuse in the DIGITbrain ecosystem</w:t>
            </w:r>
          </w:p>
        </w:tc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2" w:after="0"/>
              <w:ind w:left="0" w:right="490" w:firstLine="0"/>
              <w:jc w:val="righ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fidelity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2" w:after="0"/>
              <w:ind w:left="0" w:right="162" w:firstLine="0"/>
              <w:jc w:val="righ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number</w:t>
            </w:r>
          </w:p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172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(optional)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Error of the model’s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prediction.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2"/>
        <w:ind w:left="0" w:right="0"/>
      </w:pP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key to efficiently create DTs lies in the reuse of existing arti-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facts. The reuse of software artifacts is a well-established concept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software engineering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 DIGITbrain ecosystem enables reuse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decomposing DTs into their constituting parts, i.e., data, models, and 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gorithms. Metadata describing these assets and their physical locations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external repositories are stored in the Platform, enabling users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create DTs by composing the parts into a Data-Model-Algorithm (DMA)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tuple.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Focusing on models, the core problem is not the availability, but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identification, occasional adaptation, and composition of 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suitable data and algorithms to create DTs (i.e., DMA Tuples).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DIGITbrain a model classification has been developed to allow a model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developer creating a meta-description, which ensures discoverability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composability of models with algorithms by DT experts after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publication.</w:t>
      </w:r>
    </w:p>
    <w:p>
      <w:pPr>
        <w:autoSpaceDN w:val="0"/>
        <w:tabs>
          <w:tab w:pos="238" w:val="left"/>
        </w:tabs>
        <w:autoSpaceDE w:val="0"/>
        <w:widowControl/>
        <w:spacing w:line="208" w:lineRule="exact" w:before="80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major challenge tackled by DIGITbrain is to present the charac-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terization in such a way that the model user can conveniently find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right model for efficient reuse. The core service responsible for enabling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reuse is the DIGITbrain Asset Metadata Registry that stores a rich set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metadata about all DIGITbrain assets, including models. The actual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are only referenced from this Registry and stored in external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repositories (the project set up a sample model repository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demonstration purposes). The access service relies on the metadata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descriptions to provide filtering, search functionality and to assure 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selected model is fed into the chosen algorithm at execution time.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Within this context, the main classification characteristics proposed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DIGITbrain are the various aspects of the model, for example mod-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eling language, model inputs and outputs, and the structure and 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struction of the model. Moreover, further characteristics are taken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into account, related to the evaluation of the model by the selected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algorithm, such as its storage requirements during execution, and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 about the model’s fidelity in its range of validity.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For this purpose, generalized metadata description tables were cre-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ated (see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Tables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to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), to be filled with the selected characteristics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each model. The tables, represented as key–value pairs, are described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the following sections.</w:t>
      </w:r>
    </w:p>
    <w:p>
      <w:pPr>
        <w:autoSpaceDN w:val="0"/>
        <w:autoSpaceDE w:val="0"/>
        <w:widowControl/>
        <w:spacing w:line="288" w:lineRule="exact" w:before="13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4.2. Model metadata description</w:t>
      </w:r>
    </w:p>
    <w:p>
      <w:pPr>
        <w:autoSpaceDN w:val="0"/>
        <w:autoSpaceDE w:val="0"/>
        <w:widowControl/>
        <w:spacing w:line="210" w:lineRule="exact" w:before="20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process of publishing a model on the DIGITbrain Platform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requires providing all information needed for the model to be evaluated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a compatible algorithm. Once the model information has been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collected, it can be published on the DIGITbrain Platform, using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dedicated DIGITbrain publishing interface.</w:t>
      </w:r>
    </w:p>
    <w:p>
      <w:pPr>
        <w:autoSpaceDN w:val="0"/>
        <w:autoSpaceDE w:val="0"/>
        <w:widowControl/>
        <w:spacing w:line="210" w:lineRule="exact" w:before="7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mentioned earlier, in order to facilitate data collection 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different types of models, metadata specifications for models have been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defined as a common structure to be used within the DIGITbrain Plat-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 and are stored as key–value pairs in a relational database. Model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10"/>
        <w:gridCol w:w="2610"/>
        <w:gridCol w:w="2610"/>
        <w:gridCol w:w="2610"/>
      </w:tblGrid>
      <w:tr>
        <w:trPr>
          <w:trHeight w:hRule="exact" w:val="300"/>
        </w:trPr>
        <w:tc>
          <w:tcPr>
            <w:tcW w:type="dxa" w:w="16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V. Zambrano et al.</w:t>
            </w:r>
          </w:p>
        </w:tc>
        <w:tc>
          <w:tcPr>
            <w:tcW w:type="dxa" w:w="875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0" w:right="0" w:firstLine="0"/>
              <w:jc w:val="right"/>
            </w:pPr>
            <w:r>
              <w:rPr>
                <w:w w:val="98.09230657724234"/>
                <w:rFonts w:ascii="CharisSIL" w:hAnsi="CharisSIL" w:eastAsia="CharisSIL"/>
                <w:b w:val="0"/>
                <w:i/>
                <w:color w:val="000000"/>
                <w:sz w:val="13"/>
              </w:rPr>
              <w:t>Array 14 (2022) 100176</w:t>
            </w:r>
          </w:p>
        </w:tc>
      </w:tr>
      <w:tr>
        <w:trPr>
          <w:trHeight w:hRule="exact" w:val="476"/>
        </w:trPr>
        <w:tc>
          <w:tcPr>
            <w:tcW w:type="dxa" w:w="10410"/>
            <w:gridSpan w:val="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8" w:after="0"/>
              <w:ind w:left="4" w:right="6624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Selection of model metadata related to model parametrization.</w:t>
            </w:r>
          </w:p>
        </w:tc>
      </w:tr>
      <w:tr>
        <w:trPr>
          <w:trHeight w:hRule="exact" w:val="238"/>
        </w:trPr>
        <w:tc>
          <w:tcPr>
            <w:tcW w:type="dxa" w:w="165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Key</w:t>
            </w:r>
          </w:p>
        </w:tc>
        <w:tc>
          <w:tcPr>
            <w:tcW w:type="dxa" w:w="108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Type</w:t>
            </w:r>
          </w:p>
        </w:tc>
        <w:tc>
          <w:tcPr>
            <w:tcW w:type="dxa" w:w="7674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60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Description</w:t>
            </w:r>
          </w:p>
        </w:tc>
      </w:tr>
      <w:tr>
        <w:trPr>
          <w:trHeight w:hRule="exact" w:val="746"/>
        </w:trPr>
        <w:tc>
          <w:tcPr>
            <w:tcW w:type="dxa" w:w="165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94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in_slots</w:t>
            </w:r>
          </w:p>
        </w:tc>
        <w:tc>
          <w:tcPr>
            <w:tcW w:type="dxa" w:w="1478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array[object]</w:t>
            </w:r>
          </w:p>
        </w:tc>
        <w:tc>
          <w:tcPr>
            <w:tcW w:type="dxa" w:w="72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2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Input values and/or parameters for the model. The objects in this array contain input’s or parameter’s: unique key,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name, number of dimensions, units (i.e., a human-readable name, SI – International System of Units – exponents in 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[m, s, mol, A, K, cd, kg] format, a scale offset if needed and a scale’s order of magnitude), default value if available,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ranges (i.e., minima and maxima) and a description</w:t>
            </w:r>
          </w:p>
        </w:tc>
      </w:tr>
      <w:tr>
        <w:trPr>
          <w:trHeight w:hRule="exact" w:val="232"/>
        </w:trPr>
        <w:tc>
          <w:tcPr>
            <w:tcW w:type="dxa" w:w="16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4" w:after="0"/>
              <w:ind w:left="94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outputs</w:t>
            </w:r>
          </w:p>
        </w:tc>
        <w:tc>
          <w:tcPr>
            <w:tcW w:type="dxa" w:w="147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4" w:after="0"/>
              <w:ind w:left="0" w:right="0" w:firstLine="0"/>
              <w:jc w:val="center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array[object]</w:t>
            </w:r>
          </w:p>
        </w:tc>
        <w:tc>
          <w:tcPr>
            <w:tcW w:type="dxa" w:w="7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" w:after="0"/>
              <w:ind w:left="2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Model-specific outputs. Structured analogously to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 in_slots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.</w:t>
            </w:r>
          </w:p>
        </w:tc>
      </w:tr>
      <w:tr>
        <w:trPr>
          <w:trHeight w:hRule="exact" w:val="388"/>
        </w:trPr>
        <w:tc>
          <w:tcPr>
            <w:tcW w:type="dxa" w:w="165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" w:after="0"/>
              <w:ind w:left="94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cosim_solver_info</w:t>
            </w:r>
          </w:p>
        </w:tc>
        <w:tc>
          <w:tcPr>
            <w:tcW w:type="dxa" w:w="1478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object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 (optional)</w:t>
            </w:r>
          </w:p>
        </w:tc>
        <w:tc>
          <w:tcPr>
            <w:tcW w:type="dxa" w:w="728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2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Co-simulation models bundle binary solvers. Therefore, execution information such as operating system, CPU and GPU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architecture, etc. are required in that case (see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7FAC"/>
                <w:sz w:val="13"/>
              </w:rPr>
              <w:t xml:space="preserve"> Tables 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to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7FAC"/>
                <w:sz w:val="13"/>
              </w:rPr>
              <w:t xml:space="preserve"> 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).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4"/>
        <w:ind w:left="0" w:right="0"/>
      </w:pPr>
    </w:p>
    <w:p>
      <w:pPr>
        <w:sectPr>
          <w:pgSz w:w="11906" w:h="15874"/>
          <w:pgMar w:top="330" w:right="716" w:bottom="288" w:left="748" w:header="720" w:footer="720" w:gutter="0"/>
          <w:cols w:space="720" w:num="1" w:equalWidth="0"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81"/>
        <w:gridCol w:w="3481"/>
        <w:gridCol w:w="3481"/>
      </w:tblGrid>
      <w:tr>
        <w:trPr>
          <w:trHeight w:hRule="exact" w:val="392"/>
        </w:trPr>
        <w:tc>
          <w:tcPr>
            <w:tcW w:type="dxa" w:w="5030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1584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Selection of model metadata related to model publication.</w:t>
            </w:r>
          </w:p>
        </w:tc>
      </w:tr>
      <w:tr>
        <w:trPr>
          <w:trHeight w:hRule="exact" w:val="238"/>
        </w:trPr>
        <w:tc>
          <w:tcPr>
            <w:tcW w:type="dxa" w:w="12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Key</w:t>
            </w:r>
          </w:p>
        </w:tc>
        <w:tc>
          <w:tcPr>
            <w:tcW w:type="dxa" w:w="11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6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Type</w:t>
            </w:r>
          </w:p>
        </w:tc>
        <w:tc>
          <w:tcPr>
            <w:tcW w:type="dxa" w:w="25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Description</w:t>
            </w:r>
          </w:p>
        </w:tc>
      </w:tr>
      <w:tr>
        <w:trPr>
          <w:trHeight w:hRule="exact" w:val="752"/>
        </w:trPr>
        <w:tc>
          <w:tcPr>
            <w:tcW w:type="dxa" w:w="12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94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description</w:t>
            </w:r>
          </w:p>
        </w:tc>
        <w:tc>
          <w:tcPr>
            <w:tcW w:type="dxa" w:w="11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68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CommonMark</w:t>
            </w:r>
          </w:p>
        </w:tc>
        <w:tc>
          <w:tcPr>
            <w:tcW w:type="dxa" w:w="25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Human-readable description of the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model, e.g., version, scope (simulation,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control, etc.). Provided as CommonMark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Markdown for rendering as a web page.</w:t>
            </w:r>
          </w:p>
        </w:tc>
      </w:tr>
      <w:tr>
        <w:trPr>
          <w:trHeight w:hRule="exact" w:val="646"/>
        </w:trPr>
        <w:tc>
          <w:tcPr>
            <w:tcW w:type="dxa" w:w="5030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98" w:after="0"/>
              <w:ind w:left="4" w:right="1728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Cosim_solver_info Dependant FMUs metadata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 (optional)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.</w:t>
            </w:r>
          </w:p>
        </w:tc>
      </w:tr>
      <w:tr>
        <w:trPr>
          <w:trHeight w:hRule="exact" w:val="238"/>
        </w:trPr>
        <w:tc>
          <w:tcPr>
            <w:tcW w:type="dxa" w:w="12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Key</w:t>
            </w:r>
          </w:p>
        </w:tc>
        <w:tc>
          <w:tcPr>
            <w:tcW w:type="dxa" w:w="11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7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Type</w:t>
            </w:r>
          </w:p>
        </w:tc>
        <w:tc>
          <w:tcPr>
            <w:tcW w:type="dxa" w:w="25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2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Description</w:t>
            </w:r>
          </w:p>
        </w:tc>
      </w:tr>
      <w:tr>
        <w:trPr>
          <w:trHeight w:hRule="exact" w:val="238"/>
        </w:trPr>
        <w:tc>
          <w:tcPr>
            <w:tcW w:type="dxa" w:w="12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94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dependencies</w:t>
            </w:r>
          </w:p>
        </w:tc>
        <w:tc>
          <w:tcPr>
            <w:tcW w:type="dxa" w:w="11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276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array[URI]</w:t>
            </w:r>
          </w:p>
        </w:tc>
        <w:tc>
          <w:tcPr>
            <w:tcW w:type="dxa" w:w="25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2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Dependant FMUs for co-simulation.</w:t>
            </w:r>
          </w:p>
        </w:tc>
      </w:tr>
      <w:tr>
        <w:trPr>
          <w:trHeight w:hRule="exact" w:val="646"/>
        </w:trPr>
        <w:tc>
          <w:tcPr>
            <w:tcW w:type="dxa" w:w="5030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98" w:after="0"/>
              <w:ind w:left="4" w:right="1728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Cosim_solver_info OS requirements metadata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 (optional)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.</w:t>
            </w:r>
          </w:p>
        </w:tc>
      </w:tr>
      <w:tr>
        <w:trPr>
          <w:trHeight w:hRule="exact" w:val="238"/>
        </w:trPr>
        <w:tc>
          <w:tcPr>
            <w:tcW w:type="dxa" w:w="12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Key</w:t>
            </w:r>
          </w:p>
        </w:tc>
        <w:tc>
          <w:tcPr>
            <w:tcW w:type="dxa" w:w="11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50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Type</w:t>
            </w:r>
          </w:p>
        </w:tc>
        <w:tc>
          <w:tcPr>
            <w:tcW w:type="dxa" w:w="25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3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Description</w:t>
            </w:r>
          </w:p>
        </w:tc>
      </w:tr>
      <w:tr>
        <w:trPr>
          <w:trHeight w:hRule="exact" w:val="194"/>
        </w:trPr>
        <w:tc>
          <w:tcPr>
            <w:tcW w:type="dxa" w:w="129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94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osArch</w:t>
            </w:r>
          </w:p>
        </w:tc>
        <w:tc>
          <w:tcPr>
            <w:tcW w:type="dxa" w:w="11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enum</w:t>
            </w:r>
          </w:p>
        </w:tc>
        <w:tc>
          <w:tcPr>
            <w:tcW w:type="dxa" w:w="257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23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OS architecture type (e.g., x86_64).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OS type (e.g., Windows, Linux).</w:t>
            </w:r>
          </w:p>
          <w:p>
            <w:pPr>
              <w:autoSpaceDN w:val="0"/>
              <w:autoSpaceDE w:val="0"/>
              <w:widowControl/>
              <w:spacing w:line="172" w:lineRule="exact" w:before="58" w:after="0"/>
              <w:ind w:left="23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OS distribution (e.g., Ubuntu, Fedora).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Version of the OS.</w:t>
            </w:r>
          </w:p>
        </w:tc>
      </w:tr>
      <w:tr>
        <w:trPr>
          <w:trHeight w:hRule="exact" w:val="178"/>
        </w:trPr>
        <w:tc>
          <w:tcPr>
            <w:tcW w:type="dxa" w:w="12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94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osType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enum</w:t>
            </w:r>
          </w:p>
        </w:tc>
        <w:tc>
          <w:tcPr>
            <w:tcW w:type="dxa" w:w="3481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</w:tr>
      <w:tr>
        <w:trPr>
          <w:trHeight w:hRule="exact" w:val="162"/>
        </w:trPr>
        <w:tc>
          <w:tcPr>
            <w:tcW w:type="dxa" w:w="12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osDistribution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enum</w:t>
            </w:r>
          </w:p>
        </w:tc>
        <w:tc>
          <w:tcPr>
            <w:tcW w:type="dxa" w:w="3481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</w:tr>
      <w:tr>
        <w:trPr>
          <w:trHeight w:hRule="exact" w:val="218"/>
        </w:trPr>
        <w:tc>
          <w:tcPr>
            <w:tcW w:type="dxa" w:w="129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94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osVersion</w:t>
            </w:r>
          </w:p>
        </w:tc>
        <w:tc>
          <w:tcPr>
            <w:tcW w:type="dxa" w:w="11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210" w:firstLine="0"/>
              <w:jc w:val="righ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SemVer2</w:t>
            </w:r>
          </w:p>
        </w:tc>
        <w:tc>
          <w:tcPr>
            <w:tcW w:type="dxa" w:w="3481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10" w:lineRule="exact" w:before="522" w:after="0"/>
        <w:ind w:left="4" w:right="76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into executable DMA Tuples becomes possible at run-time. Obviously,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compatibility of the combined assets still needs to be checked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assured, either by the human composer (as in the current version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DIGITbrain Platform) or via an ontology-based automated approach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(which may be considered for the future). However, from the pub-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lished metadata the DIGITbrain Platform is capable of generating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executable ‘‘artifact’’ automatically by combining the model with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 that evaluates it and the data that is required as input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calculation, without further human intervention.</w:t>
      </w:r>
    </w:p>
    <w:p>
      <w:pPr>
        <w:autoSpaceDN w:val="0"/>
        <w:autoSpaceDE w:val="0"/>
        <w:widowControl/>
        <w:spacing w:line="210" w:lineRule="exact" w:before="76" w:after="0"/>
        <w:ind w:left="4" w:right="7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Please note that while the above-mentioned composition and auto-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matic code generation are important and interesting topics, these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out of the scope of this paper as we only concentrate on models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 reusability.</w:t>
      </w:r>
    </w:p>
    <w:p>
      <w:pPr>
        <w:autoSpaceDN w:val="0"/>
        <w:autoSpaceDE w:val="0"/>
        <w:widowControl/>
        <w:spacing w:line="288" w:lineRule="exact" w:before="134" w:after="0"/>
        <w:ind w:left="4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5. Authoring of DIGITbrain models</w:t>
      </w:r>
    </w:p>
    <w:p>
      <w:pPr>
        <w:autoSpaceDN w:val="0"/>
        <w:autoSpaceDE w:val="0"/>
        <w:widowControl/>
        <w:spacing w:line="210" w:lineRule="exact" w:before="212" w:after="0"/>
        <w:ind w:left="4" w:right="7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There are several authoring tools for generating, importing, man-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aging, evaluating, and exporting various models. In this section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authoring tools related to DIGITbrain models detailed 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3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described. Please note that such authoring tools are outside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DIGITbrain Platform. With such decision DIGITbrain does not limit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choice of authoring tools that can be used to generate models.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Any authoring tool can be applied, and the generated models 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registered in a uniform way with the Platform, as described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As a consequence, the authoring tools detailed in this section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examples only. Other authoring tools can also be used freely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relation to the DIGITbrain approach.</w:t>
      </w:r>
    </w:p>
    <w:p>
      <w:pPr>
        <w:autoSpaceDN w:val="0"/>
        <w:autoSpaceDE w:val="0"/>
        <w:widowControl/>
        <w:spacing w:line="286" w:lineRule="exact" w:before="136" w:after="0"/>
        <w:ind w:left="4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5.1. Authoring tools for co-simulation models</w:t>
      </w:r>
    </w:p>
    <w:p>
      <w:pPr>
        <w:autoSpaceDN w:val="0"/>
        <w:autoSpaceDE w:val="0"/>
        <w:widowControl/>
        <w:spacing w:line="210" w:lineRule="exact" w:before="212" w:after="0"/>
        <w:ind w:left="4" w:right="7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Many modeling and simulation tools are used to author functional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mockup unit (FMUs) – co-simulation units – conforming to the func-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tional mockup interface (FMI) standard; over 100 of these authoring</w:t>
      </w:r>
    </w:p>
    <w:p>
      <w:pPr>
        <w:sectPr>
          <w:type w:val="continuous"/>
          <w:pgSz w:w="11906" w:h="15874"/>
          <w:pgMar w:top="330" w:right="716" w:bottom="288" w:left="748" w:header="720" w:footer="720" w:gutter="0"/>
          <w:cols w:space="720" w:num="2" w:equalWidth="0"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0" w:right="716" w:bottom="288" w:left="748" w:header="720" w:footer="720" w:gutter="0"/>
          <w:cols w:space="720" w:num="2" w:equalWidth="0"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8"/>
        <w:gridCol w:w="3478"/>
        <w:gridCol w:w="3478"/>
      </w:tblGrid>
      <w:tr>
        <w:trPr>
          <w:trHeight w:hRule="exact" w:val="300"/>
        </w:trPr>
        <w:tc>
          <w:tcPr>
            <w:tcW w:type="dxa" w:w="47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V. Zambrano et al.</w:t>
            </w:r>
          </w:p>
        </w:tc>
        <w:tc>
          <w:tcPr>
            <w:tcW w:type="dxa" w:w="134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34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0" w:right="0" w:firstLine="0"/>
              <w:jc w:val="right"/>
            </w:pPr>
            <w:r>
              <w:rPr>
                <w:w w:val="98.09230657724234"/>
                <w:rFonts w:ascii="CharisSIL" w:hAnsi="CharisSIL" w:eastAsia="CharisSIL"/>
                <w:b w:val="0"/>
                <w:i/>
                <w:color w:val="000000"/>
                <w:sz w:val="13"/>
              </w:rPr>
              <w:t>Array 14 (2022) 100176</w:t>
            </w:r>
          </w:p>
        </w:tc>
      </w:tr>
      <w:tr>
        <w:trPr>
          <w:trHeight w:hRule="exact" w:val="478"/>
        </w:trPr>
        <w:tc>
          <w:tcPr>
            <w:tcW w:type="dxa" w:w="472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10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Cosim_solver_info Hardware requirements metadata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 (optional)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.</w:t>
            </w:r>
          </w:p>
        </w:tc>
        <w:tc>
          <w:tcPr>
            <w:tcW w:type="dxa" w:w="3478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3478"/>
            <w:vMerge/>
            <w:tcBorders>
              <w:bottom w:sz="3.184000015258789" w:val="single" w:color="#000000"/>
            </w:tcBorders>
          </w:tcPr>
          <w:p/>
        </w:tc>
      </w:tr>
      <w:tr>
        <w:trPr>
          <w:trHeight w:hRule="exact" w:val="238"/>
        </w:trPr>
        <w:tc>
          <w:tcPr>
            <w:tcW w:type="dxa" w:w="472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13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Key</w:t>
            </w:r>
          </w:p>
        </w:tc>
        <w:tc>
          <w:tcPr>
            <w:tcW w:type="dxa" w:w="13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Type</w:t>
            </w:r>
          </w:p>
        </w:tc>
        <w:tc>
          <w:tcPr>
            <w:tcW w:type="dxa" w:w="43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7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Description</w:t>
            </w:r>
          </w:p>
        </w:tc>
      </w:tr>
      <w:tr>
        <w:trPr>
          <w:trHeight w:hRule="exact" w:val="184"/>
        </w:trPr>
        <w:tc>
          <w:tcPr>
            <w:tcW w:type="dxa" w:w="472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130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recommendedNumberOfGPUCores</w:t>
            </w:r>
          </w:p>
        </w:tc>
        <w:tc>
          <w:tcPr>
            <w:tcW w:type="dxa" w:w="13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12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number</w:t>
            </w:r>
          </w:p>
        </w:tc>
        <w:tc>
          <w:tcPr>
            <w:tcW w:type="dxa" w:w="434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7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Recommended number of GPU cores.</w:t>
            </w:r>
          </w:p>
          <w:p>
            <w:pPr>
              <w:autoSpaceDN w:val="0"/>
              <w:autoSpaceDE w:val="0"/>
              <w:widowControl/>
              <w:spacing w:line="170" w:lineRule="exact" w:before="60" w:after="0"/>
              <w:ind w:left="780" w:right="100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Minimum required number of GPU cores.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Recommended GPU memory.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7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Minimum required GPU memory.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7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Recommended Memory.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7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Minimum required memory.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7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Recommended number of CPU cores.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7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Minimum required number of CPU cores.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7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Required amount of disk space in GB.</w:t>
            </w:r>
          </w:p>
        </w:tc>
      </w:tr>
      <w:tr>
        <w:trPr>
          <w:trHeight w:hRule="exact" w:val="180"/>
        </w:trPr>
        <w:tc>
          <w:tcPr>
            <w:tcW w:type="dxa" w:w="47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130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minimumNumberOfGPUCores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12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number</w:t>
            </w:r>
          </w:p>
        </w:tc>
        <w:tc>
          <w:tcPr>
            <w:tcW w:type="dxa" w:w="3478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178"/>
        </w:trPr>
        <w:tc>
          <w:tcPr>
            <w:tcW w:type="dxa" w:w="47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130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recommendedGPURAM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12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number</w:t>
            </w:r>
          </w:p>
        </w:tc>
        <w:tc>
          <w:tcPr>
            <w:tcW w:type="dxa" w:w="3478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162"/>
        </w:trPr>
        <w:tc>
          <w:tcPr>
            <w:tcW w:type="dxa" w:w="47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130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minimumGPURAM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12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number</w:t>
            </w:r>
          </w:p>
        </w:tc>
        <w:tc>
          <w:tcPr>
            <w:tcW w:type="dxa" w:w="3478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47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130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recommendedRAM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12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number</w:t>
            </w:r>
          </w:p>
        </w:tc>
        <w:tc>
          <w:tcPr>
            <w:tcW w:type="dxa" w:w="3478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160"/>
        </w:trPr>
        <w:tc>
          <w:tcPr>
            <w:tcW w:type="dxa" w:w="47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130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minimumRAM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12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number</w:t>
            </w:r>
          </w:p>
        </w:tc>
        <w:tc>
          <w:tcPr>
            <w:tcW w:type="dxa" w:w="3478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47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130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recommendedCPUs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12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number</w:t>
            </w:r>
          </w:p>
        </w:tc>
        <w:tc>
          <w:tcPr>
            <w:tcW w:type="dxa" w:w="3478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160"/>
        </w:trPr>
        <w:tc>
          <w:tcPr>
            <w:tcW w:type="dxa" w:w="47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130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minimumCPUs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12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number</w:t>
            </w:r>
          </w:p>
        </w:tc>
        <w:tc>
          <w:tcPr>
            <w:tcW w:type="dxa" w:w="3478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203"/>
        </w:trPr>
        <w:tc>
          <w:tcPr>
            <w:tcW w:type="dxa" w:w="472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1130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requiredDiskSpace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112" w:right="0" w:firstLine="0"/>
              <w:jc w:val="left"/>
            </w:pPr>
            <w:r>
              <w:rPr>
                <w:w w:val="102.86799748738606"/>
                <w:rFonts w:ascii="lmt" w:hAnsi="lmt" w:eastAsia="lmt"/>
                <w:b w:val="0"/>
                <w:i w:val="0"/>
                <w:color w:val="000000"/>
                <w:sz w:val="15"/>
              </w:rPr>
              <w:t>number</w:t>
            </w:r>
          </w:p>
        </w:tc>
        <w:tc>
          <w:tcPr>
            <w:tcW w:type="dxa" w:w="3478"/>
            <w:vMerge/>
            <w:tcBorders>
              <w:top w:sz="3.184000015258789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222"/>
        <w:ind w:left="0" w:right="0"/>
      </w:pP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5.3. Authoring tools for Reduced Order Models</w:t>
      </w:r>
    </w:p>
    <w:p>
      <w:pPr>
        <w:autoSpaceDN w:val="0"/>
        <w:autoSpaceDE w:val="0"/>
        <w:widowControl/>
        <w:spacing w:line="208" w:lineRule="exact" w:before="20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As described 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ROM is an umbrella of methods that 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handful in different situations where a reduction in terms of system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variables and their relations should be taken into consideration.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 common scenarios for ROM application are the followings:</w:t>
      </w:r>
    </w:p>
    <w:p>
      <w:pPr>
        <w:autoSpaceDN w:val="0"/>
        <w:tabs>
          <w:tab w:pos="398" w:val="left"/>
        </w:tabs>
        <w:autoSpaceDE w:val="0"/>
        <w:widowControl/>
        <w:spacing w:line="210" w:lineRule="exact" w:before="126" w:after="0"/>
        <w:ind w:left="270" w:right="0" w:firstLine="0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 large amount of data is to be analyzed,</w:t>
      </w:r>
      <w:r>
        <w:br/>
      </w: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the physics behind the system under investigation remains uncer-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tain,</w:t>
      </w:r>
      <w:r>
        <w:br/>
      </w: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the system’s equations are well known, but the solution is not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trivial and/or its computation is highly time- and resource con-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suming.</w:t>
      </w:r>
    </w:p>
    <w:p>
      <w:pPr>
        <w:autoSpaceDN w:val="0"/>
        <w:autoSpaceDE w:val="0"/>
        <w:widowControl/>
        <w:spacing w:line="208" w:lineRule="exact" w:before="12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To support such scenarios, the CAELIA</w:t>
      </w:r>
      <w:r>
        <w:rPr>
          <w:rFonts w:ascii="u" w:hAnsi="u" w:eastAsia="u"/>
          <w:b w:val="0"/>
          <w:i w:val="0"/>
          <w:color w:val="000000"/>
          <w:sz w:val="16"/>
        </w:rPr>
        <w:t>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tool was developed 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ITAINNOVA for ROM generation and management, using TRD tech-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nique. CAELIA</w:t>
      </w:r>
      <w:r>
        <w:rPr>
          <w:rFonts w:ascii="u" w:hAnsi="u" w:eastAsia="u"/>
          <w:b w:val="0"/>
          <w:i w:val="0"/>
          <w:color w:val="000000"/>
          <w:sz w:val="16"/>
        </w:rPr>
        <w:t>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can be used for different manufacturing processes,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such as injection molding, rubber extrusion, hot stamping, and laser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welding. CAELIA</w:t>
      </w:r>
      <w:r>
        <w:rPr>
          <w:rFonts w:ascii="u" w:hAnsi="u" w:eastAsia="u"/>
          <w:b w:val="0"/>
          <w:i w:val="0"/>
          <w:color w:val="000000"/>
          <w:sz w:val="16"/>
        </w:rPr>
        <w:t>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consists of a set of libraries, where models are gen-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erated using Twinkle library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Since TRD-based ROM models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 on data (please, refer to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that can be obtained through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experiments, simulations or by mathematically solving equations (if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known), a careful Design of Experiment (DoE) must be performed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beforehand. Hence, this authoring tool also includes a library for au-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tomatic DoE with an enhanced space coverage. Additionally, CAELIA</w:t>
      </w:r>
      <w:r>
        <w:rPr>
          <w:rFonts w:ascii="u" w:hAnsi="u" w:eastAsia="u"/>
          <w:b w:val="0"/>
          <w:i w:val="0"/>
          <w:color w:val="000000"/>
          <w:sz w:val="16"/>
        </w:rPr>
        <w:t>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includes different optimization algorithms and several visualization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interfaces. All these libraries and tools can be combined and used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enhancing ROM computation and management.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CAELIA</w:t>
      </w:r>
      <w:r>
        <w:rPr>
          <w:rFonts w:ascii="u" w:hAnsi="u" w:eastAsia="u"/>
          <w:b w:val="0"/>
          <w:i w:val="0"/>
          <w:color w:val="000000"/>
          <w:sz w:val="16"/>
        </w:rPr>
        <w:t>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’s ROMs are a valuable tool, not only capable of forecasting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unexplored behaviors of the system, but also useful for optimization,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i.e., for finding the system’s operating conditions that correspond to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desired output.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CAELIA</w:t>
      </w:r>
      <w:r>
        <w:rPr>
          <w:rFonts w:ascii="u" w:hAnsi="u" w:eastAsia="u"/>
          <w:b w:val="0"/>
          <w:i w:val="0"/>
          <w:color w:val="000000"/>
          <w:sz w:val="16"/>
        </w:rPr>
        <w:t>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toolset has been already tested against a large variety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cases, such as fluid- and thermodynamics, friction modeling, etc.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 injection application CAELIA</w:t>
      </w:r>
      <w:r>
        <w:rPr>
          <w:rFonts w:ascii="u" w:hAnsi="u" w:eastAsia="u"/>
          <w:b w:val="0"/>
          <w:i w:val="0"/>
          <w:color w:val="000000"/>
          <w:sz w:val="16"/>
        </w:rPr>
        <w:t>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will be detailed.</w:t>
      </w:r>
    </w:p>
    <w:p>
      <w:pPr>
        <w:autoSpaceDN w:val="0"/>
        <w:autoSpaceDE w:val="0"/>
        <w:widowControl/>
        <w:spacing w:line="286" w:lineRule="exact" w:before="12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5.4. Authoring tools for System of Systems models</w:t>
      </w:r>
    </w:p>
    <w:p>
      <w:pPr>
        <w:autoSpaceDN w:val="0"/>
        <w:autoSpaceDE w:val="0"/>
        <w:widowControl/>
        <w:spacing w:line="208" w:lineRule="exact" w:before="21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Sustainability Assessment Application (SAA) is an evolution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 already existing application developed by SUPSI, i.e., Scuola Uni-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versitaria Professionale della Svizzera Italiana, in previous EU projects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(MANUTELLIGENCE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73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and MANUSQUARE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]). SAA is an author-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ing tool which allows users to characterize the processes provided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production machine or a production line according to a LCA point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view.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shows an example of formalization of a set of processes.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tool enables the users to specify the SoS composition where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output flow (LCI output) of a certain process can be formalized as input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flow (LCI input) for another process. The model underlying the SAA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 been extensively described 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where the concept of PT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emerges as an element related to a specific Functional Unit (i.e.,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quantification of the system’s function analyzed by LCA), that is meant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quantify the function of the process under investigation (examples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are: 1 h of milling process execution or 1 kg of removed steel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milling, 1 kg of injected plastic for injection molding, etc.; please refer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 Starting from the background data, retrieved from a LCIA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V. Zambrano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100176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83150" cy="79121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791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8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2.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List of the processes, for example belonging to a production line.</w:t>
      </w:r>
    </w:p>
    <w:p>
      <w:pPr>
        <w:autoSpaceDN w:val="0"/>
        <w:autoSpaceDE w:val="0"/>
        <w:widowControl/>
        <w:spacing w:line="240" w:lineRule="auto" w:before="28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185409" cy="24549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5409" cy="245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78"/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6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3.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Example of process characterization (LCI input and output) by the SSA.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web version of this article.)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4746" w:space="0"/>
            <w:col w:w="5688" w:space="0"/>
            <w:col w:w="10433" w:space="0"/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342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(For interpretation of the references to color in this figure legend, the reader is referred to the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4746" w:space="0"/>
            <w:col w:w="5688" w:space="0"/>
            <w:col w:w="10433" w:space="0"/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7"/>
        <w:gridCol w:w="5217"/>
      </w:tblGrid>
      <w:tr>
        <w:trPr>
          <w:trHeight w:hRule="exact" w:val="7282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84" w:after="0"/>
              <w:ind w:left="0" w:right="166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way of scaling up the production based on the expected sales. Right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now, AgroIntelli assembles each robot on a made-to-order basis, at a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single workstation, with predominantly manual work being required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to assemble and interconnect all subcomponents and devices to each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order. AgroIntelli would like to design and validate an automated man-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ufacturing line for Robotti that can take the manufacturing blueprint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 produce the robot.</w:t>
            </w:r>
          </w:p>
          <w:p>
            <w:pPr>
              <w:autoSpaceDN w:val="0"/>
              <w:tabs>
                <w:tab w:pos="238" w:val="left"/>
              </w:tabs>
              <w:autoSpaceDE w:val="0"/>
              <w:widowControl/>
              <w:spacing w:line="204" w:lineRule="exact" w:before="84" w:after="0"/>
              <w:ind w:left="0" w:right="144" w:firstLine="0"/>
              <w:jc w:val="left"/>
            </w:pP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Additionally, certain parts of Robotti, for example the air filter,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hydraulic oil, or the oil filter, need to be replaced during scheduled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maintenance at different service intervals. When required, farmers also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place orders for Robotti parts. Once the part orders from farmers are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received, AgroIntelli needs to integrate the production of these parts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into the manufacturing schedule. The updated production schedule will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have to produce an expected delivery date for all the ordered parts.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 DT of AgroIntelli’s manufacturing line helps the company per-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forming an analysis of alternative scenarios for future factory con-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struction. The projected manufacturing capacity, based on estimated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sales and the manufacturing requirements of various parts based on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sample Robotti usage scenarios, are key inputs of the factory DT. On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other hand, a feasible production schedule is the key output of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DT. The creation of the DT for the manufacturing line is done using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FMI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60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] co-simulation standard. The key elements/workstations of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manufacturing line are modeled as FMUs. The DT for the manufacturing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line is created by putting the FMUs together as one system and then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co-simulated using Maestro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43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]. The co-simulation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Algorithm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uses a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configuration file for connecting the FMUs and performing a single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co-simulation.</w:t>
            </w:r>
          </w:p>
          <w:p>
            <w:pPr>
              <w:autoSpaceDN w:val="0"/>
              <w:autoSpaceDE w:val="0"/>
              <w:widowControl/>
              <w:spacing w:line="204" w:lineRule="exact" w:before="84" w:after="0"/>
              <w:ind w:left="0" w:right="166" w:firstLine="238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factory DT is created from reusable FMUs which together form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Model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of the DT. The Maestro co-simulation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Algorithm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becomes the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Algorithm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evaluating the factory DT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Model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. The evaluation of the factory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Model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by the Maestro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Algorithm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also requires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This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come from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planned production schedules and the on-demand part orders from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farmers.</w:t>
            </w:r>
          </w:p>
          <w:p>
            <w:pPr>
              <w:autoSpaceDN w:val="0"/>
              <w:autoSpaceDE w:val="0"/>
              <w:widowControl/>
              <w:spacing w:line="204" w:lineRule="exact" w:before="84" w:after="0"/>
              <w:ind w:left="0" w:right="144" w:firstLine="238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In the context of agile manufacturing practices, it is important to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keep the manufacturing line flexible and reroute the parts based on the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8" w:after="0"/>
              <w:ind w:left="192" w:right="6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current demand. Therefore, FMUs need to be connected differently for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co-simulating alternative manufacturing scenarios. One such scenario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could be the creation of multiple models of Robotti. Another scenario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could be the installation of parallel workstations to scale up the produc-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tion of complicated machine parts. Each of these alternative scenarios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can be explored by using one factory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Model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(implemented as multiple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FMUs) and different co-simulation configurations. Therefore, the Mae-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stro co-simulation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Algorithm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reusable for all co-simulation models.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Additionally, different manufacturers can bring in their co-simulation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 and perform co-simulation using Maestro co-simulation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Algo-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rithm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The factory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Model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can also be reused by AgroIntelli to perform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different design scenarios for the planned manufacturing line. In other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words, the same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Model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can be used to perform Design Space Exploration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(DSE) for designing an optimum manufacturing line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15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]. Since each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FMU represents a factory workstation, there is a potential for reusing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single FMUs to create new co-simulation scenarios of other factory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configurations/factories. As a result, a DT created for AgroIntelli is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reusable within the broader manufacturing industry too. This has been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made possible by the clean separation of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Data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Algorithm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 and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Model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of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factory DT using the DIGITbrain approach.</w:t>
            </w:r>
          </w:p>
          <w:p>
            <w:pPr>
              <w:autoSpaceDN w:val="0"/>
              <w:autoSpaceDE w:val="0"/>
              <w:widowControl/>
              <w:spacing w:line="288" w:lineRule="exact" w:before="138" w:after="0"/>
              <w:ind w:left="192" w:right="0" w:firstLine="0"/>
              <w:jc w:val="left"/>
            </w:pP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6.2. Reduced order models for injection molding</w:t>
            </w:r>
          </w:p>
          <w:p>
            <w:pPr>
              <w:autoSpaceDN w:val="0"/>
              <w:autoSpaceDE w:val="0"/>
              <w:widowControl/>
              <w:spacing w:line="210" w:lineRule="exact" w:before="212" w:after="0"/>
              <w:ind w:left="144" w:right="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 physically based DT for a thermoplastic injection molding consists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of the digitalization of a thermoplastic material injection molding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process for the quick initial set-up of process parameters and the opti-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mization during production. The DT is based on the offline exploitation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of state-of-the-art numerical simulation tools to model the relevant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fluid-dynamics, heat transfer and thermo-mechanical physical mecha-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nisms, as well as subsequent encapsulation of relevant Key Performance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Indicators (KPIs) into ROMs that are made available for the user to get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 real time virtual try-out and estimated production quality monitoring.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Within the DIGITbrain experiment performed for Inymon, a Spanish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injection molding company, current state-of-the-art simulation models</w:t>
            </w:r>
          </w:p>
        </w:tc>
      </w:tr>
    </w:tbl>
    <w:p>
      <w:pPr>
        <w:autoSpaceDN w:val="0"/>
        <w:autoSpaceDE w:val="0"/>
        <w:widowControl/>
        <w:spacing w:line="208" w:lineRule="exact" w:before="140" w:after="0"/>
        <w:ind w:left="0" w:right="0" w:firstLine="0"/>
        <w:jc w:val="center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4746" w:space="0"/>
            <w:col w:w="5688" w:space="0"/>
            <w:col w:w="10433" w:space="0"/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V. Zambrano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100176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10433" w:space="0"/>
            <w:col w:w="4746" w:space="0"/>
            <w:col w:w="5688" w:space="0"/>
            <w:col w:w="10433" w:space="0"/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82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representing the physics of the material transformation process, 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cluding transient flow fluid-dynamics, heat transfer by conduction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convention, and solid thermo-mechanics were used. Specific material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relations, such as non-Newtonian rheology and equations of state,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reproduce the material’s behavior. These models are expressed as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set of differential equations corresponding to the conservative laws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(i.e., mass, moment, energy) in fluid and solid domains. These phys-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ical equations are solved using Volume of Fluid (VoF)/FEM by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Moldex3D commercial program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75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Furthermore, an offline execution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a simulation DoE is carried out to allow the virtual exploration of the </w:t>
      </w:r>
      <w:r>
        <w:rPr>
          <w:rFonts w:ascii="CharisSIL" w:hAnsi="CharisSIL" w:eastAsia="CharisSIL"/>
          <w:b w:val="0"/>
          <w:i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to generate a database of simulation results, covering suitable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variation ranges of the processing parameters (i.e., melt temperature,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filling time/ram speed, switch over point, packing pressure and time,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coolant temperature and flow rate, cooling time, etc.).</w:t>
      </w:r>
    </w:p>
    <w:p>
      <w:pPr>
        <w:autoSpaceDN w:val="0"/>
        <w:tabs>
          <w:tab w:pos="238" w:val="left"/>
          <w:tab w:pos="378" w:val="left"/>
          <w:tab w:pos="1078" w:val="left"/>
          <w:tab w:pos="1842" w:val="left"/>
          <w:tab w:pos="2716" w:val="left"/>
          <w:tab w:pos="3692" w:val="left"/>
          <w:tab w:pos="4250" w:val="left"/>
          <w:tab w:pos="4854" w:val="left"/>
        </w:tabs>
        <w:autoSpaceDE w:val="0"/>
        <w:widowControl/>
        <w:spacing w:line="206" w:lineRule="exact" w:before="82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As mentioned previously, online process modeling for quality 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trol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requires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real-time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simulation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capabilities,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cannot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achieved by executing the computationally intensive physically 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simulation models (as these require hours to run) within a real cycle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 (i.e.,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&lt;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1 min). Creating ROMs has proved to be a valid approach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provide real-time responses to Physically Based Simulations (PBS).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ROM retains only the relevant information required for quality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evaluation (i.e., selected KPIs) and process control. Among the different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techniques available for ROM generation,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a posteriori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or non-intrusive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techniques have a higher potential, especially combined with real </w:t>
      </w:r>
      <w:r>
        <w:rPr>
          <w:rFonts w:ascii="CharisSIL" w:hAnsi="CharisSIL" w:eastAsia="CharisSIL"/>
          <w:b w:val="0"/>
          <w:i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CAELIA</w:t>
      </w:r>
      <w:r>
        <w:rPr>
          <w:rFonts w:ascii="u" w:hAnsi="u" w:eastAsia="u"/>
          <w:b w:val="0"/>
          <w:i w:val="0"/>
          <w:color w:val="000000"/>
          <w:sz w:val="16"/>
        </w:rPr>
        <w:t>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’s ROM generation, based on the factorization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information through TRD approach, results into a sequence of products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separable 1D functions that can be solved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on the fly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(see Eq.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(1)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allowing having a transfer function directly related to input parameters,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independently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08" w:lineRule="exact" w:before="7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Within the scope of the DIGITbrain Project, the ROM generation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solution, used to build the ROMs, has been deployed in the cloud-based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platform as a job. Moreover, the CAELIA</w:t>
      </w:r>
      <w:r>
        <w:rPr>
          <w:rFonts w:ascii="u" w:hAnsi="u" w:eastAsia="u"/>
          <w:b w:val="0"/>
          <w:i w:val="0"/>
          <w:color w:val="000000"/>
          <w:sz w:val="16"/>
        </w:rPr>
        <w:t>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App including a Graphical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User Interface (GUI) has also been deployed on a Virtual Machine (VM)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instance on the Platform. The GUI allows the user to compose tuples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ROMs (as DIGITbrain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), input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as well as evaluation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to try finding the parameters describing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 injection molding process.</w:t>
      </w:r>
    </w:p>
    <w:p>
      <w:pPr>
        <w:autoSpaceDN w:val="0"/>
        <w:autoSpaceDE w:val="0"/>
        <w:widowControl/>
        <w:spacing w:line="206" w:lineRule="exact" w:before="82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ROMs are specific of each injection process (IP instance), as they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built on physically based simulation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generated for a specific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physical instance, which makes the reusability of ROMs anything but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straightforward. Nevertheless, the algorithms used to build ROMs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CAELIA</w:t>
      </w:r>
      <w:r>
        <w:rPr>
          <w:rFonts w:ascii="u" w:hAnsi="u" w:eastAsia="u"/>
          <w:b w:val="0"/>
          <w:i w:val="0"/>
          <w:color w:val="000000"/>
          <w:sz w:val="16"/>
        </w:rPr>
        <w:t>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App are generic, so that different users can employ them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upload their ROMs and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from other injection molding lines.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possible way to reuse ROMs would be the development of an expert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system that, by analyzing a database of ROMs, generated for different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injection molding processes, could extract rules of dependencies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typical results obtained from defined process conditions (knowledge-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reasoning). As a further step, the aforementioned expert system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could also, based on the characteristics of the part to be injected,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able to create a new ROM backbone by proposing 1D functions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TRD factorization, that represent the dependency of a result on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 process condition. This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could be used as a low fidelity </w:t>
      </w:r>
      <w:r>
        <w:rPr>
          <w:rFonts w:ascii="CharisSIL" w:hAnsi="CharisSIL" w:eastAsia="CharisSIL"/>
          <w:b w:val="0"/>
          <w:i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to analyze tendencies or as the basis for a new adjustment, 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 PBS or measured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8" w:lineRule="exact" w:before="122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6.3. System of systems models for laser-cutting and forming of aluminum</w:t>
      </w:r>
    </w:p>
    <w:p>
      <w:pPr>
        <w:autoSpaceDN w:val="0"/>
        <w:autoSpaceDE w:val="0"/>
        <w:widowControl/>
        <w:spacing w:line="206" w:lineRule="exact" w:before="20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Creation of a simulation tool which allows the end user to create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alternative layouts of production lines for forming aluminum sheets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compare the performances of the different solutions has high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importance. The main limitations that reflect the current status of most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EU manufacturing SMEs in the utilization of DTs of production lines,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the following:</w:t>
      </w:r>
    </w:p>
    <w:p>
      <w:pPr>
        <w:autoSpaceDN w:val="0"/>
        <w:autoSpaceDE w:val="0"/>
        <w:widowControl/>
        <w:spacing w:line="208" w:lineRule="exact" w:before="128" w:after="0"/>
        <w:ind w:left="398" w:right="74" w:hanging="128"/>
        <w:jc w:val="both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the inability to perform real-time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what-if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analysis based on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actual plant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that strongly impairs the ability to promptly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tackle production needs and constraints,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3" w:space="0"/>
            <w:col w:w="4746" w:space="0"/>
            <w:col w:w="5688" w:space="0"/>
            <w:col w:w="10433" w:space="0"/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3" w:space="0"/>
            <w:col w:w="4746" w:space="0"/>
            <w:col w:w="5688" w:space="0"/>
            <w:col w:w="10433" w:space="0"/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V. Zambrano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100176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10433" w:space="0"/>
            <w:col w:w="4746" w:space="0"/>
            <w:col w:w="5688" w:space="0"/>
            <w:col w:w="10433" w:space="0"/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238" w:val="left"/>
        </w:tabs>
        <w:autoSpaceDE w:val="0"/>
        <w:widowControl/>
        <w:spacing w:line="210" w:lineRule="exact" w:before="78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increased production and the high standards of consumers’ expectations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the Industry 4.0 (I4.0) era encourage the introduction of Digital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Twins (DTs) in the manufacturing industry, especially to help SMEs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forecasting and optimizing their systems (e.g., processes, machinery,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production lines) under different operating conditions. Offering MaaS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an integrated digital platform is an efficient way to achieve that.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the paper, it was highlighted how DIGITbrain’s overall concept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supports the reusability of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by separating the fundamental build-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 blocks of DTs, including the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itself, its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a rich set of metadata. Moreover, given the definition of a DT as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virtual model of a physical system, models represent a crucial asset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industrial digitalization and the introduction of DTs in manufacturing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processes. We further detailed some model types that are currently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supported by the DIGITbrain Platform, such as co-simulation, Artificial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Intelligence (AI) and System of Systems (SoS) models. Moreover, 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detailed three representative case studies, where practical applications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DTs were delivered to manufacturing SMEs and their end-users.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 work is being conducted towards the generation of im-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proved models for several applications. The models will be published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the project’s integrated platform which is currently being upgraded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grant scalability, parallelization and efficiency.</w:t>
      </w:r>
    </w:p>
    <w:p>
      <w:pPr>
        <w:autoSpaceDN w:val="0"/>
        <w:autoSpaceDE w:val="0"/>
        <w:widowControl/>
        <w:spacing w:line="288" w:lineRule="exact" w:before="13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Declaration of competing interest</w:t>
      </w:r>
    </w:p>
    <w:p>
      <w:pPr>
        <w:autoSpaceDN w:val="0"/>
        <w:autoSpaceDE w:val="0"/>
        <w:widowControl/>
        <w:spacing w:line="210" w:lineRule="exact" w:before="208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authors declare that they have no known competing finan-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cial interests or personal relationships that could have appeared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influence the work reported in this paper.</w:t>
      </w:r>
    </w:p>
    <w:p>
      <w:pPr>
        <w:autoSpaceDN w:val="0"/>
        <w:autoSpaceDE w:val="0"/>
        <w:widowControl/>
        <w:spacing w:line="288" w:lineRule="exact" w:before="13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Acknowledgment</w:t>
      </w:r>
    </w:p>
    <w:p>
      <w:pPr>
        <w:autoSpaceDN w:val="0"/>
        <w:autoSpaceDE w:val="0"/>
        <w:widowControl/>
        <w:spacing w:line="210" w:lineRule="exact" w:before="208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This work was funded by the DIGITbrain – Digital twins bring-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ing agility and innovation to manufacturing SMEs, by empowering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network of DIHs with an integrated digital platform that enables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Manufacturing as a Service project, No. 952071, European Commission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(EU H2020).</w:t>
      </w:r>
    </w:p>
    <w:p>
      <w:pPr>
        <w:autoSpaceDN w:val="0"/>
        <w:autoSpaceDE w:val="0"/>
        <w:widowControl/>
        <w:spacing w:line="288" w:lineRule="exact" w:before="13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References</w:t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192" w:after="0"/>
        <w:ind w:left="10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19" w:history="1">
          <w:r>
            <w:rPr>
              <w:rStyle w:val="Hyperlink"/>
            </w:rPr>
            <w:t xml:space="preserve">Grieves M. Digital twin: manufacturing excellence through virtual factory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19" w:history="1">
          <w:r>
            <w:rPr>
              <w:rStyle w:val="Hyperlink"/>
            </w:rPr>
            <w:t>replication. White paper 1, Florida Institute of Technology; 2014, p. 1–7.</w:t>
          </w:r>
        </w:hyperlink>
      </w:r>
    </w:p>
    <w:p>
      <w:pPr>
        <w:autoSpaceDN w:val="0"/>
        <w:autoSpaceDE w:val="0"/>
        <w:widowControl/>
        <w:spacing w:line="172" w:lineRule="exact" w:before="56" w:after="0"/>
        <w:ind w:left="378" w:right="56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19" w:history="1">
          <w:r>
            <w:rPr>
              <w:rStyle w:val="Hyperlink"/>
            </w:rPr>
            <w:t>European Commission. Digital transformation scoreboard 2018. EU busines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0" w:history="1">
          <w:r>
            <w:rPr>
              <w:rStyle w:val="Hyperlink"/>
            </w:rPr>
            <w:t xml:space="preserve">ses go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0" w:history="1">
          <w:r>
            <w:rPr>
              <w:rStyle w:val="Hyperlink"/>
            </w:rPr>
            <w:t xml:space="preserve">digital: Opportunities, outcomes and uptake. Luxembourg: Publications Office of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0" w:history="1">
          <w:r>
            <w:rPr>
              <w:rStyle w:val="Hyperlink"/>
            </w:rPr>
            <w:t>the European Union; 2018, p. 10–2826, 10 (691861).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0" w:lineRule="exact" w:before="60" w:after="0"/>
        <w:ind w:left="10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1" w:history="1">
          <w:r>
            <w:rPr>
              <w:rStyle w:val="Hyperlink"/>
            </w:rPr>
            <w:t>Semeraro C, Lezoche M, Panetto H, Dassisti M. 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1" w:history="1">
          <w:r>
            <w:rPr>
              <w:rStyle w:val="Hyperlink"/>
            </w:rPr>
            <w:t xml:space="preserve">igital twin paradigm: A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1" w:history="1">
          <w:r>
            <w:rPr>
              <w:rStyle w:val="Hyperlink"/>
            </w:rPr>
            <w:t>systematic literature review. Comput Ind 2021;130:103469.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10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1" w:history="1">
          <w:r>
            <w:rPr>
              <w:rStyle w:val="Hyperlink"/>
            </w:rPr>
            <w:t>Jones D, Snider C, Nassehi A, Yon J, Hicks B. Characterisin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2" w:history="1">
          <w:r>
            <w:rPr>
              <w:rStyle w:val="Hyperlink"/>
            </w:rPr>
            <w:t xml:space="preserve">g the digital twin: A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2" w:history="1">
          <w:r>
            <w:rPr>
              <w:rStyle w:val="Hyperlink"/>
            </w:rPr>
            <w:t>systematic literature review. CIRP J Manuf Sci Technol 2020;29:36–52.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2" w:history="1">
          <w:r>
            <w:rPr>
              <w:rStyle w:val="Hyperlink"/>
            </w:rPr>
            <w:t>Fisher O, Watson N, Porcu L, Bacon D, Rigley M, Gomes RL. Cloud manuf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3" w:history="1">
          <w:r>
            <w:rPr>
              <w:rStyle w:val="Hyperlink"/>
            </w:rPr>
            <w:t xml:space="preserve">acturing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3" w:history="1">
          <w:r>
            <w:rPr>
              <w:rStyle w:val="Hyperlink"/>
            </w:rPr>
            <w:t>as a sustainable process manufacturing route. J Manuf Syst 2018;47:53–68.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0" w:lineRule="exact" w:before="60" w:after="0"/>
        <w:ind w:left="10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3" w:history="1">
          <w:r>
            <w:rPr>
              <w:rStyle w:val="Hyperlink"/>
            </w:rPr>
            <w:t xml:space="preserve">Kusiak A. Service manufacturing: Basic concepts and technologies. J Manuf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4" w:history="1">
          <w:r>
            <w:rPr>
              <w:rStyle w:val="Hyperlink"/>
            </w:rPr>
            <w:t xml:space="preserve">Syst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4" w:history="1">
          <w:r>
            <w:rPr>
              <w:rStyle w:val="Hyperlink"/>
            </w:rPr>
            <w:t>2019;52:198–204.</w:t>
          </w:r>
        </w:hyperlink>
      </w:r>
    </w:p>
    <w:p>
      <w:pPr>
        <w:autoSpaceDN w:val="0"/>
        <w:tabs>
          <w:tab w:pos="378" w:val="left"/>
          <w:tab w:pos="870" w:val="left"/>
          <w:tab w:pos="1106" w:val="left"/>
          <w:tab w:pos="1626" w:val="left"/>
          <w:tab w:pos="2568" w:val="left"/>
          <w:tab w:pos="2770" w:val="left"/>
          <w:tab w:pos="3992" w:val="left"/>
          <w:tab w:pos="4194" w:val="left"/>
        </w:tabs>
        <w:autoSpaceDE w:val="0"/>
        <w:widowControl/>
        <w:spacing w:line="172" w:lineRule="exact" w:before="58" w:after="0"/>
        <w:ind w:left="10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[7]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4" w:history="1">
          <w:r>
            <w:rPr>
              <w:rStyle w:val="Hyperlink"/>
            </w:rPr>
            <w:t xml:space="preserve">Kusiak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4" w:history="1">
          <w:r>
            <w:rPr>
              <w:rStyle w:val="Hyperlink"/>
            </w:rPr>
            <w:t xml:space="preserve">A.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4" w:history="1">
          <w:r>
            <w:rPr>
              <w:rStyle w:val="Hyperlink"/>
            </w:rPr>
            <w:t>Servi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 xml:space="preserve">ce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 xml:space="preserve">manufacturing </w:t>
          </w:r>
        </w:hyperlink>
      </w:r>
      <w:r>
        <w:tab/>
      </w:r>
      <w:r>
        <w:rPr>
          <w:w w:val="98.09384712806116"/>
          <w:rFonts w:ascii="STIXMath" w:hAnsi="STIXMath" w:eastAsia="STIXMath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 xml:space="preserve">=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 xml:space="preserve">process-as-a-service </w:t>
          </w:r>
        </w:hyperlink>
      </w:r>
      <w:r>
        <w:tab/>
      </w:r>
      <w:r>
        <w:rPr>
          <w:w w:val="98.09384712806116"/>
          <w:rFonts w:ascii="STIXMath" w:hAnsi="STIXMath" w:eastAsia="STIXMath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 xml:space="preserve">+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 xml:space="preserve">manufacturing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>operations-as-a-service. J Intell Manuf 2020;31(1):1–2.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[8]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>Rauschecker U, Meier M, Muckenhirn R, Yip ALK, 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6" w:history="1">
          <w:r>
            <w:rPr>
              <w:rStyle w:val="Hyperlink"/>
            </w:rPr>
            <w:t>agadeesan AP, Corney J.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6" w:history="1">
          <w:r>
            <w:rPr>
              <w:rStyle w:val="Hyperlink"/>
            </w:rPr>
            <w:t>Cloud-based manufacturing-as-a-service environment for customized products.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6" w:history="1">
          <w:r>
            <w:rPr>
              <w:rStyle w:val="Hyperlink"/>
            </w:rPr>
            <w:t xml:space="preserve">In: EChallenges E-2011 conference proceedings. IIMC International Information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6" w:history="1">
          <w:r>
            <w:rPr>
              <w:rStyle w:val="Hyperlink"/>
            </w:rPr>
            <w:t>Management Corporation; 2011.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10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[9]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6" w:history="1">
          <w:r>
            <w:rPr>
              <w:rStyle w:val="Hyperlink"/>
            </w:rPr>
            <w:t>Meier M, Seidelmann J, Mezgár 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7" w:history="1">
          <w:r>
            <w:rPr>
              <w:rStyle w:val="Hyperlink"/>
            </w:rPr>
            <w:t xml:space="preserve">. ManuCloud: the next-generation manufacturing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7" w:history="1">
          <w:r>
            <w:rPr>
              <w:rStyle w:val="Hyperlink"/>
            </w:rPr>
            <w:t>as a service environment. ERCIM News 2010;33–4.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[10]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7" w:history="1">
          <w:r>
            <w:rPr>
              <w:rStyle w:val="Hyperlink"/>
            </w:rPr>
            <w:t>Hasan M, Starly B. Decentralized cloud manufa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8" w:history="1">
          <w:r>
            <w:rPr>
              <w:rStyle w:val="Hyperlink"/>
            </w:rPr>
            <w:t xml:space="preserve">cturing-as-a-service (CMaaS)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8" w:history="1">
          <w:r>
            <w:rPr>
              <w:rStyle w:val="Hyperlink"/>
            </w:rPr>
            <w:t>platform architecture with configurable digital assets. J Manuf Syst 2020;56:157–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8" w:history="1">
          <w:r>
            <w:rPr>
              <w:rStyle w:val="Hyperlink"/>
            </w:rPr>
            <w:t>74.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[11]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9" w:history="1">
          <w:r>
            <w:rPr>
              <w:rStyle w:val="Hyperlink"/>
            </w:rPr>
            <w:t xml:space="preserve">Kiss T. A cloud/HPC platform and marketplace for manufacturing SMEs. In: 11th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9" w:history="1">
          <w:r>
            <w:rPr>
              <w:rStyle w:val="Hyperlink"/>
            </w:rPr>
            <w:t>international workshop on science gateways, IWSG 2019. 2019.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[12]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9" w:history="1">
          <w:r>
            <w:rPr>
              <w:rStyle w:val="Hyperlink"/>
            </w:rPr>
            <w:t>Landolfi G, Barni A, Izzo G, Fontana A, Bettoni A. A MaaS pl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0" w:history="1">
          <w:r>
            <w:rPr>
              <w:rStyle w:val="Hyperlink"/>
            </w:rPr>
            <w:t>atform architec-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0" w:history="1">
          <w:r>
            <w:rPr>
              <w:rStyle w:val="Hyperlink"/>
            </w:rPr>
            <w:t xml:space="preserve">ture supporting data sovereignty in sustainability assessment of manufacturing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0" w:history="1">
          <w:r>
            <w:rPr>
              <w:rStyle w:val="Hyperlink"/>
            </w:rPr>
            <w:t>systems. Procedia Manuf 2019;38:548–55.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[13]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0" w:history="1">
          <w:r>
            <w:rPr>
              <w:rStyle w:val="Hyperlink"/>
            </w:rPr>
            <w:t xml:space="preserve">Kiss T, Kacsuk P, Kovács J, Rakoczi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1" w:history="1">
          <w:r>
            <w:rPr>
              <w:rStyle w:val="Hyperlink"/>
            </w:rPr>
            <w:t xml:space="preserve">B, Hajnal A, Farkas A, Gesmier G,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1" w:history="1">
          <w:r>
            <w:rPr>
              <w:rStyle w:val="Hyperlink"/>
            </w:rPr>
            <w:t xml:space="preserve">Terstyanszky G. Micado—microservice-based cloud application-level dynamic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1" w:history="1">
          <w:r>
            <w:rPr>
              <w:rStyle w:val="Hyperlink"/>
            </w:rPr>
            <w:t>orchestrator. Future Gener Comput Syst 2019;94:937–46.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[14]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Cloud orchestration at the level of application iCal. About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- COLA project. 2017,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2" w:history="1">
          <w:r>
            <w:rPr>
              <w:rStyle w:val="Hyperlink"/>
            </w:rPr>
            <w:t>https://project-cola.eu/cola-project/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96" w:space="0"/>
            <w:col w:w="5338" w:space="0"/>
            <w:col w:w="10433" w:space="0"/>
            <w:col w:w="10433" w:space="0"/>
            <w:col w:w="4746" w:space="0"/>
            <w:col w:w="5688" w:space="0"/>
            <w:col w:w="10433" w:space="0"/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10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96" w:space="0"/>
            <w:col w:w="5338" w:space="0"/>
            <w:col w:w="10433" w:space="0"/>
            <w:col w:w="10433" w:space="0"/>
            <w:col w:w="4746" w:space="0"/>
            <w:col w:w="5688" w:space="0"/>
            <w:col w:w="10433" w:space="0"/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82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V. Zambrano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100176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78" w:space="0"/>
            <w:col w:w="5355" w:space="0"/>
            <w:col w:w="10433" w:space="0"/>
            <w:col w:w="5096" w:space="0"/>
            <w:col w:w="5338" w:space="0"/>
            <w:col w:w="10433" w:space="0"/>
            <w:col w:w="10433" w:space="0"/>
            <w:col w:w="4746" w:space="0"/>
            <w:col w:w="5688" w:space="0"/>
            <w:col w:w="10433" w:space="0"/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378" w:val="left"/>
        </w:tabs>
        <w:autoSpaceDE w:val="0"/>
        <w:widowControl/>
        <w:spacing w:line="170" w:lineRule="exact" w:before="60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[42]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3" w:history="1">
          <w:r>
            <w:rPr>
              <w:rStyle w:val="Hyperlink"/>
            </w:rPr>
            <w:t xml:space="preserve">Blochwitz T, Otter M, Akesson J, Arnold M, Clauss C, Elmqvist H, Friedrich M,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3" w:history="1">
          <w:r>
            <w:rPr>
              <w:rStyle w:val="Hyperlink"/>
            </w:rPr>
            <w:t>Junghanns A, Mauss J, Neumerkel D, Olsson H, Viel A. The functional mockup in-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3" w:history="1">
          <w:r>
            <w:rPr>
              <w:rStyle w:val="Hyperlink"/>
            </w:rPr>
            <w:t xml:space="preserve">terface 2.0: The standard for tool independent exchange of simulation models. In: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3" w:history="1">
          <w:r>
            <w:rPr>
              <w:rStyle w:val="Hyperlink"/>
            </w:rPr>
            <w:t xml:space="preserve">Proceedings of the 9th international modelica conference. Munich, Germany: The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3" w:history="1">
          <w:r>
            <w:rPr>
              <w:rStyle w:val="Hyperlink"/>
            </w:rPr>
            <w:t xml:space="preserve">Modelica Association, Linköping University Electronic Press; 2012, p. 173–84.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[43]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Thule C, Lausdahl K, Gomes C, Meisl G, Larsen PG. Maestro: The INTO-CPS 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o-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simulation framework. Simul Model Pract Theory 2019;92:45–61.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4" w:history="1">
          <w:r>
            <w:rPr>
              <w:rStyle w:val="Hyperlink"/>
            </w:rPr>
            <w:t>http://dx.doi.</w:t>
          </w:r>
        </w:hyperlink>
      </w:r>
    </w:p>
    <w:p>
      <w:pPr>
        <w:autoSpaceDN w:val="0"/>
        <w:autoSpaceDE w:val="0"/>
        <w:widowControl/>
        <w:spacing w:line="170" w:lineRule="exact" w:before="60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4" w:history="1">
          <w:r>
            <w:rPr>
              <w:rStyle w:val="Hyperlink"/>
            </w:rPr>
            <w:t>org/10.1016/j.simpat.2018.12.005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, URL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5" w:history="1">
          <w:r>
            <w:rPr>
              <w:rStyle w:val="Hyperlink"/>
            </w:rPr>
            <w:t>http://www.sciencedirect.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5" w:history="1">
          <w:r>
            <w:rPr>
              <w:rStyle w:val="Hyperlink"/>
            </w:rPr>
            <w:t xml:space="preserve">com/science/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4" w:history="1">
          <w:r>
            <w:rPr>
              <w:rStyle w:val="Hyperlink"/>
            </w:rPr>
            <w:t>article/pii/S1569190X1830193X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[44]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5" w:history="1">
          <w:r>
            <w:rPr>
              <w:rStyle w:val="Hyperlink"/>
            </w:rPr>
            <w:t>Popper J, Hermann J, Cui K, 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6" w:history="1">
          <w:r>
            <w:rPr>
              <w:rStyle w:val="Hyperlink"/>
            </w:rPr>
            <w:t xml:space="preserve">ergweiler S, Weyer S, Ruskowski M, Wang M,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6" w:history="1">
          <w:r>
            <w:rPr>
              <w:rStyle w:val="Hyperlink"/>
            </w:rPr>
            <w:t xml:space="preserve">Guang L, Hu Y, Kueh V, Wang D, Madigan M, Oppermann I, Ryu S-M, Kim L,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6" w:history="1">
          <w:r>
            <w:rPr>
              <w:rStyle w:val="Hyperlink"/>
            </w:rPr>
            <w:t xml:space="preserve">Wei S, Li R, Du X, Shang Y, Thonet G. Artificial intelligence across industries.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6" w:history="1">
          <w:r>
            <w:rPr>
              <w:rStyle w:val="Hyperlink"/>
            </w:rPr>
            <w:t>Tech. rep., IEC Whitepaper; 2018, p. 93.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[45]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6" w:history="1">
          <w:r>
            <w:rPr>
              <w:rStyle w:val="Hyperlink"/>
            </w:rPr>
            <w:t>Rojas R. The backpropagation algorithm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7" w:history="1">
          <w:r>
            <w:rPr>
              <w:rStyle w:val="Hyperlink"/>
            </w:rPr>
            <w:t xml:space="preserve">. In: Neural networks. Springer; 1996,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7" w:history="1">
          <w:r>
            <w:rPr>
              <w:rStyle w:val="Hyperlink"/>
            </w:rPr>
            <w:t>p. 149–82.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[46]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7" w:history="1">
          <w:r>
            <w:rPr>
              <w:rStyle w:val="Hyperlink"/>
            </w:rPr>
            <w:t xml:space="preserve">Bottou L.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8" w:history="1">
          <w:r>
            <w:rPr>
              <w:rStyle w:val="Hyperlink"/>
            </w:rPr>
            <w:t xml:space="preserve">Stochastic gradient descent tricks. In: Neural networks: Tricks of the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8" w:history="1">
          <w:r>
            <w:rPr>
              <w:rStyle w:val="Hyperlink"/>
            </w:rPr>
            <w:t>trade. Springer; 2012, p. 421–36.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[47]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8" w:history="1">
          <w:r>
            <w:rPr>
              <w:rStyle w:val="Hyperlink"/>
            </w:rPr>
            <w:t>Rowley CW, Colonius T, Murray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 xml:space="preserve"> RM. Model reduction for compressible flows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>using POD and Galerkin projection. Physica D 2004;189(1–2):115–29.</w:t>
          </w:r>
        </w:hyperlink>
      </w:r>
    </w:p>
    <w:p>
      <w:pPr>
        <w:autoSpaceDN w:val="0"/>
        <w:tabs>
          <w:tab w:pos="378" w:val="left"/>
          <w:tab w:pos="824" w:val="left"/>
          <w:tab w:pos="1060" w:val="left"/>
          <w:tab w:pos="1504" w:val="left"/>
          <w:tab w:pos="1732" w:val="left"/>
          <w:tab w:pos="2008" w:val="left"/>
          <w:tab w:pos="2296" w:val="left"/>
          <w:tab w:pos="2864" w:val="left"/>
          <w:tab w:pos="3084" w:val="left"/>
          <w:tab w:pos="3374" w:val="left"/>
          <w:tab w:pos="3936" w:val="left"/>
          <w:tab w:pos="4322" w:val="left"/>
          <w:tab w:pos="4860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[48]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 xml:space="preserve">Rozza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 xml:space="preserve">G,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 xml:space="preserve">Veroy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 xml:space="preserve">K.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 xml:space="preserve">On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 xml:space="preserve">the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 xml:space="preserve">stability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 xml:space="preserve">of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 xml:space="preserve">the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 xml:space="preserve">reduced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 xml:space="preserve">basis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9" w:history="1">
          <w:r>
            <w:rPr>
              <w:rStyle w:val="Hyperlink"/>
            </w:rPr>
            <w:t>me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0" w:history="1">
          <w:r>
            <w:rPr>
              <w:rStyle w:val="Hyperlink"/>
            </w:rPr>
            <w:t xml:space="preserve">thod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0" w:history="1">
          <w:r>
            <w:rPr>
              <w:rStyle w:val="Hyperlink"/>
            </w:rPr>
            <w:t xml:space="preserve">for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0" w:history="1">
          <w:r>
            <w:rPr>
              <w:rStyle w:val="Hyperlink"/>
            </w:rPr>
            <w:t xml:space="preserve">Stokes equations in parametrized domains. Comput Methods Appl Mech Engrg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0" w:history="1">
          <w:r>
            <w:rPr>
              <w:rStyle w:val="Hyperlink"/>
            </w:rPr>
            <w:t>2007;196(7):1244–60.</w:t>
          </w:r>
        </w:hyperlink>
      </w:r>
    </w:p>
    <w:p>
      <w:pPr>
        <w:autoSpaceDN w:val="0"/>
        <w:tabs>
          <w:tab w:pos="378" w:val="left"/>
          <w:tab w:pos="974" w:val="left"/>
          <w:tab w:pos="1684" w:val="left"/>
          <w:tab w:pos="2056" w:val="left"/>
          <w:tab w:pos="2718" w:val="left"/>
          <w:tab w:pos="3764" w:val="left"/>
          <w:tab w:pos="4766" w:val="left"/>
        </w:tabs>
        <w:autoSpaceDE w:val="0"/>
        <w:widowControl/>
        <w:spacing w:line="170" w:lineRule="exact" w:before="60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[49]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0" w:history="1">
          <w:r>
            <w:rPr>
              <w:rStyle w:val="Hyperlink"/>
            </w:rPr>
            <w:t xml:space="preserve">Baur U,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0" w:history="1">
          <w:r>
            <w:rPr>
              <w:rStyle w:val="Hyperlink"/>
            </w:rPr>
            <w:t xml:space="preserve">Benner P,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1" w:history="1">
          <w:r>
            <w:rPr>
              <w:rStyle w:val="Hyperlink"/>
            </w:rPr>
            <w:t xml:space="preserve">Feng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1" w:history="1">
          <w:r>
            <w:rPr>
              <w:rStyle w:val="Hyperlink"/>
            </w:rPr>
            <w:t xml:space="preserve">L. Model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1" w:history="1">
          <w:r>
            <w:rPr>
              <w:rStyle w:val="Hyperlink"/>
            </w:rPr>
            <w:t xml:space="preserve">order reduction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1" w:history="1">
          <w:r>
            <w:rPr>
              <w:rStyle w:val="Hyperlink"/>
            </w:rPr>
            <w:t xml:space="preserve">for linear and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1" w:history="1">
          <w:r>
            <w:rPr>
              <w:rStyle w:val="Hyperlink"/>
            </w:rPr>
            <w:t>non-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1" w:history="1">
          <w:r>
            <w:rPr>
              <w:rStyle w:val="Hyperlink"/>
            </w:rPr>
            <w:t xml:space="preserve">linear systems: a system-theoretic perspective. Arch Comput Methods Eng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1" w:history="1">
          <w:r>
            <w:rPr>
              <w:rStyle w:val="Hyperlink"/>
            </w:rPr>
            <w:t>2014;21(4):331–58.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0" w:lineRule="exact" w:before="60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[50]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1" w:history="1">
          <w:r>
            <w:rPr>
              <w:rStyle w:val="Hyperlink"/>
            </w:rPr>
            <w:t>Chinesta F, Cueto 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2" w:history="1">
          <w:r>
            <w:rPr>
              <w:rStyle w:val="Hyperlink"/>
            </w:rPr>
            <w:t xml:space="preserve">. PGD-based modeling of materials, structures and processes.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2" w:history="1">
          <w:r>
            <w:rPr>
              <w:rStyle w:val="Hyperlink"/>
            </w:rPr>
            <w:t>Springer; 2014.</w:t>
          </w:r>
        </w:hyperlink>
      </w:r>
    </w:p>
    <w:p>
      <w:pPr>
        <w:autoSpaceDN w:val="0"/>
        <w:autoSpaceDE w:val="0"/>
        <w:widowControl/>
        <w:spacing w:line="170" w:lineRule="exact" w:before="60" w:after="0"/>
        <w:ind w:left="0" w:right="56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[51]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2" w:history="1">
          <w:r>
            <w:rPr>
              <w:rStyle w:val="Hyperlink"/>
            </w:rPr>
            <w:t>El Halabi F, Go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3" w:history="1">
          <w:r>
            <w:rPr>
              <w:rStyle w:val="Hyperlink"/>
            </w:rPr>
            <w:t>nzalez D, Chico-Roca A, Doblare M. Multiparametric response sur-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3" w:history="1">
          <w:r>
            <w:rPr>
              <w:rStyle w:val="Hyperlink"/>
            </w:rPr>
            <w:t xml:space="preserve">face construction by means of proper generalized decomposition: An extension of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3" w:history="1">
          <w:r>
            <w:rPr>
              <w:rStyle w:val="Hyperlink"/>
            </w:rPr>
            <w:t xml:space="preserve">the PARAFAC procedure. Comput Methods Appl Mech Engrg 2013;253:543–57.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[52]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3" w:history="1">
          <w:r>
            <w:rPr>
              <w:rStyle w:val="Hyperlink"/>
            </w:rPr>
            <w:t xml:space="preserve">Cichocki A, Zdunek R, Phan AH, Amari S-i. Nonnegative matrix and tensor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4" w:history="1">
          <w:r>
            <w:rPr>
              <w:rStyle w:val="Hyperlink"/>
            </w:rPr>
            <w:t xml:space="preserve">factorizations: applications to exploratory multi-way data analysis and blind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4" w:history="1">
          <w:r>
            <w:rPr>
              <w:rStyle w:val="Hyperlink"/>
            </w:rPr>
            <w:t>source separation. John Wiley &amp; Sons; 2009.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0" w:lineRule="exact" w:before="60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[53]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5" w:history="1">
          <w:r>
            <w:rPr>
              <w:rStyle w:val="Hyperlink"/>
            </w:rPr>
            <w:t>Willcox K, Peraire J. Balanced model red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5" w:history="1">
          <w:r>
            <w:rPr>
              <w:rStyle w:val="Hyperlink"/>
            </w:rPr>
            <w:t xml:space="preserve">uction via the proper orthogonal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5" w:history="1">
          <w:r>
            <w:rPr>
              <w:rStyle w:val="Hyperlink"/>
            </w:rPr>
            <w:t>decomposition. AIAA J 2002;40(11):2323–30.</w:t>
          </w:r>
        </w:hyperlink>
      </w:r>
    </w:p>
    <w:p>
      <w:pPr>
        <w:autoSpaceDN w:val="0"/>
        <w:tabs>
          <w:tab w:pos="378" w:val="left"/>
          <w:tab w:pos="708" w:val="left"/>
          <w:tab w:pos="824" w:val="left"/>
          <w:tab w:pos="1104" w:val="left"/>
          <w:tab w:pos="1404" w:val="left"/>
          <w:tab w:pos="1702" w:val="left"/>
          <w:tab w:pos="1722" w:val="left"/>
          <w:tab w:pos="1922" w:val="left"/>
          <w:tab w:pos="2120" w:val="left"/>
          <w:tab w:pos="2178" w:val="left"/>
          <w:tab w:pos="2656" w:val="left"/>
          <w:tab w:pos="3222" w:val="left"/>
          <w:tab w:pos="3410" w:val="left"/>
          <w:tab w:pos="3986" w:val="left"/>
          <w:tab w:pos="4378" w:val="left"/>
          <w:tab w:pos="4450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[54]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5" w:history="1">
          <w:r>
            <w:rPr>
              <w:rStyle w:val="Hyperlink"/>
            </w:rPr>
            <w:t xml:space="preserve">Ibáñez R, Abisset-Chavanne E, Ammar A,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González D, Cueto E, Huerta A,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Duval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JL,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Chinesta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F.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A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multidimensional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data-driven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sparse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>identifica-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technique: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The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sparse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proper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generalized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decomposition.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Complexity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tion </w:t>
          </w:r>
        </w:hyperlink>
      </w:r>
      <w:r>
        <w:br/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>2018;2018:1–11.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[55]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Izquierdo S, Ro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dr’iguez R, Zambrano V. TWINKLE: A digital-twin-building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kernel for real-time computer-aided engineering. 2020,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7" w:history="1">
          <w:r>
            <w:rPr>
              <w:rStyle w:val="Hyperlink"/>
            </w:rPr>
            <w:t xml:space="preserve">https://github.com/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7" w:history="1">
          <w:r>
            <w:rPr>
              <w:rStyle w:val="Hyperlink"/>
            </w:rPr>
            <w:t>caeliaITAINNOVA/Twinkle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[56]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Zambrano V, Rodríguez-B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arrachina R, Calvo S, Izquierdo S. TWINKLE: A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digital-twin-building kernel for real-time computer-aided engineering. SoftwareX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2020;11:100419.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8" w:history="1">
          <w:r>
            <w:rPr>
              <w:rStyle w:val="Hyperlink"/>
            </w:rPr>
            <w:t>http://dx.doi.org/10.1016/j.softx.2020.100419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, URL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9" w:history="1">
          <w:r>
            <w:rPr>
              <w:rStyle w:val="Hyperlink"/>
            </w:rPr>
            <w:t xml:space="preserve">https://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9" w:history="1">
          <w:r>
            <w:rPr>
              <w:rStyle w:val="Hyperlink"/>
            </w:rPr>
            <w:t>www.sciencedirect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9" w:history="1">
          <w:r>
            <w:rPr>
              <w:rStyle w:val="Hyperlink"/>
            </w:rPr>
            <w:t>.com/science/article/pii/S2352711019300664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[57]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Ayodele T. Types of machine learning algorithms. In: New adva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nces in machine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learning. InTech; 2010, p. 19–48.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0" w:history="1">
          <w:r>
            <w:rPr>
              <w:rStyle w:val="Hyperlink"/>
            </w:rPr>
            <w:t>http://dx.doi.org/10.5772/9385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, Ch. 3.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[58] International Organization for Sta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ndardization. Environmental 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anagement –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Life Cycle Assessment – Principles and framework. URL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1" w:history="1">
          <w:r>
            <w:rPr>
              <w:rStyle w:val="Hyperlink"/>
            </w:rPr>
            <w:t xml:space="preserve">https://www.iso.org/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1" w:history="1">
          <w:r>
            <w:rPr>
              <w:rStyle w:val="Hyperlink"/>
            </w:rPr>
            <w:t>standard/37456.html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78" w:val="left"/>
        </w:tabs>
        <w:autoSpaceDE w:val="0"/>
        <w:widowControl/>
        <w:spacing w:line="170" w:lineRule="exact" w:before="60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[59]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1" w:history="1">
          <w:r>
            <w:rPr>
              <w:rStyle w:val="Hyperlink"/>
            </w:rPr>
            <w:t>McClure C. Softwar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2" w:history="1">
          <w:r>
            <w:rPr>
              <w:rStyle w:val="Hyperlink"/>
            </w:rPr>
            <w:t xml:space="preserve">e reuse - a standards-based guide. Wiley-IEEE Computer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2" w:history="1">
          <w:r>
            <w:rPr>
              <w:rStyle w:val="Hyperlink"/>
            </w:rPr>
            <w:t>Society Press; 2001.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[60]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Functional mock-up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interface.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3" w:history="1">
          <w:r>
            <w:rPr>
              <w:rStyle w:val="Hyperlink"/>
            </w:rPr>
            <w:t>https://fmi-standard.org/tools/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[61]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4" w:history="1">
          <w:r>
            <w:rPr>
              <w:rStyle w:val="Hyperlink"/>
            </w:rPr>
            <w:t>Bagnato A, Brosse E, Quadri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3" w:history="1">
          <w:r>
            <w:rPr>
              <w:rStyle w:val="Hyperlink"/>
            </w:rPr>
            <w:t xml:space="preserve"> I, Sadovykh A. INTO-CPS: 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4" w:history="1">
          <w:r>
            <w:rPr>
              <w:rStyle w:val="Hyperlink"/>
            </w:rPr>
            <w:t xml:space="preserve">n integrated ‘‘tool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4" w:history="1">
          <w:r>
            <w:rPr>
              <w:rStyle w:val="Hyperlink"/>
            </w:rPr>
            <w:t xml:space="preserve">chain’’ for comprehensive: model-based design of cyber-physical systems. In: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4" w:history="1">
          <w:r>
            <w:rPr>
              <w:rStyle w:val="Hyperlink"/>
            </w:rPr>
            <w:t xml:space="preserve">ICSSEA 2015 proceedings. 2015, p. 31–5, This publication is part of the Horizon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4" w:history="1">
          <w:r>
            <w:rPr>
              <w:rStyle w:val="Hyperlink"/>
            </w:rPr>
            <w:t>2020 project: Integrated Tool chain for model-based design of CPSs (INTO-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4" w:history="1">
          <w:r>
            <w:rPr>
              <w:rStyle w:val="Hyperlink"/>
            </w:rPr>
            <w:t xml:space="preserve">CPS), project/GA number 644047.; null ; Conference date: 27-05-2015 Through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4" w:history="1">
          <w:r>
            <w:rPr>
              <w:rStyle w:val="Hyperlink"/>
            </w:rPr>
            <w:t>29-05-2015.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2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[62] Modelio: Open source development environment. 2021,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5" w:history="1">
          <w:r>
            <w:rPr>
              <w:rStyle w:val="Hyperlink"/>
            </w:rPr>
            <w:t xml:space="preserve">https://www.modelio.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5" w:history="1">
          <w:r>
            <w:rPr>
              <w:rStyle w:val="Hyperlink"/>
            </w:rPr>
            <w:t>org/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6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[63]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5" w:history="1">
          <w:r>
            <w:rPr>
              <w:rStyle w:val="Hyperlink"/>
            </w:rPr>
            <w:t>Lars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6" w:history="1">
          <w:r>
            <w:rPr>
              <w:rStyle w:val="Hyperlink"/>
            </w:rPr>
            <w:t xml:space="preserve">en PG, Battle N, Ferreira M, Fitzgerald J, Lausdahl K, Verhoef M. The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6" w:history="1">
          <w:r>
            <w:rPr>
              <w:rStyle w:val="Hyperlink"/>
            </w:rPr>
            <w:t xml:space="preserve">overture initiative integrating tools for VDM. ACM SIGSOFT Softw Eng Notes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6" w:history="1">
          <w:r>
            <w:rPr>
              <w:rStyle w:val="Hyperlink"/>
            </w:rPr>
            <w:t>2010;35(1):1–6.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[64]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Fitzgerald J, Ga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mble C, Larsen P, Pierce K, Woodcock J. Cyber-physical systems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design: Formal foundations, methods and integrated tool chains. In: Proceedings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 the 2015 IEEE/ACM 3rd FME workshop on formal methods in software engi-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neering (FormaliSE). IEEE; 2015, p. 40–6.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7" w:history="1">
          <w:r>
            <w:rPr>
              <w:rStyle w:val="Hyperlink"/>
            </w:rPr>
            <w:t>http://dx.doi.org/10.1109/FormaliSE.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56" w:firstLine="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7" w:history="1">
          <w:r>
            <w:rPr>
              <w:rStyle w:val="Hyperlink"/>
            </w:rPr>
            <w:t>2015.14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, This publication is part of the 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 xml:space="preserve">orizon 2020 project: Integrated Tool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chain fo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r model-based design of CPSs (INTO-CPS), project/GA number 644047.;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null ; Conference date: 18-05-2015 Through 18-05-2015.</w:t>
      </w:r>
    </w:p>
    <w:p>
      <w:pPr>
        <w:autoSpaceDN w:val="0"/>
        <w:autoSpaceDE w:val="0"/>
        <w:widowControl/>
        <w:spacing w:line="170" w:lineRule="exact" w:before="6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[65]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8" w:history="1">
          <w:r>
            <w:rPr>
              <w:rStyle w:val="Hyperlink"/>
            </w:rPr>
            <w:t xml:space="preserve">Larsen PG, Lausdahl K, Battle N, Fitzgerald J, Wolff S, Sahara S, Verhoef M,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8" w:history="1">
          <w:r>
            <w:rPr>
              <w:rStyle w:val="Hyperlink"/>
            </w:rPr>
            <w:t>Tran-Jørgensen PW, Oda T, Chisholm P. VDM-10 language manual. 2010.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[66]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Fritzson P, Pop A, Abdelhak K, Ashgar A, Bachmann B, Braun W, Bousk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ela D,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Braun R, Buffoni L, Casella F, Castro R, Franke R, Fritzson D, Gebremed-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hin M, Heuermann A, Lie B, Mengist A, Mikelsons L, Moudgalya K, Ochel L,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Palanisamy A, Ruge V, Schamai W, Sjölund M, Thiele B, Tinnerholm J, Östlund P.</w:t>
      </w:r>
    </w:p>
    <w:p>
      <w:pPr>
        <w:autoSpaceDN w:val="0"/>
        <w:autoSpaceDE w:val="0"/>
        <w:widowControl/>
        <w:spacing w:line="172" w:lineRule="exact" w:before="58" w:after="0"/>
        <w:ind w:left="378" w:right="56" w:firstLine="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 OpenModelica integrated environment for modeling, simulation, and model-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based development. Model Identif Control 2020;41(4):241–95.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9" w:history="1">
          <w:r>
            <w:rPr>
              <w:rStyle w:val="Hyperlink"/>
            </w:rPr>
            <w:t xml:space="preserve">http://dx.doi.org/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9" w:history="1">
          <w:r>
            <w:rPr>
              <w:rStyle w:val="Hyperlink"/>
            </w:rPr>
            <w:t>10.4173/mic.2020.4.1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096" w:space="0"/>
            <w:col w:w="5338" w:space="0"/>
            <w:col w:w="10433" w:space="0"/>
            <w:col w:w="10433" w:space="0"/>
            <w:col w:w="4746" w:space="0"/>
            <w:col w:w="5688" w:space="0"/>
            <w:col w:w="10433" w:space="0"/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11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096" w:space="0"/>
            <w:col w:w="5338" w:space="0"/>
            <w:col w:w="10433" w:space="0"/>
            <w:col w:w="10433" w:space="0"/>
            <w:col w:w="4746" w:space="0"/>
            <w:col w:w="5688" w:space="0"/>
            <w:col w:w="10433" w:space="0"/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82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V. Zambrano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100176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096" w:space="0"/>
            <w:col w:w="5338" w:space="0"/>
            <w:col w:w="10433" w:space="0"/>
            <w:col w:w="10433" w:space="0"/>
            <w:col w:w="4746" w:space="0"/>
            <w:col w:w="5688" w:space="0"/>
            <w:col w:w="10433" w:space="0"/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72" w:lineRule="exact" w:before="58" w:after="0"/>
        <w:ind w:left="0" w:right="56" w:firstLine="0"/>
        <w:jc w:val="both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Giuseppe Landolfi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works at the Institute of Systems and Technologies for Sustainable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Production of the Department of Innovative Technologies within the Sustainable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Production Systems Laboratory (SPS). He has been involved in several National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and European projects as Software Engineer with a supervisory role of a group of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developers. He is lecturer in several courses such as Introduction of Programming,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Introduction of Object Programming and Industry 4.0.</w:t>
      </w:r>
    </w:p>
    <w:p>
      <w:pPr>
        <w:autoSpaceDN w:val="0"/>
        <w:autoSpaceDE w:val="0"/>
        <w:widowControl/>
        <w:spacing w:line="172" w:lineRule="exact" w:before="306" w:after="0"/>
        <w:ind w:left="0" w:right="56" w:firstLine="0"/>
        <w:jc w:val="both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Alessandro Fontana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M. Sc. Eng. Alessandro Fontana is Lecturer &amp; Researcher at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SUPSI. Graduated in Material Engineering, he had a six-year industrial experience in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Life Cycle Assessment of products and manufacturing processes within Legrand Group.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Member of Sustainable Production Systems Lab of SUPSI, his main research domain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is sustainability assessment in manufacturing. He teaches Industrial Sustainability at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Master and Bachelor level.</w:t>
      </w:r>
    </w:p>
    <w:p>
      <w:pPr>
        <w:autoSpaceDN w:val="0"/>
        <w:autoSpaceDE w:val="0"/>
        <w:widowControl/>
        <w:spacing w:line="172" w:lineRule="exact" w:before="278" w:after="0"/>
        <w:ind w:left="0" w:right="56" w:firstLine="0"/>
        <w:jc w:val="both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Manuel Laspalas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Ph.D. in Industrial Engineering. He has been leading ITAINNOVA’s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research lines on ‘‘Multiscale Analysis and Simulation of Unconventional Transformation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Processes’’ (2013–2015) and ‘‘R+D+i in Polymers’’ (2017–2020). He currently performs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functions of Project Manager in strategic projects for ITAINNOVA and leads the research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line on ‘‘Sustainable Material Transformation Processes’’ (2021–2024).</w:t>
      </w:r>
    </w:p>
    <w:p>
      <w:pPr>
        <w:autoSpaceDN w:val="0"/>
        <w:autoSpaceDE w:val="0"/>
        <w:widowControl/>
        <w:spacing w:line="172" w:lineRule="exact" w:before="298" w:after="0"/>
        <w:ind w:left="0" w:right="56" w:firstLine="0"/>
        <w:jc w:val="both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Jibinraj Antony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completed his M.Sc. in Mechatronics from University of Siegen,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Germany, with focus on Deep Learning. Presently he is working as researcher at DFKI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focusing on the digital transformation of SMEs. He is also part of the Mittelstand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Digital Zentrum (MDZ), offering consultation for SMEs in their digitalization and AI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implementation efforts.</w:t>
      </w:r>
    </w:p>
    <w:p>
      <w:pPr>
        <w:autoSpaceDN w:val="0"/>
        <w:autoSpaceDE w:val="0"/>
        <w:widowControl/>
        <w:spacing w:line="170" w:lineRule="exact" w:before="306" w:after="0"/>
        <w:ind w:left="0" w:right="56" w:firstLine="0"/>
        <w:jc w:val="both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Valerie Poser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is a researcher at DFKI, focusing on software engineering in cloud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environments. She received her B.Sc. and M.Sc. in Computer Science from Saarland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University in the field of classical AI planning. Her current research activities address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machine learning in cloud environments, with the goal to facilitate the application of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state-of-the-art ML tools for industrial applications.</w:t>
      </w:r>
    </w:p>
    <w:p>
      <w:pPr>
        <w:autoSpaceDN w:val="0"/>
        <w:autoSpaceDE w:val="0"/>
        <w:widowControl/>
        <w:spacing w:line="172" w:lineRule="exact" w:before="306" w:after="0"/>
        <w:ind w:left="0" w:right="56" w:firstLine="0"/>
        <w:jc w:val="both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Tamas Kiss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is a Professor of Distributed Computing at the School of Computer Science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and Engineering and Director of the Centre for Parallel Computing at the University of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Westminster. He is also Editor in Chief of the Journal of Grid Computing, published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by Springer Nature. He attracted over £50 Million research funding and led several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national and European research projects.</w:t>
      </w:r>
    </w:p>
    <w:p>
      <w:pPr>
        <w:autoSpaceDN w:val="0"/>
        <w:autoSpaceDE w:val="0"/>
        <w:widowControl/>
        <w:spacing w:line="172" w:lineRule="exact" w:before="306" w:after="0"/>
        <w:ind w:left="0" w:right="56" w:firstLine="0"/>
        <w:jc w:val="both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Simon Bergweiler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received a diploma in the field of applied computer science at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Trier University of Applied Sciences. Since then, he has been working on national and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international projects at the German Research Center for Artificial Intelligence (DFKI).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The focus of his current research activities as a senior engineer is on the Cognitive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Factory and Human-Centered Subsidiary Industrial Production. In the context of this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paper, Machine Learning models as well as the use of methods of AI were considered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 terms of Manufacturing as a Service (MaaS).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096" w:space="0"/>
            <w:col w:w="5338" w:space="0"/>
            <w:col w:w="10433" w:space="0"/>
            <w:col w:w="10433" w:space="0"/>
            <w:col w:w="4746" w:space="0"/>
            <w:col w:w="5688" w:space="0"/>
            <w:col w:w="10433" w:space="0"/>
            <w:col w:w="5096" w:space="0"/>
            <w:col w:w="5338" w:space="0"/>
            <w:col w:w="10433" w:space="0"/>
            <w:col w:w="5102" w:space="0"/>
            <w:col w:w="5340" w:space="0"/>
            <w:col w:w="10442" w:space="0"/>
            <w:col w:w="5096" w:space="0"/>
            <w:col w:w="5338" w:space="0"/>
            <w:col w:w="10433" w:space="0"/>
            <w:col w:w="5198" w:space="0"/>
            <w:col w:w="5235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12</w:t>
      </w:r>
    </w:p>
    <w:sectPr w:rsidR="00FC693F" w:rsidRPr="0006063C" w:rsidSect="00034616">
      <w:type w:val="nextColumn"/>
      <w:pgSz w:w="11906" w:h="15874"/>
      <w:pgMar w:top="330" w:right="720" w:bottom="288" w:left="752" w:header="720" w:footer="720" w:gutter="0"/>
      <w:cols w:space="720" w:num="2" w:equalWidth="0">
        <w:col w:w="5078" w:space="0"/>
        <w:col w:w="5355" w:space="0"/>
        <w:col w:w="10433" w:space="0"/>
        <w:col w:w="5078" w:space="0"/>
        <w:col w:w="5355" w:space="0"/>
        <w:col w:w="10433" w:space="0"/>
        <w:col w:w="5078" w:space="0"/>
        <w:col w:w="5355" w:space="0"/>
        <w:col w:w="10433" w:space="0"/>
        <w:col w:w="5096" w:space="0"/>
        <w:col w:w="5338" w:space="0"/>
        <w:col w:w="10433" w:space="0"/>
        <w:col w:w="10433" w:space="0"/>
        <w:col w:w="4746" w:space="0"/>
        <w:col w:w="5688" w:space="0"/>
        <w:col w:w="10433" w:space="0"/>
        <w:col w:w="5096" w:space="0"/>
        <w:col w:w="5338" w:space="0"/>
        <w:col w:w="10433" w:space="0"/>
        <w:col w:w="5102" w:space="0"/>
        <w:col w:w="5340" w:space="0"/>
        <w:col w:w="10442" w:space="0"/>
        <w:col w:w="5096" w:space="0"/>
        <w:col w:w="5338" w:space="0"/>
        <w:col w:w="10433" w:space="0"/>
        <w:col w:w="5198" w:space="0"/>
        <w:col w:w="5235" w:space="0"/>
        <w:col w:w="10433" w:space="0"/>
        <w:col w:w="5096" w:space="0"/>
        <w:col w:w="5338" w:space="0"/>
        <w:col w:w="10433" w:space="0"/>
        <w:col w:w="5096" w:space="0"/>
        <w:col w:w="5338" w:space="0"/>
        <w:col w:w="10433" w:space="0"/>
        <w:col w:w="5096" w:space="0"/>
        <w:col w:w="5338" w:space="0"/>
        <w:col w:w="10433" w:space="0"/>
        <w:col w:w="10434" w:space="0"/>
        <w:col w:w="5206" w:space="0"/>
        <w:col w:w="5228" w:space="0"/>
        <w:col w:w="1043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2.100176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elsevier.com/locate/array" TargetMode="External"/><Relationship Id="rId12" Type="http://schemas.openxmlformats.org/officeDocument/2006/relationships/image" Target="media/image2.png"/><Relationship Id="rId13" Type="http://schemas.openxmlformats.org/officeDocument/2006/relationships/hyperlink" Target="mailto:vzambrano@itainnova.es" TargetMode="External"/><Relationship Id="rId14" Type="http://schemas.openxmlformats.org/officeDocument/2006/relationships/hyperlink" Target="mailto:prasad.talasila@ece.au.dk" TargetMode="External"/><Relationship Id="rId15" Type="http://schemas.openxmlformats.org/officeDocument/2006/relationships/hyperlink" Target="http://creativecommons.org/licenses/by/4.0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hyperlink" Target="http://refhub.elsevier.com/S2590-0056(22)00035-2/sb1" TargetMode="External"/><Relationship Id="rId20" Type="http://schemas.openxmlformats.org/officeDocument/2006/relationships/hyperlink" Target="http://refhub.elsevier.com/S2590-0056(22)00035-2/sb2" TargetMode="External"/><Relationship Id="rId21" Type="http://schemas.openxmlformats.org/officeDocument/2006/relationships/hyperlink" Target="http://refhub.elsevier.com/S2590-0056(22)00035-2/sb3" TargetMode="External"/><Relationship Id="rId22" Type="http://schemas.openxmlformats.org/officeDocument/2006/relationships/hyperlink" Target="http://refhub.elsevier.com/S2590-0056(22)00035-2/sb4" TargetMode="External"/><Relationship Id="rId23" Type="http://schemas.openxmlformats.org/officeDocument/2006/relationships/hyperlink" Target="http://refhub.elsevier.com/S2590-0056(22)00035-2/sb5" TargetMode="External"/><Relationship Id="rId24" Type="http://schemas.openxmlformats.org/officeDocument/2006/relationships/hyperlink" Target="http://refhub.elsevier.com/S2590-0056(22)00035-2/sb6" TargetMode="External"/><Relationship Id="rId25" Type="http://schemas.openxmlformats.org/officeDocument/2006/relationships/hyperlink" Target="http://refhub.elsevier.com/S2590-0056(22)00035-2/sb7" TargetMode="External"/><Relationship Id="rId26" Type="http://schemas.openxmlformats.org/officeDocument/2006/relationships/hyperlink" Target="http://refhub.elsevier.com/S2590-0056(22)00035-2/sb8" TargetMode="External"/><Relationship Id="rId27" Type="http://schemas.openxmlformats.org/officeDocument/2006/relationships/hyperlink" Target="http://refhub.elsevier.com/S2590-0056(22)00035-2/sb9" TargetMode="External"/><Relationship Id="rId28" Type="http://schemas.openxmlformats.org/officeDocument/2006/relationships/hyperlink" Target="http://refhub.elsevier.com/S2590-0056(22)00035-2/sb10" TargetMode="External"/><Relationship Id="rId29" Type="http://schemas.openxmlformats.org/officeDocument/2006/relationships/hyperlink" Target="http://refhub.elsevier.com/S2590-0056(22)00035-2/sb11" TargetMode="External"/><Relationship Id="rId30" Type="http://schemas.openxmlformats.org/officeDocument/2006/relationships/hyperlink" Target="http://refhub.elsevier.com/S2590-0056(22)00035-2/sb12" TargetMode="External"/><Relationship Id="rId31" Type="http://schemas.openxmlformats.org/officeDocument/2006/relationships/hyperlink" Target="http://refhub.elsevier.com/S2590-0056(22)00035-2/sb13" TargetMode="External"/><Relationship Id="rId32" Type="http://schemas.openxmlformats.org/officeDocument/2006/relationships/hyperlink" Target="https://project-cola.eu/cola-project/" TargetMode="External"/><Relationship Id="rId33" Type="http://schemas.openxmlformats.org/officeDocument/2006/relationships/hyperlink" Target="http://refhub.elsevier.com/S2590-0056(22)00035-2/sb42" TargetMode="External"/><Relationship Id="rId34" Type="http://schemas.openxmlformats.org/officeDocument/2006/relationships/hyperlink" Target="http://dx.doi.org/10.1016/j.simpat.2018.12.005" TargetMode="External"/><Relationship Id="rId35" Type="http://schemas.openxmlformats.org/officeDocument/2006/relationships/hyperlink" Target="http://www.sciencedirect.com/science/article/pii/S1569190X1830193X" TargetMode="External"/><Relationship Id="rId36" Type="http://schemas.openxmlformats.org/officeDocument/2006/relationships/hyperlink" Target="http://refhub.elsevier.com/S2590-0056(22)00035-2/sb44" TargetMode="External"/><Relationship Id="rId37" Type="http://schemas.openxmlformats.org/officeDocument/2006/relationships/hyperlink" Target="http://refhub.elsevier.com/S2590-0056(22)00035-2/sb45" TargetMode="External"/><Relationship Id="rId38" Type="http://schemas.openxmlformats.org/officeDocument/2006/relationships/hyperlink" Target="http://refhub.elsevier.com/S2590-0056(22)00035-2/sb46" TargetMode="External"/><Relationship Id="rId39" Type="http://schemas.openxmlformats.org/officeDocument/2006/relationships/hyperlink" Target="http://refhub.elsevier.com/S2590-0056(22)00035-2/sb47" TargetMode="External"/><Relationship Id="rId40" Type="http://schemas.openxmlformats.org/officeDocument/2006/relationships/hyperlink" Target="http://refhub.elsevier.com/S2590-0056(22)00035-2/sb48" TargetMode="External"/><Relationship Id="rId41" Type="http://schemas.openxmlformats.org/officeDocument/2006/relationships/hyperlink" Target="http://refhub.elsevier.com/S2590-0056(22)00035-2/sb49" TargetMode="External"/><Relationship Id="rId42" Type="http://schemas.openxmlformats.org/officeDocument/2006/relationships/hyperlink" Target="http://refhub.elsevier.com/S2590-0056(22)00035-2/sb50" TargetMode="External"/><Relationship Id="rId43" Type="http://schemas.openxmlformats.org/officeDocument/2006/relationships/hyperlink" Target="http://refhub.elsevier.com/S2590-0056(22)00035-2/sb51" TargetMode="External"/><Relationship Id="rId44" Type="http://schemas.openxmlformats.org/officeDocument/2006/relationships/hyperlink" Target="http://refhub.elsevier.com/S2590-0056(22)00035-2/sb52" TargetMode="External"/><Relationship Id="rId45" Type="http://schemas.openxmlformats.org/officeDocument/2006/relationships/hyperlink" Target="http://refhub.elsevier.com/S2590-0056(22)00035-2/sb53" TargetMode="External"/><Relationship Id="rId46" Type="http://schemas.openxmlformats.org/officeDocument/2006/relationships/hyperlink" Target="http://refhub.elsevier.com/S2590-0056(22)00035-2/sb54" TargetMode="External"/><Relationship Id="rId47" Type="http://schemas.openxmlformats.org/officeDocument/2006/relationships/hyperlink" Target="https://github.com/caeliaITAINNOVA/Twinkle" TargetMode="External"/><Relationship Id="rId48" Type="http://schemas.openxmlformats.org/officeDocument/2006/relationships/hyperlink" Target="http://dx.doi.org/10.1016/j.softx.2020.100419" TargetMode="External"/><Relationship Id="rId49" Type="http://schemas.openxmlformats.org/officeDocument/2006/relationships/hyperlink" Target="https://www.sciencedirect.com/science/article/pii/S2352711019300664" TargetMode="External"/><Relationship Id="rId50" Type="http://schemas.openxmlformats.org/officeDocument/2006/relationships/hyperlink" Target="http://dx.doi.org/10.5772/9385" TargetMode="External"/><Relationship Id="rId51" Type="http://schemas.openxmlformats.org/officeDocument/2006/relationships/hyperlink" Target="https://www.iso.org/standard/37456.html" TargetMode="External"/><Relationship Id="rId52" Type="http://schemas.openxmlformats.org/officeDocument/2006/relationships/hyperlink" Target="http://refhub.elsevier.com/S2590-0056(22)00035-2/sb59" TargetMode="External"/><Relationship Id="rId53" Type="http://schemas.openxmlformats.org/officeDocument/2006/relationships/hyperlink" Target="https://fmi-standard.org/tools/" TargetMode="External"/><Relationship Id="rId54" Type="http://schemas.openxmlformats.org/officeDocument/2006/relationships/hyperlink" Target="http://refhub.elsevier.com/S2590-0056(22)00035-2/sb61" TargetMode="External"/><Relationship Id="rId55" Type="http://schemas.openxmlformats.org/officeDocument/2006/relationships/hyperlink" Target="https://www.modelio.org/" TargetMode="External"/><Relationship Id="rId56" Type="http://schemas.openxmlformats.org/officeDocument/2006/relationships/hyperlink" Target="http://refhub.elsevier.com/S2590-0056(22)00035-2/sb63" TargetMode="External"/><Relationship Id="rId57" Type="http://schemas.openxmlformats.org/officeDocument/2006/relationships/hyperlink" Target="http://dx.doi.org/10.1109/FormaliSE.2015.14" TargetMode="External"/><Relationship Id="rId58" Type="http://schemas.openxmlformats.org/officeDocument/2006/relationships/hyperlink" Target="http://refhub.elsevier.com/S2590-0056(22)00035-2/sb65" TargetMode="External"/><Relationship Id="rId59" Type="http://schemas.openxmlformats.org/officeDocument/2006/relationships/hyperlink" Target="http://dx.doi.org/10.4173/mic.2020.4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