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15"/>
        <w:gridCol w:w="3215"/>
        <w:gridCol w:w="3215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15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5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15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394 – 401 </w:t>
            </w:r>
          </w:p>
        </w:tc>
        <w:tc>
          <w:tcPr>
            <w:tcW w:type="dxa" w:w="32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2" w:after="0"/>
        <w:ind w:left="14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30" w:lineRule="auto" w:before="264" w:after="0"/>
        <w:ind w:left="5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Lead leachate from rubies undergone heat treatment process </w:t>
      </w:r>
    </w:p>
    <w:p>
      <w:pPr>
        <w:autoSpaceDN w:val="0"/>
        <w:autoSpaceDE w:val="0"/>
        <w:widowControl/>
        <w:spacing w:line="266" w:lineRule="auto" w:before="234" w:after="0"/>
        <w:ind w:left="12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Patcharin Lekkar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, Arubol Chotipong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b,c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 and Chakkaphan Sutthirat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b,c,d,e*</w:t>
      </w:r>
    </w:p>
    <w:p>
      <w:pPr>
        <w:autoSpaceDN w:val="0"/>
        <w:autoSpaceDE w:val="0"/>
        <w:widowControl/>
        <w:spacing w:line="257" w:lineRule="auto" w:before="170" w:after="0"/>
        <w:ind w:left="432" w:right="72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Inter-department of Environmental Science, Graduate School, Chulalongkorn University, Patumwan, Bangkok 10330 Thailand. 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Center of Excellence on Hazardous Substance Management (EHWM), Chulalongkorn University, Bangkok  10330  Thailand. 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c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Environmental Research Institute, Chulalongkorn University, Bangkok 10330,Thailand. </w:t>
      </w:r>
    </w:p>
    <w:p>
      <w:pPr>
        <w:autoSpaceDN w:val="0"/>
        <w:autoSpaceDE w:val="0"/>
        <w:widowControl/>
        <w:spacing w:line="252" w:lineRule="auto" w:before="8" w:after="0"/>
        <w:ind w:left="145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Department of Geology, Faculty of Science, Chulalongkorn University, Bangkok 10330,Thailand. </w:t>
      </w:r>
    </w:p>
    <w:p>
      <w:pPr>
        <w:autoSpaceDN w:val="0"/>
        <w:autoSpaceDE w:val="0"/>
        <w:widowControl/>
        <w:spacing w:line="252" w:lineRule="auto" w:before="6" w:after="0"/>
        <w:ind w:left="85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e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The Gem and Jewellery Institute of Thailand (Public Organization), ITF-Tower Building, Bangkok 10500, Thailand. </w:t>
      </w:r>
    </w:p>
    <w:p>
      <w:pPr>
        <w:autoSpaceDN w:val="0"/>
        <w:autoSpaceDE w:val="0"/>
        <w:widowControl/>
        <w:spacing w:line="230" w:lineRule="auto" w:before="628" w:after="0"/>
        <w:ind w:left="21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5" w:lineRule="auto" w:before="230" w:after="0"/>
        <w:ind w:left="210" w:right="53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Low quality rubies are usually undergone heat treatment to improve their color and clarity. Some chemical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additives may have been added during the treatment. Consequently, some toxic elements, particular lead, have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been concerned as well as durability of the treated stones. Lead leachates from treated ruby have therefore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been investigated; besides, changes of color and clarity have also been observed throughout the experiment.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Three-Stage Sequential Extraction Procedure (BCR) was applied for leaching experiment. This process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consists of 3 steps including BCR1 (exchangeable step), BCR2 (reduction step) and BCR3 (oxidation step).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procedure has been suggested to represent natural processes that may altered materials including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hazardous one. Apart from regular procedure, we also rearrange the step orders. This aims to find out the most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effective condition of lead leaching. The results indicate that the most effective step seems to be BCR 3 which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an aggressive reaction compared to the other steps. However, BCR 2 also yields the highest lead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concentration after activating initially by BCR I in series I. On the other hand, BCR1 is unable to extract lead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the treated ruby. Moreover, the appearances of rubies in each series have been altered towards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experimental steps and well corresponded to the concentrations of lead in leachate. </w:t>
      </w:r>
    </w:p>
    <w:p>
      <w:pPr>
        <w:autoSpaceDN w:val="0"/>
        <w:autoSpaceDE w:val="0"/>
        <w:widowControl/>
        <w:spacing w:line="245" w:lineRule="auto" w:before="236" w:after="0"/>
        <w:ind w:left="21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Patcharin Lekkar, Arubol Chotipong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Chakkapha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n Sutthirat. Publishe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 by Elsevier B.V. Selection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4" w:after="0"/>
        <w:ind w:left="2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Lead, Leaching, BCR, Ruby, Heat Treatment. </w:t>
      </w:r>
    </w:p>
    <w:p>
      <w:pPr>
        <w:autoSpaceDN w:val="0"/>
        <w:autoSpaceDE w:val="0"/>
        <w:widowControl/>
        <w:spacing w:line="257" w:lineRule="auto" w:before="740" w:after="0"/>
        <w:ind w:left="450" w:right="46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* Corresponding author. Tel.: +66-2-218-8112 ; fax: +66-2-218-8124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c.sutthirat@gmail.com; chakkaphan.s@chula.ac.th</w:t>
      </w:r>
    </w:p>
    <w:p>
      <w:pPr>
        <w:autoSpaceDN w:val="0"/>
        <w:autoSpaceDE w:val="0"/>
        <w:widowControl/>
        <w:spacing w:line="200" w:lineRule="exact" w:before="1556" w:after="0"/>
        <w:ind w:left="4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10.1016/j.aasri.2012.11.062 </w:t>
      </w:r>
    </w:p>
    <w:p>
      <w:pPr>
        <w:sectPr>
          <w:pgSz w:w="10885" w:h="14854"/>
          <w:pgMar w:top="438" w:right="672" w:bottom="212" w:left="568" w:header="720" w:footer="720" w:gutter="0"/>
          <w:cols w:space="720" w:num="1" w:equalWidth="0"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6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Patcharin Lekkar et al. /  AASRI Procedia  3 ( 2012 )  394 – 401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395</w:t>
      </w:r>
    </w:p>
    <w:p>
      <w:pPr>
        <w:autoSpaceDN w:val="0"/>
        <w:autoSpaceDE w:val="0"/>
        <w:widowControl/>
        <w:spacing w:line="230" w:lineRule="auto" w:before="398" w:after="0"/>
        <w:ind w:left="1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0" w:after="6"/>
        <w:ind w:left="10" w:right="4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Thailand is a world famous market of colored stone. This is because of the good quality of natural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gemstones sources, especially ruby and sapphire, together with the skilled craftsman for gem cutting as well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professional jewelry design and setting. Recently, good quality gem materials have reduced against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increasing of price. This situation makes the lower quality gem material attracted the suppliers since their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quality can be improved by heating process. According to the process heating with gas feeding, the changes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chemical structure of trace elements inside the stone may improve their color and clarity; this process is then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4"/>
        <w:gridCol w:w="2344"/>
        <w:gridCol w:w="2344"/>
        <w:gridCol w:w="2344"/>
      </w:tblGrid>
      <w:tr>
        <w:trPr>
          <w:trHeight w:hRule="exact" w:val="2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so-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7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classical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06500" cy="127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" w:right="0" w:firstLine="0"/>
              <w:jc w:val="left"/>
            </w:pPr>
            <w:r>
              <w:rPr>
                <w:rFonts w:ascii="AngsanaNew" w:hAnsi="AngsanaNew" w:eastAsia="AngsanaNew"/>
                <w:b w:val="0"/>
                <w:i w:val="0"/>
                <w:color w:val="221F1F"/>
                <w:sz w:val="20"/>
              </w:rPr>
              <w:t xml:space="preserve"> [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Chucharuwong, 1999</w:t>
            </w:r>
            <w:r>
              <w:rPr>
                <w:rFonts w:ascii="AngsanaNew" w:hAnsi="AngsanaNew" w:eastAsia="AngsanaNew"/>
                <w:b w:val="0"/>
                <w:i w:val="0"/>
                <w:color w:val="221F1F"/>
                <w:sz w:val="20"/>
              </w:rPr>
              <w:t>]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This process has been widely accepted in 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10" w:right="47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international gem markets, although a few chemical additives such as borax may also be added during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heat treatment for crack healing and consequent clarity improvement. However, heat treatments have been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modified for a few decades; some chemical additives may have been added in the process with trial and error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the gem treaters. These also include lead glass which may lead environmental impact, particular human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health, in case they can be altered by natural process and/or daily chemical reactions. </w:t>
      </w:r>
    </w:p>
    <w:p>
      <w:pPr>
        <w:autoSpaceDN w:val="0"/>
        <w:autoSpaceDE w:val="0"/>
        <w:widowControl/>
        <w:spacing w:line="245" w:lineRule="auto" w:before="10" w:after="0"/>
        <w:ind w:left="1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Up to date, none of organization has paid attentions to the harmful of the chemical residue left in these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treated gemstones. Normally, these chemicals are possibly leached out during human daily life such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slightly acidic conditions (pH less than 7) when exposure to lime and lemon juices (pH 2.0-2.5), beer (pH 4.5-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5.0), orange juice (pH 3.0-3.5) [Nueanuansuwan, 2006] cow milk (pH 6.4-6.8) [Chuanchuen and Amonsin,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2006]. Moreover, human skins may also change slightly to acidic condition when sweat is excreted. Reducing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conditions on skin can be happened by surrounding hydrogen and carbon dioxide. Utilities of toxic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corrosive chemicals in everyday life , such as calcium hypochlorite (Ca(OCl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)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in cloth bleaching, sodium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chlorate (NaClO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in paper bleaching,  disinfectant in tap water or swimming pool as well as oxygen gas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atmosphere, may leach oxidizing condition. </w:t>
      </w:r>
    </w:p>
    <w:p>
      <w:pPr>
        <w:autoSpaceDN w:val="0"/>
        <w:tabs>
          <w:tab w:pos="248" w:val="left"/>
          <w:tab w:pos="6880" w:val="left"/>
        </w:tabs>
        <w:autoSpaceDE w:val="0"/>
        <w:widowControl/>
        <w:spacing w:line="240" w:lineRule="auto" w:before="10" w:after="0"/>
        <w:ind w:left="1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study, Three-Stage  Sequential  Extraction  Procedure or  BCR test which has been suggested by </w:t>
      </w:r>
      <w:r>
        <w:tab/>
      </w:r>
      <w:r>
        <w:drawing>
          <wp:inline xmlns:a="http://schemas.openxmlformats.org/drawingml/2006/main" xmlns:pic="http://schemas.openxmlformats.org/drawingml/2006/picture">
            <wp:extent cx="12573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Standard, Measurements  and Testing program (SM&amp;T),  formerly  called  the </w:t>
      </w:r>
    </w:p>
    <w:p>
      <w:pPr>
        <w:autoSpaceDN w:val="0"/>
        <w:autoSpaceDE w:val="0"/>
        <w:widowControl/>
        <w:spacing w:line="240" w:lineRule="auto" w:before="0" w:after="0"/>
        <w:ind w:left="10" w:right="470" w:hanging="10"/>
        <w:jc w:val="both"/>
      </w:pPr>
      <w:r>
        <w:drawing>
          <wp:inline xmlns:a="http://schemas.openxmlformats.org/drawingml/2006/main" xmlns:pic="http://schemas.openxmlformats.org/drawingml/2006/picture">
            <wp:extent cx="4318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[Rauret et al., 1999] was applied for the leaching procedure of treated rubies claimed as classical heat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treatment.  This method has been used to determine heavy metal concentrations, especially cadmium,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chromium, copper, lead, manganese, nickel, vanadium and zinc in soil or sediment. BCR three stages</w:t>
      </w:r>
      <w:r>
        <w:drawing>
          <wp:inline xmlns:a="http://schemas.openxmlformats.org/drawingml/2006/main" xmlns:pic="http://schemas.openxmlformats.org/drawingml/2006/picture">
            <wp:extent cx="1778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" w:after="0"/>
        <w:ind w:left="10" w:right="47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composed of exchangeable, reduction, and oxidation steps. Kanjanabut et al., [2010] investigated the lead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contents in lead glass-treated ruby from two companies and found that the lead contents increased towards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steps of testing due to more corrosion of gems. However, in natural conditions, these three steps of leaching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do not continuously occur in order. Therefore, this study was planned to alternate steps of the suggested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sequences and investigated the effect of leaching steps to the lead content obtained. </w:t>
      </w:r>
    </w:p>
    <w:p>
      <w:pPr>
        <w:autoSpaceDN w:val="0"/>
        <w:autoSpaceDE w:val="0"/>
        <w:widowControl/>
        <w:spacing w:line="233" w:lineRule="auto" w:before="252" w:after="0"/>
        <w:ind w:left="1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2. Material and Method </w:t>
      </w:r>
    </w:p>
    <w:p>
      <w:pPr>
        <w:autoSpaceDN w:val="0"/>
        <w:autoSpaceDE w:val="0"/>
        <w:widowControl/>
        <w:spacing w:line="230" w:lineRule="auto" w:before="246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2.1. Sample Source </w:t>
      </w:r>
    </w:p>
    <w:p>
      <w:pPr>
        <w:autoSpaceDN w:val="0"/>
        <w:tabs>
          <w:tab w:pos="248" w:val="left"/>
        </w:tabs>
        <w:autoSpaceDE w:val="0"/>
        <w:widowControl/>
        <w:spacing w:line="245" w:lineRule="auto" w:before="250" w:after="0"/>
        <w:ind w:left="1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Treated rubies were collected from 7 factories, nine stones of each factories which they announce classical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heat treatment.</w:t>
      </w:r>
    </w:p>
    <w:p>
      <w:pPr>
        <w:autoSpaceDN w:val="0"/>
        <w:autoSpaceDE w:val="0"/>
        <w:widowControl/>
        <w:spacing w:line="230" w:lineRule="auto" w:before="250" w:after="0"/>
        <w:ind w:left="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2.2 Three-Stage Sequential Extraction Procedure (BCR) </w:t>
      </w:r>
    </w:p>
    <w:p>
      <w:pPr>
        <w:autoSpaceDN w:val="0"/>
        <w:autoSpaceDE w:val="0"/>
        <w:widowControl/>
        <w:spacing w:line="245" w:lineRule="auto" w:before="250" w:after="0"/>
        <w:ind w:left="10" w:right="4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Each treated ruby was followed the leaching procedure of three-stage sequential extraction procedure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(BCR), including: 1) Exchangeable step (BCR 1), 40 ml acetic acid (0.11 mol/l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added, followed by16 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shaking; 2) Reduction (BCR 2), 40 ml hydroxylamine hydrochloride (0.5 mol/l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added, followed by16 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shaking  and 3) Oxidation (BCR 3), 10 ml hydrogen peroxide (8.8 mol/l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added, followed by heating 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80±2ºC using hotplate until volume reduced to 3 ml, then 10 ml hydrogen peroxide (8.8 mol/l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added </w:t>
      </w:r>
    </w:p>
    <w:p>
      <w:pPr>
        <w:sectPr>
          <w:pgSz w:w="10885" w:h="14854"/>
          <w:pgMar w:top="368" w:right="648" w:bottom="1206" w:left="860" w:header="720" w:footer="720" w:gutter="0"/>
          <w:cols w:space="720" w:num="1" w:equalWidth="0"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9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396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Patcharin Lekkar et al. /  AASRI Procedia  3 ( 2012 )  394 – 401 </w:t>
      </w:r>
    </w:p>
    <w:p>
      <w:pPr>
        <w:autoSpaceDN w:val="0"/>
        <w:autoSpaceDE w:val="0"/>
        <w:widowControl/>
        <w:spacing w:line="252" w:lineRule="auto" w:before="356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further heating at 80±2ºC until 1 ml of solution remained, ammonium acetate (1.0 mol/l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-1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finally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added to adjust the volume to 50 ml followed by 16 h shaking. </w:t>
      </w:r>
    </w:p>
    <w:p>
      <w:pPr>
        <w:autoSpaceDN w:val="0"/>
        <w:autoSpaceDE w:val="0"/>
        <w:widowControl/>
        <w:spacing w:line="233" w:lineRule="auto" w:before="25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2.3 Sequential Orders </w:t>
      </w:r>
    </w:p>
    <w:p>
      <w:pPr>
        <w:autoSpaceDN w:val="0"/>
        <w:autoSpaceDE w:val="0"/>
        <w:widowControl/>
        <w:spacing w:line="230" w:lineRule="auto" w:before="250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Sequential orders of BCR procedures were divided into 3 series as shown in Table 1 </w:t>
      </w:r>
    </w:p>
    <w:p>
      <w:pPr>
        <w:autoSpaceDN w:val="0"/>
        <w:autoSpaceDE w:val="0"/>
        <w:widowControl/>
        <w:spacing w:line="230" w:lineRule="auto" w:before="24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Table 1 Experimental series of BCR step procedures</w:t>
      </w:r>
    </w:p>
    <w:p>
      <w:pPr>
        <w:autoSpaceDN w:val="0"/>
        <w:autoSpaceDE w:val="0"/>
        <w:widowControl/>
        <w:spacing w:line="230" w:lineRule="auto" w:before="302" w:after="6"/>
        <w:ind w:left="0" w:right="210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Three-stage sequential extraction procedure BCR three stages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7.9999999999998" w:type="dxa"/>
      </w:tblPr>
      <w:tblGrid>
        <w:gridCol w:w="2418"/>
        <w:gridCol w:w="2418"/>
        <w:gridCol w:w="2418"/>
        <w:gridCol w:w="2418"/>
      </w:tblGrid>
      <w:tr>
        <w:trPr>
          <w:trHeight w:hRule="exact" w:val="242"/>
        </w:trPr>
        <w:tc>
          <w:tcPr>
            <w:tcW w:type="dxa" w:w="167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Experimental steps </w:t>
            </w:r>
          </w:p>
        </w:tc>
        <w:tc>
          <w:tcPr>
            <w:tcW w:type="dxa" w:w="11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2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I 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5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II </w:t>
            </w:r>
          </w:p>
        </w:tc>
        <w:tc>
          <w:tcPr>
            <w:tcW w:type="dxa" w:w="185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7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III </w:t>
            </w:r>
          </w:p>
        </w:tc>
      </w:tr>
      <w:tr>
        <w:trPr>
          <w:trHeight w:hRule="exact" w:val="256"/>
        </w:trPr>
        <w:tc>
          <w:tcPr>
            <w:tcW w:type="dxa" w:w="167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step 1 </w:t>
            </w:r>
          </w:p>
        </w:tc>
        <w:tc>
          <w:tcPr>
            <w:tcW w:type="dxa" w:w="11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1 </w:t>
            </w:r>
          </w:p>
        </w:tc>
        <w:tc>
          <w:tcPr>
            <w:tcW w:type="dxa" w:w="1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5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2 </w:t>
            </w:r>
          </w:p>
        </w:tc>
        <w:tc>
          <w:tcPr>
            <w:tcW w:type="dxa" w:w="185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7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3 </w:t>
            </w:r>
          </w:p>
        </w:tc>
      </w:tr>
      <w:tr>
        <w:trPr>
          <w:trHeight w:hRule="exact" w:val="280"/>
        </w:trPr>
        <w:tc>
          <w:tcPr>
            <w:tcW w:type="dxa" w:w="1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step 2 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2 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5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3 </w:t>
            </w:r>
          </w:p>
        </w:tc>
        <w:tc>
          <w:tcPr>
            <w:tcW w:type="dxa" w:w="1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7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1 </w:t>
            </w:r>
          </w:p>
        </w:tc>
      </w:tr>
      <w:tr>
        <w:trPr>
          <w:trHeight w:hRule="exact" w:val="358"/>
        </w:trPr>
        <w:tc>
          <w:tcPr>
            <w:tcW w:type="dxa" w:w="167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6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step 3 </w:t>
            </w:r>
          </w:p>
        </w:tc>
        <w:tc>
          <w:tcPr>
            <w:tcW w:type="dxa" w:w="11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3 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5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1 </w:t>
            </w:r>
          </w:p>
        </w:tc>
        <w:tc>
          <w:tcPr>
            <w:tcW w:type="dxa" w:w="185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7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 2 </w:t>
            </w:r>
          </w:p>
        </w:tc>
      </w:tr>
    </w:tbl>
    <w:p>
      <w:pPr>
        <w:autoSpaceDN w:val="0"/>
        <w:autoSpaceDE w:val="0"/>
        <w:widowControl/>
        <w:spacing w:line="230" w:lineRule="auto" w:before="27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2.4. Lead Concentration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48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All solutions obtained from leaching steps were analyzed for lead concentration using Atomic Absorption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Spectrometer (Perkin Elmer, Analyst 800). </w:t>
      </w:r>
    </w:p>
    <w:p>
      <w:pPr>
        <w:autoSpaceDN w:val="0"/>
        <w:autoSpaceDE w:val="0"/>
        <w:widowControl/>
        <w:spacing w:line="230" w:lineRule="auto" w:before="25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2.5. Ruby Appearance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Observations of the gemmological appearance were carried out and photographed before and after 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leaching steps. </w:t>
      </w:r>
    </w:p>
    <w:p>
      <w:pPr>
        <w:autoSpaceDN w:val="0"/>
        <w:autoSpaceDE w:val="0"/>
        <w:widowControl/>
        <w:spacing w:line="230" w:lineRule="auto" w:before="25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3. Results and Discussion </w:t>
      </w:r>
    </w:p>
    <w:p>
      <w:pPr>
        <w:autoSpaceDN w:val="0"/>
        <w:autoSpaceDE w:val="0"/>
        <w:widowControl/>
        <w:spacing w:line="230" w:lineRule="auto" w:before="242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results of lead concentration (Tables 2-8) extracted from each series are described below. </w:t>
      </w:r>
    </w:p>
    <w:p>
      <w:pPr>
        <w:autoSpaceDN w:val="0"/>
        <w:autoSpaceDE w:val="0"/>
        <w:widowControl/>
        <w:spacing w:line="233" w:lineRule="auto" w:before="25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3.1. Series I (BCR 1, BCR2 and BCR 3) </w:t>
      </w:r>
    </w:p>
    <w:p>
      <w:pPr>
        <w:autoSpaceDN w:val="0"/>
        <w:autoSpaceDE w:val="0"/>
        <w:widowControl/>
        <w:spacing w:line="245" w:lineRule="auto" w:before="248" w:after="0"/>
        <w:ind w:left="190" w:right="58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Series I, the highest lead concentrations leached from treated ruby seems to be extracted from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BCR 2 (reduction step) except samples from factories 5 and 6 which BCR 3 gave more effect. The amounts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lead extracted from each step agreed well with the gemmological appearance which number of cracks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clearly appeared after passing BCR 2. </w:t>
      </w:r>
    </w:p>
    <w:p>
      <w:pPr>
        <w:autoSpaceDN w:val="0"/>
        <w:autoSpaceDE w:val="0"/>
        <w:widowControl/>
        <w:spacing w:line="233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 Series II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(BCR 2, BCR3 and BCR 1)</w:t>
      </w:r>
      <w:r>
        <w:rPr>
          <w:rFonts w:ascii="TimesNewRoman,Italic" w:hAnsi="TimesNewRoman,Italic" w:eastAsia="TimesNewRoman,Italic"/>
          <w:b w:val="0"/>
          <w:i/>
          <w:color w:val="FFFFFF"/>
          <w:sz w:val="20"/>
        </w:rPr>
        <w:t xml:space="preserve"> amount of lead leached</w:t>
      </w:r>
    </w:p>
    <w:p>
      <w:pPr>
        <w:autoSpaceDN w:val="0"/>
        <w:autoSpaceDE w:val="0"/>
        <w:widowControl/>
        <w:spacing w:line="245" w:lineRule="auto" w:before="246" w:after="0"/>
        <w:ind w:left="190" w:right="58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BCR 3 (oxidation step) yielded significantly the highest lead concentration among the other steps.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addition, cracking in rubies is clearly seen in this step. However, samples from factories 1 and 7 seem to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exception.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BCR extraction appear to have no effect to treated rubies from factory 7 which lead concentration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cracking could not be observed throughout the tests. </w:t>
      </w:r>
    </w:p>
    <w:p>
      <w:pPr>
        <w:sectPr>
          <w:pgSz w:w="10885" w:h="14854"/>
          <w:pgMar w:top="368" w:right="588" w:bottom="1226" w:left="624" w:header="720" w:footer="720" w:gutter="0"/>
          <w:cols w:space="720" w:num="1" w:equalWidth="0">
            <w:col w:w="9674" w:space="0"/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44" w:val="left"/>
        </w:tabs>
        <w:autoSpaceDE w:val="0"/>
        <w:widowControl/>
        <w:spacing w:line="176" w:lineRule="exact" w:before="0" w:after="0"/>
        <w:ind w:left="26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Patcharin Lekkar et al. /  AASRI Procedia  3 ( 2012 )  394 – 401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397</w:t>
      </w:r>
    </w:p>
    <w:p>
      <w:pPr>
        <w:autoSpaceDN w:val="0"/>
        <w:autoSpaceDE w:val="0"/>
        <w:widowControl/>
        <w:spacing w:line="230" w:lineRule="auto" w:before="37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2 Lead concentrations in BCR leaching solutions (Factory 1). </w:t>
      </w:r>
    </w:p>
    <w:p>
      <w:pPr>
        <w:autoSpaceDN w:val="0"/>
        <w:autoSpaceDE w:val="0"/>
        <w:widowControl/>
        <w:spacing w:line="240" w:lineRule="auto" w:before="252" w:after="68"/>
        <w:ind w:left="0" w:right="31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6000" cy="12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4"/>
        </w:trPr>
        <w:tc>
          <w:tcPr>
            <w:tcW w:type="dxa" w:w="958"/>
            <w:tcBorders>
              <w:top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838"/>
            <w:tcBorders>
              <w:top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  <w:tc>
          <w:tcPr>
            <w:tcW w:type="dxa" w:w="848"/>
            <w:tcBorders>
              <w:top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8"/>
        </w:trPr>
        <w:tc>
          <w:tcPr>
            <w:tcW w:type="dxa" w:w="95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4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4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36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50.4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79.1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50.9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16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60.1 </w:t>
            </w:r>
          </w:p>
        </w:tc>
        <w:tc>
          <w:tcPr>
            <w:tcW w:type="dxa" w:w="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" w:after="16"/>
        <w:ind w:left="0" w:right="42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4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9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94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48.4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90.3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60.1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60.4 </w:t>
            </w:r>
          </w:p>
        </w:tc>
      </w:tr>
      <w:tr>
        <w:trPr>
          <w:trHeight w:hRule="exact" w:val="222"/>
        </w:trPr>
        <w:tc>
          <w:tcPr>
            <w:tcW w:type="dxa" w:w="95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20.0 </w:t>
            </w:r>
          </w:p>
        </w:tc>
        <w:tc>
          <w:tcPr>
            <w:tcW w:type="dxa" w:w="90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66.4 </w:t>
            </w:r>
          </w:p>
        </w:tc>
      </w:tr>
    </w:tbl>
    <w:p>
      <w:pPr>
        <w:autoSpaceDN w:val="0"/>
        <w:autoSpaceDE w:val="0"/>
        <w:widowControl/>
        <w:spacing w:line="230" w:lineRule="auto" w:before="2" w:after="16"/>
        <w:ind w:left="0" w:right="42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8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84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161.9 </w:t>
            </w:r>
          </w:p>
        </w:tc>
        <w:tc>
          <w:tcPr>
            <w:tcW w:type="dxa" w:w="9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97.1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136.2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71.3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59.4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28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56.1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119.2 </w:t>
            </w:r>
          </w:p>
        </w:tc>
        <w:tc>
          <w:tcPr>
            <w:tcW w:type="dxa" w:w="9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3 Lead concentrations in BCR leaching solutions (Factory 2). </w:t>
      </w:r>
    </w:p>
    <w:p>
      <w:pPr>
        <w:autoSpaceDN w:val="0"/>
        <w:autoSpaceDE w:val="0"/>
        <w:widowControl/>
        <w:spacing w:line="240" w:lineRule="auto" w:before="240" w:after="78"/>
        <w:ind w:left="0" w:right="31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60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0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42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68.4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152.0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114.7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8"/>
        </w:trPr>
        <w:tc>
          <w:tcPr>
            <w:tcW w:type="dxa" w:w="958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111.7 </w:t>
            </w:r>
          </w:p>
        </w:tc>
        <w:tc>
          <w:tcPr>
            <w:tcW w:type="dxa" w:w="848"/>
            <w:tcBorders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4" w:after="18"/>
        <w:ind w:left="0" w:right="42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9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78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14.2 </w:t>
            </w:r>
          </w:p>
        </w:tc>
        <w:tc>
          <w:tcPr>
            <w:tcW w:type="dxa" w:w="9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16.3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45.0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25.8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44.4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28.9 </w:t>
            </w:r>
          </w:p>
        </w:tc>
      </w:tr>
      <w:tr>
        <w:trPr>
          <w:trHeight w:hRule="exact" w:val="216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34.5 </w:t>
            </w:r>
          </w:p>
        </w:tc>
        <w:tc>
          <w:tcPr>
            <w:tcW w:type="dxa" w:w="9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23.7 </w:t>
            </w:r>
          </w:p>
        </w:tc>
      </w:tr>
    </w:tbl>
    <w:p>
      <w:pPr>
        <w:autoSpaceDN w:val="0"/>
        <w:autoSpaceDE w:val="0"/>
        <w:widowControl/>
        <w:spacing w:line="230" w:lineRule="auto" w:before="0" w:after="20"/>
        <w:ind w:left="0" w:right="42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6"/>
        </w:trPr>
        <w:tc>
          <w:tcPr>
            <w:tcW w:type="dxa" w:w="958"/>
            <w:tcBorders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80"/>
            <w:tcBorders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08"/>
            <w:tcBorders>
              <w:top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92"/>
        </w:trPr>
        <w:tc>
          <w:tcPr>
            <w:tcW w:type="dxa" w:w="958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38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95.2 </w:t>
            </w:r>
          </w:p>
        </w:tc>
        <w:tc>
          <w:tcPr>
            <w:tcW w:type="dxa" w:w="880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85.0 </w:t>
            </w:r>
          </w:p>
        </w:tc>
        <w:tc>
          <w:tcPr>
            <w:tcW w:type="dxa" w:w="908"/>
            <w:tcBorders>
              <w:top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178.2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114.5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78.0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85.4 </w:t>
            </w:r>
          </w:p>
        </w:tc>
        <w:tc>
          <w:tcPr>
            <w:tcW w:type="dxa" w:w="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22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117.1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95.0 </w:t>
            </w:r>
          </w:p>
        </w:tc>
        <w:tc>
          <w:tcPr>
            <w:tcW w:type="dxa" w:w="9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4 Lead concentrations in BCR leaching solutions (Factory 3)  . </w:t>
      </w:r>
    </w:p>
    <w:p>
      <w:pPr>
        <w:autoSpaceDN w:val="0"/>
        <w:autoSpaceDE w:val="0"/>
        <w:widowControl/>
        <w:spacing w:line="240" w:lineRule="auto" w:before="246" w:after="72"/>
        <w:ind w:left="0" w:right="31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6000" cy="127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30.0" w:type="dxa"/>
      </w:tblPr>
      <w:tblGrid>
        <w:gridCol w:w="2351"/>
        <w:gridCol w:w="2351"/>
        <w:gridCol w:w="2351"/>
        <w:gridCol w:w="2351"/>
      </w:tblGrid>
      <w:tr>
        <w:trPr>
          <w:trHeight w:hRule="exact" w:val="204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Series 1</w:t>
            </w:r>
          </w:p>
        </w:tc>
        <w:tc>
          <w:tcPr>
            <w:tcW w:type="dxa" w:w="8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8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30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83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26.4 </w:t>
            </w:r>
          </w:p>
        </w:tc>
        <w:tc>
          <w:tcPr>
            <w:tcW w:type="dxa" w:w="8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20.6 </w:t>
            </w:r>
          </w:p>
        </w:tc>
      </w:tr>
      <w:tr>
        <w:trPr>
          <w:trHeight w:hRule="exact" w:val="22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17.9 </w:t>
            </w:r>
          </w:p>
        </w:tc>
        <w:tc>
          <w:tcPr>
            <w:tcW w:type="dxa" w:w="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13.5 </w:t>
            </w:r>
          </w:p>
        </w:tc>
      </w:tr>
      <w:tr>
        <w:trPr>
          <w:trHeight w:hRule="exact" w:val="164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33.3 </w:t>
            </w:r>
          </w:p>
        </w:tc>
        <w:tc>
          <w:tcPr>
            <w:tcW w:type="dxa" w:w="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23.1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34" w:left="834" w:header="720" w:footer="720" w:gutter="0"/>
          <w:cols w:space="720" w:num="1" w:equalWidth="0">
            <w:col w:w="9404" w:space="0"/>
            <w:col w:w="9674" w:space="0"/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1935"/>
        <w:gridCol w:w="1935"/>
        <w:gridCol w:w="1935"/>
        <w:gridCol w:w="1935"/>
        <w:gridCol w:w="1935"/>
      </w:tblGrid>
      <w:tr>
        <w:trPr>
          <w:trHeight w:hRule="exact" w:val="326"/>
        </w:trPr>
        <w:tc>
          <w:tcPr>
            <w:tcW w:type="dxa" w:w="278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398</w:t>
            </w:r>
          </w:p>
        </w:tc>
        <w:tc>
          <w:tcPr>
            <w:tcW w:type="dxa" w:w="561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Patcharin Lekkar et al. /  AASRI Procedia  3 ( 2012 )  394 – 401 </w:t>
            </w:r>
          </w:p>
        </w:tc>
      </w:tr>
      <w:tr>
        <w:trPr>
          <w:trHeight w:hRule="exact" w:val="384"/>
        </w:trPr>
        <w:tc>
          <w:tcPr>
            <w:tcW w:type="dxa" w:w="1935"/>
            <w:vMerge/>
            <w:tcBorders>
              <w:bottom w:sz="4.0" w:val="single" w:color="#000000"/>
            </w:tcBorders>
          </w:tcPr>
          <w:p/>
        </w:tc>
        <w:tc>
          <w:tcPr>
            <w:tcW w:type="dxa" w:w="1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25.9 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2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19.1 </w:t>
            </w:r>
          </w:p>
        </w:tc>
      </w:tr>
    </w:tbl>
    <w:p>
      <w:pPr>
        <w:autoSpaceDN w:val="0"/>
        <w:autoSpaceDE w:val="0"/>
        <w:widowControl/>
        <w:spacing w:line="230" w:lineRule="auto" w:before="4" w:after="20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4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86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3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18.0 </w:t>
            </w:r>
          </w:p>
        </w:tc>
        <w:tc>
          <w:tcPr>
            <w:tcW w:type="dxa" w:w="89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8.5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15.7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19.9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11.2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19.8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39.5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16.8 </w:t>
            </w:r>
          </w:p>
        </w:tc>
      </w:tr>
      <w:tr>
        <w:trPr>
          <w:trHeight w:hRule="exact" w:val="226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11.8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25.8 </w:t>
            </w:r>
          </w:p>
        </w:tc>
        <w:tc>
          <w:tcPr>
            <w:tcW w:type="dxa" w:w="8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12.2 </w:t>
            </w:r>
          </w:p>
        </w:tc>
      </w:tr>
    </w:tbl>
    <w:p>
      <w:pPr>
        <w:autoSpaceDN w:val="0"/>
        <w:autoSpaceDE w:val="0"/>
        <w:widowControl/>
        <w:spacing w:line="230" w:lineRule="auto" w:before="0" w:after="18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900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92"/>
            <w:tcBorders>
              <w:top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80"/>
        </w:trPr>
        <w:tc>
          <w:tcPr>
            <w:tcW w:type="dxa" w:w="958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34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72.4 </w:t>
            </w:r>
          </w:p>
        </w:tc>
        <w:tc>
          <w:tcPr>
            <w:tcW w:type="dxa" w:w="900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51.7 </w:t>
            </w:r>
          </w:p>
        </w:tc>
        <w:tc>
          <w:tcPr>
            <w:tcW w:type="dxa" w:w="892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20.3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25.8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36.6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16"/>
        </w:trPr>
        <w:tc>
          <w:tcPr>
            <w:tcW w:type="dxa" w:w="95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43.1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25.8 </w:t>
            </w:r>
          </w:p>
        </w:tc>
        <w:tc>
          <w:tcPr>
            <w:tcW w:type="dxa" w:w="8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86" w:after="0"/>
        <w:ind w:left="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5 Lead concentrations in BCR leaching solutions (Factory 4). </w:t>
      </w:r>
    </w:p>
    <w:p>
      <w:pPr>
        <w:autoSpaceDN w:val="0"/>
        <w:autoSpaceDE w:val="0"/>
        <w:widowControl/>
        <w:spacing w:line="240" w:lineRule="auto" w:before="234" w:after="64"/>
        <w:ind w:left="0" w:right="3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6000" cy="139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8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83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38"/>
        </w:trPr>
        <w:tc>
          <w:tcPr>
            <w:tcW w:type="dxa" w:w="9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</w:p>
        </w:tc>
        <w:tc>
          <w:tcPr>
            <w:tcW w:type="dxa" w:w="83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21.0 </w:t>
            </w:r>
          </w:p>
        </w:tc>
        <w:tc>
          <w:tcPr>
            <w:tcW w:type="dxa" w:w="85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10.7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27.1 </w:t>
            </w:r>
          </w:p>
        </w:tc>
        <w:tc>
          <w:tcPr>
            <w:tcW w:type="dxa" w:w="8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14.9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36.6 </w:t>
            </w:r>
          </w:p>
        </w:tc>
        <w:tc>
          <w:tcPr>
            <w:tcW w:type="dxa" w:w="8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21.2 </w:t>
            </w:r>
          </w:p>
        </w:tc>
      </w:tr>
      <w:tr>
        <w:trPr>
          <w:trHeight w:hRule="exact" w:val="216"/>
        </w:trPr>
        <w:tc>
          <w:tcPr>
            <w:tcW w:type="dxa" w:w="958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4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28.2 </w:t>
            </w:r>
          </w:p>
        </w:tc>
        <w:tc>
          <w:tcPr>
            <w:tcW w:type="dxa" w:w="852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15.6 </w:t>
            </w:r>
          </w:p>
        </w:tc>
      </w:tr>
    </w:tbl>
    <w:p>
      <w:pPr>
        <w:autoSpaceDN w:val="0"/>
        <w:autoSpaceDE w:val="0"/>
        <w:widowControl/>
        <w:spacing w:line="230" w:lineRule="auto" w:before="2" w:after="16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8"/>
        </w:trPr>
        <w:tc>
          <w:tcPr>
            <w:tcW w:type="dxa" w:w="95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90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9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72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3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9.2 </w:t>
            </w:r>
          </w:p>
        </w:tc>
        <w:tc>
          <w:tcPr>
            <w:tcW w:type="dxa" w:w="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11.5 </w:t>
            </w:r>
          </w:p>
        </w:tc>
        <w:tc>
          <w:tcPr>
            <w:tcW w:type="dxa" w:w="89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3.3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14.4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5.1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16.0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4.7 </w:t>
            </w:r>
          </w:p>
        </w:tc>
      </w:tr>
      <w:tr>
        <w:trPr>
          <w:trHeight w:hRule="exact" w:val="222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3.1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14.0 </w:t>
            </w:r>
          </w:p>
        </w:tc>
        <w:tc>
          <w:tcPr>
            <w:tcW w:type="dxa" w:w="8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4.4 </w:t>
            </w:r>
          </w:p>
        </w:tc>
      </w:tr>
    </w:tbl>
    <w:p>
      <w:pPr>
        <w:autoSpaceDN w:val="0"/>
        <w:autoSpaceDE w:val="0"/>
        <w:widowControl/>
        <w:spacing w:line="230" w:lineRule="auto" w:before="0" w:after="18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4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88"/>
        </w:trPr>
        <w:tc>
          <w:tcPr>
            <w:tcW w:type="dxa" w:w="9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3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16.6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4.1 </w:t>
            </w:r>
          </w:p>
        </w:tc>
        <w:tc>
          <w:tcPr>
            <w:tcW w:type="dxa" w:w="89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77.5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12.6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49.2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9.1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28"/>
        </w:trPr>
        <w:tc>
          <w:tcPr>
            <w:tcW w:type="dxa" w:w="958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47.8 </w:t>
            </w:r>
          </w:p>
        </w:tc>
        <w:tc>
          <w:tcPr>
            <w:tcW w:type="dxa" w:w="90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8.6 </w:t>
            </w:r>
          </w:p>
        </w:tc>
        <w:tc>
          <w:tcPr>
            <w:tcW w:type="dxa" w:w="892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90" w:after="252"/>
        <w:ind w:left="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6 Lead concentrations in BCR leaching solutions (Factory 5).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470"/>
        </w:trPr>
        <w:tc>
          <w:tcPr>
            <w:tcW w:type="dxa" w:w="89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2692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76400" cy="139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Pb concentration mg/kg)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0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</w:tr>
      <w:tr>
        <w:trPr>
          <w:trHeight w:hRule="exact" w:val="208"/>
        </w:trPr>
        <w:tc>
          <w:tcPr>
            <w:tcW w:type="dxa" w:w="892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24"/>
        </w:trPr>
        <w:tc>
          <w:tcPr>
            <w:tcW w:type="dxa" w:w="892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14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21.6 </w:t>
            </w:r>
          </w:p>
        </w:tc>
        <w:tc>
          <w:tcPr>
            <w:tcW w:type="dxa" w:w="89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25.4 </w:t>
            </w:r>
          </w:p>
        </w:tc>
      </w:tr>
      <w:tr>
        <w:trPr>
          <w:trHeight w:hRule="exact" w:val="220"/>
        </w:trPr>
        <w:tc>
          <w:tcPr>
            <w:tcW w:type="dxa" w:w="241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33.5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37.1 </w:t>
            </w:r>
          </w:p>
        </w:tc>
      </w:tr>
      <w:tr>
        <w:trPr>
          <w:trHeight w:hRule="exact" w:val="200"/>
        </w:trPr>
        <w:tc>
          <w:tcPr>
            <w:tcW w:type="dxa" w:w="241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27.3 </w:t>
            </w:r>
          </w:p>
        </w:tc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29.4 </w:t>
            </w:r>
          </w:p>
        </w:tc>
      </w:tr>
      <w:tr>
        <w:trPr>
          <w:trHeight w:hRule="exact" w:val="208"/>
        </w:trPr>
        <w:tc>
          <w:tcPr>
            <w:tcW w:type="dxa" w:w="241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9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27.5 </w:t>
            </w:r>
          </w:p>
        </w:tc>
        <w:tc>
          <w:tcPr>
            <w:tcW w:type="dxa" w:w="8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30.7 </w:t>
            </w:r>
          </w:p>
        </w:tc>
      </w:tr>
    </w:tbl>
    <w:p>
      <w:pPr>
        <w:autoSpaceDN w:val="0"/>
        <w:autoSpaceDE w:val="0"/>
        <w:widowControl/>
        <w:spacing w:line="230" w:lineRule="auto" w:before="8" w:after="10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4.0000000000005" w:type="dxa"/>
      </w:tblPr>
      <w:tblGrid>
        <w:gridCol w:w="2418"/>
        <w:gridCol w:w="2418"/>
        <w:gridCol w:w="2418"/>
        <w:gridCol w:w="2418"/>
      </w:tblGrid>
      <w:tr>
        <w:trPr>
          <w:trHeight w:hRule="exact" w:val="208"/>
        </w:trPr>
        <w:tc>
          <w:tcPr>
            <w:tcW w:type="dxa" w:w="958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900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92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80"/>
        </w:trPr>
        <w:tc>
          <w:tcPr>
            <w:tcW w:type="dxa" w:w="958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3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17.5 </w:t>
            </w:r>
          </w:p>
        </w:tc>
        <w:tc>
          <w:tcPr>
            <w:tcW w:type="dxa" w:w="900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27.1 </w:t>
            </w:r>
          </w:p>
        </w:tc>
        <w:tc>
          <w:tcPr>
            <w:tcW w:type="dxa" w:w="892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6.8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18.0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24.4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6.4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22.2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16.3 </w:t>
            </w:r>
          </w:p>
        </w:tc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16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3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19.2 </w:t>
            </w:r>
          </w:p>
        </w:tc>
        <w:tc>
          <w:tcPr>
            <w:tcW w:type="dxa" w:w="9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22.6 </w:t>
            </w:r>
          </w:p>
        </w:tc>
        <w:tc>
          <w:tcPr>
            <w:tcW w:type="dxa" w:w="8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4.4 </w:t>
            </w:r>
          </w:p>
        </w:tc>
      </w:tr>
    </w:tbl>
    <w:p>
      <w:pPr>
        <w:autoSpaceDN w:val="0"/>
        <w:autoSpaceDE w:val="0"/>
        <w:widowControl/>
        <w:spacing w:line="230" w:lineRule="auto" w:before="4" w:after="12"/>
        <w:ind w:left="0" w:right="43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2.0000000000005" w:type="dxa"/>
      </w:tblPr>
      <w:tblGrid>
        <w:gridCol w:w="3224"/>
        <w:gridCol w:w="3224"/>
        <w:gridCol w:w="3224"/>
      </w:tblGrid>
      <w:tr>
        <w:trPr>
          <w:trHeight w:hRule="exact" w:val="188"/>
        </w:trPr>
        <w:tc>
          <w:tcPr>
            <w:tcW w:type="dxa" w:w="8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220" w:left="624" w:header="720" w:footer="720" w:gutter="0"/>
          <w:cols w:space="720" w:num="1" w:equalWidth="0">
            <w:col w:w="9674" w:space="0"/>
            <w:col w:w="9404" w:space="0"/>
            <w:col w:w="9674" w:space="0"/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566"/>
        </w:trPr>
        <w:tc>
          <w:tcPr>
            <w:tcW w:type="dxa" w:w="5286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Patcharin Lekkar et al. /  AASRI Procedia  3 ( 2012 )  394 – 401 </w:t>
            </w:r>
          </w:p>
        </w:tc>
        <w:tc>
          <w:tcPr>
            <w:tcW w:type="dxa" w:w="15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399</w:t>
            </w:r>
          </w:p>
        </w:tc>
      </w:tr>
      <w:tr>
        <w:trPr>
          <w:trHeight w:hRule="exact" w:val="200"/>
        </w:trPr>
        <w:tc>
          <w:tcPr>
            <w:tcW w:type="dxa" w:w="102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21.0 </w:t>
            </w:r>
          </w:p>
        </w:tc>
        <w:tc>
          <w:tcPr>
            <w:tcW w:type="dxa" w:w="8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2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152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1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35.2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192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1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39.1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192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16"/>
        </w:trPr>
        <w:tc>
          <w:tcPr>
            <w:tcW w:type="dxa" w:w="102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31.8 </w:t>
            </w:r>
          </w:p>
        </w:tc>
        <w:tc>
          <w:tcPr>
            <w:tcW w:type="dxa" w:w="8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2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192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06" w:after="246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Table 7 Lead concentrations in BCR leaching solutions (Factory 6).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469"/>
        </w:trPr>
        <w:tc>
          <w:tcPr>
            <w:tcW w:type="dxa" w:w="88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2698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76400" cy="139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Pb concentration mg/kg) 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10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</w:tr>
      <w:tr>
        <w:trPr>
          <w:trHeight w:hRule="exact" w:val="205"/>
        </w:trPr>
        <w:tc>
          <w:tcPr>
            <w:tcW w:type="dxa" w:w="88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9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34"/>
        </w:trPr>
        <w:tc>
          <w:tcPr>
            <w:tcW w:type="dxa" w:w="886"/>
            <w:vMerge w:val="restart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14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35.1 </w:t>
            </w:r>
          </w:p>
        </w:tc>
        <w:tc>
          <w:tcPr>
            <w:tcW w:type="dxa" w:w="89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15.8 </w:t>
            </w:r>
          </w:p>
        </w:tc>
      </w:tr>
      <w:tr>
        <w:trPr>
          <w:trHeight w:hRule="exact" w:val="220"/>
        </w:trPr>
        <w:tc>
          <w:tcPr>
            <w:tcW w:type="dxa" w:w="2403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13.0 </w:t>
            </w:r>
          </w:p>
        </w:tc>
      </w:tr>
      <w:tr>
        <w:trPr>
          <w:trHeight w:hRule="exact" w:val="180"/>
        </w:trPr>
        <w:tc>
          <w:tcPr>
            <w:tcW w:type="dxa" w:w="2403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13.3 </w:t>
            </w:r>
          </w:p>
        </w:tc>
      </w:tr>
      <w:tr>
        <w:trPr>
          <w:trHeight w:hRule="exact" w:val="222"/>
        </w:trPr>
        <w:tc>
          <w:tcPr>
            <w:tcW w:type="dxa" w:w="2403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92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11.7 </w:t>
            </w:r>
          </w:p>
        </w:tc>
        <w:tc>
          <w:tcPr>
            <w:tcW w:type="dxa" w:w="898"/>
            <w:tcBorders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14.0 </w:t>
            </w:r>
          </w:p>
        </w:tc>
      </w:tr>
    </w:tbl>
    <w:p>
      <w:pPr>
        <w:autoSpaceDN w:val="0"/>
        <w:autoSpaceDE w:val="0"/>
        <w:widowControl/>
        <w:spacing w:line="230" w:lineRule="auto" w:before="4" w:after="12"/>
        <w:ind w:left="0" w:right="425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208"/>
        </w:trPr>
        <w:tc>
          <w:tcPr>
            <w:tcW w:type="dxa" w:w="95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80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98"/>
            <w:tcBorders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86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65.9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46.0 </w:t>
            </w:r>
          </w:p>
        </w:tc>
        <w:tc>
          <w:tcPr>
            <w:tcW w:type="dxa" w:w="8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18.6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20.6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27.2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30.2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8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37.2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32.3 </w:t>
            </w:r>
          </w:p>
        </w:tc>
        <w:tc>
          <w:tcPr>
            <w:tcW w:type="dxa" w:w="89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8" w:after="10"/>
        <w:ind w:left="0" w:right="425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9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82"/>
        </w:trPr>
        <w:tc>
          <w:tcPr>
            <w:tcW w:type="dxa" w:w="95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4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47.4 </w:t>
            </w:r>
          </w:p>
        </w:tc>
        <w:tc>
          <w:tcPr>
            <w:tcW w:type="dxa" w:w="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11.4 </w:t>
            </w:r>
          </w:p>
        </w:tc>
        <w:tc>
          <w:tcPr>
            <w:tcW w:type="dxa" w:w="89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7.7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24.1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10.3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6.2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25.0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8.6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2.6 </w:t>
            </w:r>
          </w:p>
        </w:tc>
      </w:tr>
      <w:tr>
        <w:trPr>
          <w:trHeight w:hRule="exact" w:val="214"/>
        </w:trPr>
        <w:tc>
          <w:tcPr>
            <w:tcW w:type="dxa" w:w="958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48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32.2 </w:t>
            </w:r>
          </w:p>
        </w:tc>
        <w:tc>
          <w:tcPr>
            <w:tcW w:type="dxa" w:w="880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10.1 </w:t>
            </w:r>
          </w:p>
        </w:tc>
        <w:tc>
          <w:tcPr>
            <w:tcW w:type="dxa" w:w="898"/>
            <w:tcBorders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5.5 </w:t>
            </w:r>
          </w:p>
        </w:tc>
      </w:tr>
    </w:tbl>
    <w:p>
      <w:pPr>
        <w:autoSpaceDN w:val="0"/>
        <w:autoSpaceDE w:val="0"/>
        <w:widowControl/>
        <w:spacing w:line="242" w:lineRule="auto" w:before="84" w:after="48"/>
        <w:ind w:left="1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Table 8 Lead concentrations in BCR leaching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solutions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(Factory 7)</w:t>
      </w:r>
      <w:r>
        <w:rPr>
          <w:rFonts w:ascii="CordiaNew" w:hAnsi="CordiaNew" w:eastAsia="CordiaNew"/>
          <w:b w:val="0"/>
          <w:i w:val="0"/>
          <w:color w:val="221F1F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471"/>
        </w:trPr>
        <w:tc>
          <w:tcPr>
            <w:tcW w:type="dxa" w:w="886"/>
            <w:tcBorders>
              <w:top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Ruby No. </w:t>
            </w:r>
          </w:p>
        </w:tc>
        <w:tc>
          <w:tcPr>
            <w:tcW w:type="dxa" w:w="2698"/>
            <w:gridSpan w:val="3"/>
            <w:tcBorders>
              <w:top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76400" cy="139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0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Series 1 </w:t>
            </w:r>
          </w:p>
        </w:tc>
      </w:tr>
      <w:tr>
        <w:trPr>
          <w:trHeight w:hRule="exact" w:val="206"/>
        </w:trPr>
        <w:tc>
          <w:tcPr>
            <w:tcW w:type="dxa" w:w="88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9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</w:tr>
      <w:tr>
        <w:trPr>
          <w:trHeight w:hRule="exact" w:val="238"/>
        </w:trPr>
        <w:tc>
          <w:tcPr>
            <w:tcW w:type="dxa" w:w="886"/>
            <w:vMerge w:val="restart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144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9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71.6 </w:t>
            </w:r>
          </w:p>
        </w:tc>
        <w:tc>
          <w:tcPr>
            <w:tcW w:type="dxa" w:w="89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54.7 </w:t>
            </w:r>
          </w:p>
        </w:tc>
      </w:tr>
      <w:tr>
        <w:trPr>
          <w:trHeight w:hRule="exact" w:val="200"/>
        </w:trPr>
        <w:tc>
          <w:tcPr>
            <w:tcW w:type="dxa" w:w="24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76.4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24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98.4 </w:t>
            </w:r>
          </w:p>
        </w:tc>
        <w:tc>
          <w:tcPr>
            <w:tcW w:type="dxa" w:w="8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12"/>
        </w:trPr>
        <w:tc>
          <w:tcPr>
            <w:tcW w:type="dxa" w:w="24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9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82.1 </w:t>
            </w:r>
          </w:p>
        </w:tc>
        <w:tc>
          <w:tcPr>
            <w:tcW w:type="dxa" w:w="898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18.2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8"/>
        <w:ind w:left="0" w:right="425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206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9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</w:tr>
      <w:tr>
        <w:trPr>
          <w:trHeight w:hRule="exact" w:val="196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18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6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20"/>
        </w:trPr>
        <w:tc>
          <w:tcPr>
            <w:tcW w:type="dxa" w:w="95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4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9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8" w:after="10"/>
        <w:ind w:left="0" w:right="425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Series 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0.0" w:type="dxa"/>
      </w:tblPr>
      <w:tblGrid>
        <w:gridCol w:w="2403"/>
        <w:gridCol w:w="2403"/>
        <w:gridCol w:w="2403"/>
        <w:gridCol w:w="2403"/>
      </w:tblGrid>
      <w:tr>
        <w:trPr>
          <w:trHeight w:hRule="exact" w:val="204"/>
        </w:trPr>
        <w:tc>
          <w:tcPr>
            <w:tcW w:type="dxa" w:w="95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BCR3 </w:t>
            </w:r>
          </w:p>
        </w:tc>
        <w:tc>
          <w:tcPr>
            <w:tcW w:type="dxa" w:w="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BCR1 </w:t>
            </w:r>
          </w:p>
        </w:tc>
        <w:tc>
          <w:tcPr>
            <w:tcW w:type="dxa" w:w="89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BCR2 </w:t>
            </w:r>
          </w:p>
        </w:tc>
      </w:tr>
      <w:tr>
        <w:trPr>
          <w:trHeight w:hRule="exact" w:val="188"/>
        </w:trPr>
        <w:tc>
          <w:tcPr>
            <w:tcW w:type="dxa" w:w="95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7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29.8 </w:t>
            </w:r>
          </w:p>
        </w:tc>
        <w:tc>
          <w:tcPr>
            <w:tcW w:type="dxa" w:w="89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8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43.2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0"/>
        </w:trPr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9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58.3 </w:t>
            </w: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  <w:tr>
        <w:trPr>
          <w:trHeight w:hRule="exact" w:val="208"/>
        </w:trPr>
        <w:tc>
          <w:tcPr>
            <w:tcW w:type="dxa" w:w="95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Avg ± SD </w:t>
            </w:r>
          </w:p>
        </w:tc>
        <w:tc>
          <w:tcPr>
            <w:tcW w:type="dxa" w:w="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  <w:tc>
          <w:tcPr>
            <w:tcW w:type="dxa" w:w="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43.8 </w:t>
            </w:r>
          </w:p>
        </w:tc>
        <w:tc>
          <w:tcPr>
            <w:tcW w:type="dxa" w:w="89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532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. </w:t>
      </w:r>
    </w:p>
    <w:p>
      <w:pPr>
        <w:sectPr>
          <w:pgSz w:w="10885" w:h="14854"/>
          <w:pgMar w:top="368" w:right="648" w:bottom="1230" w:left="624" w:header="720" w:footer="720" w:gutter="0"/>
          <w:cols w:space="720" w:num="1" w:equalWidth="0">
            <w:col w:w="9614" w:space="0"/>
            <w:col w:w="9674" w:space="0"/>
            <w:col w:w="9404" w:space="0"/>
            <w:col w:w="9674" w:space="0"/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19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400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Patcharin Lekkar et al. /  AASRI Procedia  3 ( 2012 )  394 – 401 </w:t>
      </w:r>
    </w:p>
    <w:p>
      <w:pPr>
        <w:autoSpaceDN w:val="0"/>
        <w:autoSpaceDE w:val="0"/>
        <w:widowControl/>
        <w:spacing w:line="240" w:lineRule="auto" w:before="322" w:after="0"/>
        <w:ind w:left="20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55009" cy="292989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5009" cy="292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9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Fig.1 Comparison of gemological appearance of ruby and lead leached from BCR step (represented by samples of factory 2)</w:t>
      </w:r>
    </w:p>
    <w:p>
      <w:pPr>
        <w:autoSpaceDN w:val="0"/>
        <w:autoSpaceDE w:val="0"/>
        <w:widowControl/>
        <w:spacing w:line="230" w:lineRule="auto" w:before="256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3.3. Series III (BCR 3, BCR1 and BCR 2)</w:t>
      </w:r>
      <w:r>
        <w:rPr>
          <w:rFonts w:ascii="TimesNewRoman,Italic" w:hAnsi="TimesNewRoman,Italic" w:eastAsia="TimesNewRoman,Italic"/>
          <w:b w:val="0"/>
          <w:i/>
          <w:color w:val="FFFFFF"/>
          <w:sz w:val="20"/>
        </w:rPr>
        <w:t xml:space="preserve"> a </w:t>
      </w:r>
    </w:p>
    <w:p>
      <w:pPr>
        <w:autoSpaceDN w:val="0"/>
        <w:autoSpaceDE w:val="0"/>
        <w:widowControl/>
        <w:spacing w:line="245" w:lineRule="auto" w:before="250" w:after="0"/>
        <w:ind w:left="190" w:right="58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BCR 3 (oxidation step) usually yielded the highest effect on extraction. Except samples from factories 1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7, BCR 1 obtained higher lead concentrations than those of BCR3. For samples of factories 2 to 6, cracks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rubies were appeared significantly by BCR3 step which they are compatible to lead concentrations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leachate. On the other hand, samples of factories 1 and 7 were clearly cracked after BCR1 test.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1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extraction of lead and cracking can be representatively shown and compared by samples from factory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 (Fig. 1).</w:t>
      </w:r>
    </w:p>
    <w:p>
      <w:pPr>
        <w:autoSpaceDN w:val="0"/>
        <w:autoSpaceDE w:val="0"/>
        <w:widowControl/>
        <w:spacing w:line="230" w:lineRule="auto" w:before="25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4. Conclusions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46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(1) It is noticeable that ruby undergone classical heat treatment process, which were claimed to have no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lead compound, may yield lead contents ranging from  0-162 mg/kg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According to series I, treated rubies yield the highest lead content in BCR 2. For series II, BCR 2 has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been carried out initially but it yield lower lead contents than that obtained from series I. This can suggest that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BCR 2 may yield higher efficiency after activated by other BCR steps. </w:t>
      </w:r>
    </w:p>
    <w:p>
      <w:pPr>
        <w:autoSpaceDN w:val="0"/>
        <w:autoSpaceDE w:val="0"/>
        <w:widowControl/>
        <w:spacing w:line="230" w:lineRule="auto" w:before="10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Results from all experimental series suggest that the most effective step seems to be BCR 3. </w:t>
      </w:r>
    </w:p>
    <w:p>
      <w:pPr>
        <w:autoSpaceDN w:val="0"/>
        <w:autoSpaceDE w:val="0"/>
        <w:widowControl/>
        <w:spacing w:line="233" w:lineRule="auto" w:before="10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(4) On the other hand, BCR1 has the least efficiency.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246" w:after="0"/>
        <w:ind w:left="190" w:right="588" w:firstLine="238"/>
        <w:jc w:val="both"/>
      </w:pPr>
      <w:r>
        <w:rPr>
          <w:rFonts w:ascii="TimesNewRoman" w:hAnsi="TimesNewRoman" w:eastAsia="TimesNewRoman"/>
          <w:b w:val="0"/>
          <w:i w:val="0"/>
          <w:color w:val="0F233D"/>
          <w:sz w:val="20"/>
        </w:rPr>
        <w:t xml:space="preserve">This research is financially supported by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Gem and Jewelry Institute of Thailand (GIT) and National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Research University Project of Chulalongkorn University. The authors appreciate Dr. Bhuwadol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Wanthanachaisaeng for his coordinating and collecting ruby samples from many sources. Thanks also go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GIT and Environmental Research Institute of Chulalongkorn University for laboratories and analytical </w:t>
      </w:r>
    </w:p>
    <w:p>
      <w:pPr>
        <w:sectPr>
          <w:pgSz w:w="10885" w:h="14854"/>
          <w:pgMar w:top="368" w:right="588" w:bottom="1210" w:left="624" w:header="720" w:footer="720" w:gutter="0"/>
          <w:cols w:space="720" w:num="1" w:equalWidth="0">
            <w:col w:w="9674" w:space="0"/>
            <w:col w:w="9614" w:space="0"/>
            <w:col w:w="9674" w:space="0"/>
            <w:col w:w="9404" w:space="0"/>
            <w:col w:w="9674" w:space="0"/>
            <w:col w:w="9378" w:space="0"/>
            <w:col w:w="96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8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Patcharin Lekkar et al. /  AASRI Procedia  3 ( 2012 )  394 – 401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401</w:t>
      </w:r>
    </w:p>
    <w:p>
      <w:pPr>
        <w:autoSpaceDN w:val="0"/>
        <w:autoSpaceDE w:val="0"/>
        <w:widowControl/>
        <w:spacing w:line="230" w:lineRule="auto" w:before="33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instruments.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4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Chucharuwong, K, Gemmology. Bangkok. Faculty of Science. Srinakharinwirot University. 1999.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Nueanuansuwan, S, Food safety. Bangkok. Department of veterinary public health.  Faculty of veterinary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Science. Chulalongkorn University. 2006. </w:t>
      </w:r>
    </w:p>
    <w:p>
      <w:pPr>
        <w:autoSpaceDN w:val="0"/>
        <w:autoSpaceDE w:val="0"/>
        <w:widowControl/>
        <w:spacing w:line="245" w:lineRule="auto" w:before="6" w:after="0"/>
        <w:ind w:left="19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Chuanchuen, R, and Amonsin, A, Book series of food safety: The quality of milk and products. Food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safety. 2006.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Rauret G, Lo´pez-Sa´nchez J.F., Sahuquillo A, Rubio R, Davidson C, Ure A, Quevauviller Ph. </w:t>
      </w:r>
    </w:p>
    <w:p>
      <w:pPr>
        <w:autoSpaceDN w:val="0"/>
        <w:autoSpaceDE w:val="0"/>
        <w:widowControl/>
        <w:spacing w:line="245" w:lineRule="auto" w:before="10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Improvement of the BCR three step sequential extraction procedure prior to the certification of new sediment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soil reference materials. </w:t>
      </w:r>
      <w:r>
        <w:rPr>
          <w:u w:val="single" w:color="000000"/>
          <w:rFonts w:ascii="TimesNewRoman" w:hAnsi="TimesNewRoman" w:eastAsia="TimesNewRoman"/>
          <w:b w:val="0"/>
          <w:i w:val="0"/>
          <w:color w:val="221F1F"/>
          <w:sz w:val="20"/>
        </w:rPr>
        <w:t>Jem Environment Monitering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1999:1:57-61.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Kanjanabut, K, Chotipong, A, and  Sutthirat, C,. </w:t>
      </w:r>
      <w:r>
        <w:rPr>
          <w:rFonts w:ascii="TimesNewRoman" w:hAnsi="TimesNewRoman" w:eastAsia="TimesNewRoman"/>
          <w:b w:val="0"/>
          <w:i w:val="0"/>
          <w:color w:val="2D2D2D"/>
          <w:sz w:val="20"/>
        </w:rPr>
        <w:t xml:space="preserve">Working towards a Procedural Standard in the Testing for </w:t>
      </w:r>
      <w:r>
        <w:rPr>
          <w:rFonts w:ascii="TimesNewRoman" w:hAnsi="TimesNewRoman" w:eastAsia="TimesNewRoman"/>
          <w:b w:val="0"/>
          <w:i w:val="0"/>
          <w:color w:val="2D2D2D"/>
          <w:sz w:val="20"/>
        </w:rPr>
        <w:t xml:space="preserve">both Stability and Assessment of the Impact on Health of Lead Glass-Treated Rubies and Beryllium-Treated </w:t>
      </w:r>
      <w:r>
        <w:rPr>
          <w:rFonts w:ascii="TimesNewRoman" w:hAnsi="TimesNewRoman" w:eastAsia="TimesNewRoman"/>
          <w:b w:val="0"/>
          <w:i w:val="0"/>
          <w:color w:val="2D2D2D"/>
          <w:sz w:val="20"/>
        </w:rPr>
        <w:t>Sapphire. The Journal of The Gemmological Association of Hongkong. 2010; 31:48-54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sectPr w:rsidR="00FC693F" w:rsidRPr="0006063C" w:rsidSect="00034616">
      <w:pgSz w:w="10885" w:h="14854"/>
      <w:pgMar w:top="368" w:right="648" w:bottom="1440" w:left="680" w:header="720" w:footer="720" w:gutter="0"/>
      <w:cols w:space="720" w:num="1" w:equalWidth="0">
        <w:col w:w="9558" w:space="0"/>
        <w:col w:w="9674" w:space="0"/>
        <w:col w:w="9614" w:space="0"/>
        <w:col w:w="9674" w:space="0"/>
        <w:col w:w="9404" w:space="0"/>
        <w:col w:w="9674" w:space="0"/>
        <w:col w:w="9378" w:space="0"/>
        <w:col w:w="964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