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9"/>
        <w:gridCol w:w="3209"/>
        <w:gridCol w:w="3209"/>
      </w:tblGrid>
      <w:tr>
        <w:trPr>
          <w:trHeight w:hRule="exact" w:val="26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9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523 – 527 </w:t>
            </w:r>
          </w:p>
        </w:tc>
        <w:tc>
          <w:tcPr>
            <w:tcW w:type="dxa" w:w="32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128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2012 AASRI Conference on Modeling, Identification and Control </w:t>
      </w:r>
    </w:p>
    <w:p>
      <w:pPr>
        <w:autoSpaceDN w:val="0"/>
        <w:autoSpaceDE w:val="0"/>
        <w:widowControl/>
        <w:spacing w:line="245" w:lineRule="auto" w:before="260" w:after="0"/>
        <w:ind w:left="432" w:right="72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Location-based Inner-Cluster Data Aggregation for Wireless </w:t>
      </w: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Sensor Networks </w:t>
      </w:r>
    </w:p>
    <w:p>
      <w:pPr>
        <w:autoSpaceDN w:val="0"/>
        <w:autoSpaceDE w:val="0"/>
        <w:widowControl/>
        <w:spacing w:line="264" w:lineRule="auto" w:before="214" w:after="0"/>
        <w:ind w:left="20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Jianghong Guo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*, Haifeng Zhang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Weijun Chen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>a</w:t>
      </w:r>
    </w:p>
    <w:p>
      <w:pPr>
        <w:autoSpaceDN w:val="0"/>
        <w:autoSpaceDE w:val="0"/>
        <w:widowControl/>
        <w:spacing w:line="252" w:lineRule="auto" w:before="164" w:after="0"/>
        <w:ind w:left="19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a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Department of Computer Science, JiaYing University, Meizhou, 514015, PR.China </w:t>
      </w:r>
    </w:p>
    <w:p>
      <w:pPr>
        <w:autoSpaceDN w:val="0"/>
        <w:autoSpaceDE w:val="0"/>
        <w:widowControl/>
        <w:spacing w:line="230" w:lineRule="auto" w:before="954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42" w:after="0"/>
        <w:ind w:left="190" w:right="5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Data aggregation is an important method to reduce energy consumption in wireless sensor networks. Cluster-based data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aggregation usually consists of two phases, inner-cluster aggregation and fusion data transmission from aggregators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base station. Most of existing schemes are mainly focus on the efficiency of the second phase and all inner-cluster sensors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will transmit their readings to the aggregator. Authors proposed a location-based inner-cluster data aggregation scheme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improving the efficiency of in-cluster aggregation. Agent nodes are selected with assist of nodes’ location and only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nodes have different readings with agent nodes transmit their data to cluster head, therefore, the data transmissions in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first phase are reduced effectively. Simulation shows that our scheme has fewer transmissions than that of related schemes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reduces the communication overhead effectively. </w:t>
      </w:r>
    </w:p>
    <w:p>
      <w:pPr>
        <w:autoSpaceDN w:val="0"/>
        <w:autoSpaceDE w:val="0"/>
        <w:widowControl/>
        <w:spacing w:line="264" w:lineRule="exact" w:before="156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© 2012 Published by Elsevier B.V.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22" w:lineRule="exact" w:before="0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230" w:lineRule="auto" w:before="22" w:after="0"/>
        <w:ind w:left="19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Keywords: Wireless sensor networks, data aggregation, agent nodes </w:t>
      </w:r>
    </w:p>
    <w:p>
      <w:pPr>
        <w:autoSpaceDN w:val="0"/>
        <w:autoSpaceDE w:val="0"/>
        <w:widowControl/>
        <w:spacing w:line="230" w:lineRule="auto" w:before="468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1.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5" w:lineRule="auto" w:before="258" w:after="0"/>
        <w:ind w:left="192" w:right="512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Wireless sensor network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WSN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consists of a large number of low-cost sensors which are usually deployed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by random scattering and energy consumption is an important consideration for the designing of wireless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sensor protocols. One of the major tasks of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WSN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measure the different environment parameters and </w:t>
      </w:r>
    </w:p>
    <w:p>
      <w:pPr>
        <w:autoSpaceDN w:val="0"/>
        <w:autoSpaceDE w:val="0"/>
        <w:widowControl/>
        <w:spacing w:line="230" w:lineRule="auto" w:before="880" w:after="0"/>
        <w:ind w:left="4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* Corresponding author. Tel.: +86 0138 2458 8292. </w:t>
      </w:r>
    </w:p>
    <w:p>
      <w:pPr>
        <w:autoSpaceDN w:val="0"/>
        <w:autoSpaceDE w:val="0"/>
        <w:widowControl/>
        <w:spacing w:line="230" w:lineRule="auto" w:before="24" w:after="0"/>
        <w:ind w:left="43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gjhjyu@gmail.com(J.Guo),  seawindzhang@jyu.edu.cn(H. Zhang), cwj@jyu.edu.cn(W.Chen) </w:t>
      </w:r>
    </w:p>
    <w:p>
      <w:pPr>
        <w:autoSpaceDN w:val="0"/>
        <w:autoSpaceDE w:val="0"/>
        <w:widowControl/>
        <w:spacing w:line="200" w:lineRule="exact" w:before="1268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10.1016/j.aasri.2012.11.082 </w:t>
      </w:r>
    </w:p>
    <w:p>
      <w:pPr>
        <w:sectPr>
          <w:pgSz w:w="10885" w:h="14854"/>
          <w:pgMar w:top="438" w:right="634" w:bottom="218" w:left="624" w:header="720" w:footer="720" w:gutter="0"/>
          <w:cols w:space="720" w:num="1" w:equalWidth="0">
            <w:col w:w="96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3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524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Jianghong Guo et al. /  AASRI Procedia  3 ( 2012 )  523 – 527 </w:t>
      </w:r>
    </w:p>
    <w:p>
      <w:pPr>
        <w:autoSpaceDN w:val="0"/>
        <w:autoSpaceDE w:val="0"/>
        <w:widowControl/>
        <w:spacing w:line="245" w:lineRule="auto" w:before="340" w:after="0"/>
        <w:ind w:left="162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transmits the sensor readings to the base station (BS). Due to the broadcasting characteristics of WSN, all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neighbors of the transmitter will receive the messages transmitted by the transmitter, thus, the most effective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way to reduce the energy consumption is to reduce the unnecessary transmissions. Data aggregation is such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method to prolong the lifetime of WSN by reducing the redundant transmissions. </w:t>
      </w:r>
    </w:p>
    <w:p>
      <w:pPr>
        <w:autoSpaceDN w:val="0"/>
        <w:autoSpaceDE w:val="0"/>
        <w:widowControl/>
        <w:spacing w:line="247" w:lineRule="auto" w:before="18" w:after="0"/>
        <w:ind w:left="162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Recently, many data aggregation schemes for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WSN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have been proposed. Al-Karaki et al. propose exact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approximate algorithms for data aggregation [1], Aonishi et al. study the impact of aggregation efficiency 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GIT routing [2], Gatani et al. propose a robust and efficient data gathering method for Wireless Sensor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networks [3], Considine et al. propose an approximate aggregation techniques for sensor databases [4], Villas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et al. propose a scalable and dynamic data aggregation aware routing protocol for wireless sensor networks [5],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Heinzelman et al. proposed LEACH [6] for the network clustering and cluster head election; Younis et al.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proposed HEED[7] in which the residual energy was taken into account cluster head election. </w:t>
      </w:r>
    </w:p>
    <w:p>
      <w:pPr>
        <w:autoSpaceDN w:val="0"/>
        <w:autoSpaceDE w:val="0"/>
        <w:widowControl/>
        <w:spacing w:line="247" w:lineRule="auto" w:before="18" w:after="0"/>
        <w:ind w:left="162" w:right="2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these schemes, the cluster-based data aggregation [6] [7] usually consist of two phases, first phase is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inner-cluster aggregation and the second, fusion data transmitted to the base station. We know that the WSN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has features such as the cluster is a </w:t>
      </w:r>
      <w:r>
        <w:rPr>
          <w:rFonts w:ascii="TimesNewRomanPSMT" w:hAnsi="TimesNewRomanPSMT" w:eastAsia="TimesNewRomanPSMT"/>
          <w:b w:val="0"/>
          <w:i w:val="0"/>
          <w:color w:val="545454"/>
          <w:sz w:val="20"/>
        </w:rPr>
        <w:t xml:space="preserve">relatively small area and sensors will have same or similar readings if they </w:t>
      </w:r>
      <w:r>
        <w:rPr>
          <w:rFonts w:ascii="TimesNewRomanPSMT" w:hAnsi="TimesNewRomanPSMT" w:eastAsia="TimesNewRomanPSMT"/>
          <w:b w:val="0"/>
          <w:i w:val="0"/>
          <w:color w:val="545454"/>
          <w:sz w:val="20"/>
        </w:rPr>
        <w:t xml:space="preserve">are close,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but most of cluster-based schemes pay more attention to the second phase and all sensors will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transmit their readings to aggregator in the first phase. In o</w:t>
      </w:r>
      <w:r>
        <w:rPr>
          <w:rFonts w:ascii="TimesNewRomanPSMT" w:hAnsi="TimesNewRomanPSMT" w:eastAsia="TimesNewRomanPSMT"/>
          <w:b w:val="0"/>
          <w:i w:val="0"/>
          <w:color w:val="545454"/>
          <w:sz w:val="20"/>
        </w:rPr>
        <w:t xml:space="preserve">ur scheme (LBDA: Location-based inner-cluster </w:t>
      </w:r>
      <w:r>
        <w:rPr>
          <w:rFonts w:ascii="TimesNewRomanPSMT" w:hAnsi="TimesNewRomanPSMT" w:eastAsia="TimesNewRomanPSMT"/>
          <w:b w:val="0"/>
          <w:i w:val="0"/>
          <w:color w:val="545454"/>
          <w:sz w:val="20"/>
        </w:rPr>
        <w:t>data aggregation), the mentioned features will be utilized to reducing the inner-cluster transmissions.</w:t>
      </w:r>
    </w:p>
    <w:p>
      <w:pPr>
        <w:autoSpaceDN w:val="0"/>
        <w:autoSpaceDE w:val="0"/>
        <w:widowControl/>
        <w:spacing w:line="230" w:lineRule="auto" w:before="258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2.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Our work </w:t>
      </w:r>
    </w:p>
    <w:p>
      <w:pPr>
        <w:autoSpaceDN w:val="0"/>
        <w:autoSpaceDE w:val="0"/>
        <w:widowControl/>
        <w:spacing w:line="247" w:lineRule="auto" w:before="258" w:after="0"/>
        <w:ind w:left="162" w:right="5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our scheme, the cluster was divided into four regions and each node can calculates which region it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located in using location information. For each region, cluster head knows how many nodes located in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selects some agent nodes for each region. Also, the communication range of agent node should cover its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region. Only the nodes located in the same region and have different readings with agent node will transmit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their data to cluster head and therefore reduce certain number of inner-cluster transmissions. </w:t>
      </w:r>
    </w:p>
    <w:p>
      <w:pPr>
        <w:autoSpaceDN w:val="0"/>
        <w:autoSpaceDE w:val="0"/>
        <w:widowControl/>
        <w:spacing w:line="230" w:lineRule="auto" w:before="258" w:after="0"/>
        <w:ind w:left="162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2.1.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Network model and assumptions </w:t>
      </w:r>
    </w:p>
    <w:p>
      <w:pPr>
        <w:autoSpaceDN w:val="0"/>
        <w:autoSpaceDE w:val="0"/>
        <w:widowControl/>
        <w:spacing w:line="247" w:lineRule="auto" w:before="258" w:after="0"/>
        <w:ind w:left="162" w:right="0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 this paper, we have some assumptions about the network. 1) The network was clustered and each inner-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cluster node was 1-hop away from the cluster head. Some clustering algorithms, such as ACE [8], can fulfill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task. Fig.1 (a) and (b) show the clustering results and corresponding logic topology of the network; 2)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sensors can achieve their location by GPS or some location algorithm [9] [10], any inner-cluster nodes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cluster head each know other’s location and Id; 3) there are multi-type sensors deployed in the network,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example, the temperature sensors and humidity sensors, and all sensors have the same communication radius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Rc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Rc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=40m); 4) inner-cluster parameters are follow normal distribution with mean  and standard deviation </w:t>
      </w:r>
    </w:p>
    <w:p>
      <w:pPr>
        <w:autoSpaceDN w:val="0"/>
        <w:autoSpaceDE w:val="0"/>
        <w:widowControl/>
        <w:spacing w:line="240" w:lineRule="auto" w:before="18" w:after="0"/>
        <w:ind w:left="162" w:right="0" w:firstLine="6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due to the features mentioned in section 1 and sensor readings are rounded to integer because the measuring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errors are unavoidable. </w:t>
      </w:r>
    </w:p>
    <w:p>
      <w:pPr>
        <w:autoSpaceDN w:val="0"/>
        <w:autoSpaceDE w:val="0"/>
        <w:widowControl/>
        <w:spacing w:line="230" w:lineRule="auto" w:before="258" w:after="0"/>
        <w:ind w:left="162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2.2.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Inner-cluster division and report nodes </w:t>
      </w:r>
    </w:p>
    <w:p>
      <w:pPr>
        <w:autoSpaceDN w:val="0"/>
        <w:autoSpaceDE w:val="0"/>
        <w:widowControl/>
        <w:spacing w:line="247" w:lineRule="auto" w:before="258" w:after="0"/>
        <w:ind w:left="162" w:right="0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reducing the inner-cluster transmissions, the cluster is divided into four regions R1, R2, R3 and R4 </w:t>
      </w:r>
      <w:r>
        <w:rPr>
          <w:rFonts w:ascii="TimesNewRomanPSMT" w:hAnsi="TimesNewRomanPSMT" w:eastAsia="TimesNewRomanPSMT"/>
          <w:b w:val="0"/>
          <w:i w:val="0"/>
          <w:color w:val="545454"/>
          <w:sz w:val="20"/>
        </w:rPr>
        <w:t>counterclockwise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as shown in Fig.2 (a). In Fig.2 (a), the light-colored area is region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R1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 the dark area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 report region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RR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). If we denote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SA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as the circle with point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at the center and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Rc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as radius, denote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SB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circle with point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at the center and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Rc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as radius,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Rc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communication radius of sensors, thus, we have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that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RR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=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R1 SA SB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It is obviously that the communication range of any nodes located in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RR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will cover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R1,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these nodes are report nodes. As shown in Fig.2 (b), the nodes marked with ’*’ are report nodes. The </w:t>
      </w:r>
    </w:p>
    <w:p>
      <w:pPr>
        <w:sectPr>
          <w:pgSz w:w="10885" w:h="14854"/>
          <w:pgMar w:top="368" w:right="1122" w:bottom="1288" w:left="652" w:header="720" w:footer="720" w:gutter="0"/>
          <w:cols w:space="720" w:num="1" w:equalWidth="0">
            <w:col w:w="9112" w:space="0"/>
            <w:col w:w="96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2527300</wp:posOffset>
            </wp:positionH>
            <wp:positionV relativeFrom="page">
              <wp:posOffset>3822700</wp:posOffset>
            </wp:positionV>
            <wp:extent cx="38100" cy="38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2527300</wp:posOffset>
            </wp:positionH>
            <wp:positionV relativeFrom="page">
              <wp:posOffset>3822700</wp:posOffset>
            </wp:positionV>
            <wp:extent cx="381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2514600</wp:posOffset>
            </wp:positionH>
            <wp:positionV relativeFrom="page">
              <wp:posOffset>3136900</wp:posOffset>
            </wp:positionV>
            <wp:extent cx="38100" cy="38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2095500</wp:posOffset>
            </wp:positionH>
            <wp:positionV relativeFrom="page">
              <wp:posOffset>2843530</wp:posOffset>
            </wp:positionV>
            <wp:extent cx="1093470" cy="1172884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1728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5765800</wp:posOffset>
            </wp:positionH>
            <wp:positionV relativeFrom="page">
              <wp:posOffset>3086100</wp:posOffset>
            </wp:positionV>
            <wp:extent cx="127000" cy="1524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5499100</wp:posOffset>
            </wp:positionH>
            <wp:positionV relativeFrom="page">
              <wp:posOffset>2908300</wp:posOffset>
            </wp:positionV>
            <wp:extent cx="50800" cy="762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5048250</wp:posOffset>
            </wp:positionH>
            <wp:positionV relativeFrom="page">
              <wp:posOffset>2768600</wp:posOffset>
            </wp:positionV>
            <wp:extent cx="1083310" cy="1243292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2432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5321300</wp:posOffset>
            </wp:positionH>
            <wp:positionV relativeFrom="page">
              <wp:posOffset>3657600</wp:posOffset>
            </wp:positionV>
            <wp:extent cx="63500" cy="889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5435600</wp:posOffset>
            </wp:positionH>
            <wp:positionV relativeFrom="page">
              <wp:posOffset>3517900</wp:posOffset>
            </wp:positionV>
            <wp:extent cx="50800" cy="762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5791200</wp:posOffset>
            </wp:positionH>
            <wp:positionV relativeFrom="page">
              <wp:posOffset>3695700</wp:posOffset>
            </wp:positionV>
            <wp:extent cx="139700" cy="762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5702300</wp:posOffset>
            </wp:positionH>
            <wp:positionV relativeFrom="page">
              <wp:posOffset>3632200</wp:posOffset>
            </wp:positionV>
            <wp:extent cx="63500" cy="762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5321300</wp:posOffset>
            </wp:positionH>
            <wp:positionV relativeFrom="page">
              <wp:posOffset>3048000</wp:posOffset>
            </wp:positionV>
            <wp:extent cx="63500" cy="508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06" w:val="left"/>
        </w:tabs>
        <w:autoSpaceDE w:val="0"/>
        <w:widowControl/>
        <w:spacing w:line="176" w:lineRule="exact" w:before="0" w:after="0"/>
        <w:ind w:left="26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Jianghong Guo et al. /  AASRI Procedia  3 ( 2012 )  523 – 527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525</w:t>
      </w:r>
    </w:p>
    <w:p>
      <w:pPr>
        <w:autoSpaceDN w:val="0"/>
        <w:autoSpaceDE w:val="0"/>
        <w:widowControl/>
        <w:spacing w:line="245" w:lineRule="auto" w:before="342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proof of communication range of report node cover the located region can be deduced easily using </w:t>
      </w:r>
      <w:r>
        <w:rPr>
          <w:rFonts w:ascii="TimesNewRomanPSMT" w:hAnsi="TimesNewRomanPSMT" w:eastAsia="TimesNewRomanPSMT"/>
          <w:b w:val="0"/>
          <w:i w:val="0"/>
          <w:color w:val="545454"/>
          <w:sz w:val="20"/>
        </w:rPr>
        <w:t xml:space="preserve">plane </w:t>
      </w:r>
      <w:r>
        <w:rPr>
          <w:rFonts w:ascii="TimesNewRomanPSMT" w:hAnsi="TimesNewRomanPSMT" w:eastAsia="TimesNewRomanPSMT"/>
          <w:b w:val="0"/>
          <w:i w:val="0"/>
          <w:color w:val="545454"/>
          <w:sz w:val="20"/>
        </w:rPr>
        <w:t xml:space="preserve">geometry and we don’t prove it for conciseness.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18" w:after="74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545454"/>
          <w:sz w:val="20"/>
        </w:rPr>
        <w:t xml:space="preserve">Assume that the location of cluster head </w:t>
      </w:r>
      <w:r>
        <w:rPr>
          <w:rFonts w:ascii="TimesNewRomanPS" w:hAnsi="TimesNewRomanPS" w:eastAsia="TimesNewRomanPS"/>
          <w:b w:val="0"/>
          <w:i/>
          <w:color w:val="545454"/>
          <w:sz w:val="20"/>
        </w:rPr>
        <w:t>Ch</w:t>
      </w:r>
      <w:r>
        <w:rPr>
          <w:rFonts w:ascii="TimesNewRomanPSMT" w:hAnsi="TimesNewRomanPSMT" w:eastAsia="TimesNewRomanPSMT"/>
          <w:b w:val="0"/>
          <w:i w:val="0"/>
          <w:color w:val="545454"/>
          <w:sz w:val="20"/>
        </w:rPr>
        <w:t xml:space="preserve"> and any node </w:t>
      </w:r>
      <w:r>
        <w:rPr>
          <w:rFonts w:ascii="TimesNewRomanPS" w:hAnsi="TimesNewRomanPS" w:eastAsia="TimesNewRomanPS"/>
          <w:b w:val="0"/>
          <w:i/>
          <w:color w:val="545454"/>
          <w:sz w:val="20"/>
        </w:rPr>
        <w:t>Ni</w:t>
      </w:r>
      <w:r>
        <w:rPr>
          <w:rFonts w:ascii="TimesNewRomanPSMT" w:hAnsi="TimesNewRomanPSMT" w:eastAsia="TimesNewRomanPSMT"/>
          <w:b w:val="0"/>
          <w:i w:val="0"/>
          <w:color w:val="545454"/>
          <w:sz w:val="20"/>
        </w:rPr>
        <w:t xml:space="preserve"> are (</w:t>
      </w:r>
      <w:r>
        <w:rPr>
          <w:rFonts w:ascii="TimesNewRomanPS" w:hAnsi="TimesNewRomanPS" w:eastAsia="TimesNewRomanPS"/>
          <w:b w:val="0"/>
          <w:i/>
          <w:color w:val="545454"/>
          <w:sz w:val="20"/>
        </w:rPr>
        <w:t>X</w:t>
      </w:r>
      <w:r>
        <w:rPr>
          <w:rFonts w:ascii="TimesNewRomanPS" w:hAnsi="TimesNewRomanPS" w:eastAsia="TimesNewRomanPS"/>
          <w:b w:val="0"/>
          <w:i/>
          <w:color w:val="545454"/>
          <w:sz w:val="13"/>
        </w:rPr>
        <w:t>Ch</w:t>
      </w:r>
      <w:r>
        <w:rPr>
          <w:rFonts w:ascii="TimesNewRomanPS" w:hAnsi="TimesNewRomanPS" w:eastAsia="TimesNewRomanPS"/>
          <w:b w:val="0"/>
          <w:i/>
          <w:color w:val="545454"/>
          <w:sz w:val="20"/>
        </w:rPr>
        <w:t>, Y</w:t>
      </w:r>
      <w:r>
        <w:rPr>
          <w:rFonts w:ascii="TimesNewRomanPS" w:hAnsi="TimesNewRomanPS" w:eastAsia="TimesNewRomanPS"/>
          <w:b w:val="0"/>
          <w:i/>
          <w:color w:val="545454"/>
          <w:sz w:val="13"/>
        </w:rPr>
        <w:t>Ch</w:t>
      </w:r>
      <w:r>
        <w:rPr>
          <w:rFonts w:ascii="TimesNewRomanPSMT" w:hAnsi="TimesNewRomanPSMT" w:eastAsia="TimesNewRomanPSMT"/>
          <w:b w:val="0"/>
          <w:i w:val="0"/>
          <w:color w:val="545454"/>
          <w:sz w:val="20"/>
        </w:rPr>
        <w:t>) and (</w:t>
      </w:r>
      <w:r>
        <w:rPr>
          <w:rFonts w:ascii="TimesNewRomanPS" w:hAnsi="TimesNewRomanPS" w:eastAsia="TimesNewRomanPS"/>
          <w:b w:val="0"/>
          <w:i/>
          <w:color w:val="545454"/>
          <w:sz w:val="20"/>
        </w:rPr>
        <w:t>X</w:t>
      </w:r>
      <w:r>
        <w:rPr>
          <w:rFonts w:ascii="TimesNewRomanPS" w:hAnsi="TimesNewRomanPS" w:eastAsia="TimesNewRomanPS"/>
          <w:b w:val="0"/>
          <w:i/>
          <w:color w:val="545454"/>
          <w:sz w:val="13"/>
        </w:rPr>
        <w:t>Ni</w:t>
      </w:r>
      <w:r>
        <w:rPr>
          <w:rFonts w:ascii="TimesNewRomanPS" w:hAnsi="TimesNewRomanPS" w:eastAsia="TimesNewRomanPS"/>
          <w:b w:val="0"/>
          <w:i/>
          <w:color w:val="545454"/>
          <w:sz w:val="20"/>
        </w:rPr>
        <w:t>, Y</w:t>
      </w:r>
      <w:r>
        <w:rPr>
          <w:rFonts w:ascii="TimesNewRomanPS" w:hAnsi="TimesNewRomanPS" w:eastAsia="TimesNewRomanPS"/>
          <w:b w:val="0"/>
          <w:i/>
          <w:color w:val="545454"/>
          <w:sz w:val="13"/>
        </w:rPr>
        <w:t>Ni</w:t>
      </w:r>
      <w:r>
        <w:rPr>
          <w:rFonts w:ascii="TimesNewRomanPSMT" w:hAnsi="TimesNewRomanPSMT" w:eastAsia="TimesNewRomanPSMT"/>
          <w:b w:val="0"/>
          <w:i w:val="0"/>
          <w:color w:val="545454"/>
          <w:sz w:val="20"/>
        </w:rPr>
        <w:t xml:space="preserve">) respectively, node </w:t>
      </w:r>
      <w:r>
        <w:rPr>
          <w:rFonts w:ascii="TimesNewRomanPS" w:hAnsi="TimesNewRomanPS" w:eastAsia="TimesNewRomanPS"/>
          <w:b w:val="0"/>
          <w:i/>
          <w:color w:val="545454"/>
          <w:sz w:val="20"/>
        </w:rPr>
        <w:t>Ni</w:t>
      </w:r>
      <w:r>
        <w:rPr>
          <w:rFonts w:ascii="TimesNewRomanPSMT" w:hAnsi="TimesNewRomanPSMT" w:eastAsia="TimesNewRomanPSMT"/>
          <w:b w:val="0"/>
          <w:i w:val="0"/>
          <w:color w:val="545454"/>
          <w:sz w:val="20"/>
        </w:rPr>
        <w:t xml:space="preserve"> calculates which region it located as follow: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8.0" w:type="dxa"/>
      </w:tblPr>
      <w:tblGrid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>
        <w:trPr>
          <w:trHeight w:hRule="exact" w:val="314"/>
        </w:trPr>
        <w:tc>
          <w:tcPr>
            <w:tcW w:type="dxa" w:w="1720"/>
            <w:tcBorders>
              <w:bottom w:sz="3.31999993324279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bottom w:sz="3.31999993324279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101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8"/>
            <w:tcBorders>
              <w:bottom w:sz="3.31999993324279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w w:val="98.89200210571289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arctan(</w:t>
            </w:r>
          </w:p>
        </w:tc>
        <w:tc>
          <w:tcPr>
            <w:tcW w:type="dxa" w:w="342"/>
            <w:gridSpan w:val="3"/>
            <w:tcBorders>
              <w:bottom w:sz="3.31999993324279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0" w:right="0" w:firstLine="0"/>
              <w:jc w:val="center"/>
            </w:pPr>
            <w:r>
              <w:rPr>
                <w:w w:val="98.89200210571289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Y </w:t>
            </w:r>
            <w:r>
              <w:rPr>
                <w:w w:val="96.14500204722086"/>
                <w:rFonts w:ascii="TimesNewRomanPS" w:hAnsi="TimesNewRomanPS" w:eastAsia="TimesNewRomanPS"/>
                <w:b w:val="0"/>
                <w:i/>
                <w:color w:val="221F1F"/>
                <w:sz w:val="12"/>
              </w:rPr>
              <w:t>Ni</w:t>
            </w:r>
          </w:p>
        </w:tc>
        <w:tc>
          <w:tcPr>
            <w:tcW w:type="dxa" w:w="484"/>
            <w:gridSpan w:val="4"/>
            <w:tcBorders>
              <w:bottom w:sz="3.31999993324279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0" w:right="80" w:firstLine="0"/>
              <w:jc w:val="right"/>
            </w:pPr>
            <w:r>
              <w:rPr>
                <w:w w:val="98.89200210571289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Y </w:t>
            </w:r>
            <w:r>
              <w:rPr>
                <w:w w:val="96.14500204722086"/>
                <w:rFonts w:ascii="TimesNewRomanPS" w:hAnsi="TimesNewRomanPS" w:eastAsia="TimesNewRomanPS"/>
                <w:b w:val="0"/>
                <w:i/>
                <w:color w:val="221F1F"/>
                <w:sz w:val="12"/>
              </w:rPr>
              <w:t>Ch</w:t>
            </w:r>
          </w:p>
        </w:tc>
        <w:tc>
          <w:tcPr>
            <w:tcW w:type="dxa" w:w="31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40" w:right="0" w:firstLine="0"/>
              <w:jc w:val="left"/>
            </w:pPr>
            <w:r>
              <w:rPr>
                <w:w w:val="98.89200210571289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80"/>
            <w:tcBorders>
              <w:bottom w:sz="3.31999993324279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bottom w:sz="3.31999993324279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bottom w:sz="3.31999993324279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bottom w:sz="3.31999993324279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bottom w:sz="3.31999993324279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bottom w:sz="3.31999993324279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0" w:after="0"/>
              <w:ind w:left="0" w:right="2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(1) </w:t>
            </w:r>
          </w:p>
        </w:tc>
      </w:tr>
      <w:tr>
        <w:trPr>
          <w:trHeight w:hRule="exact" w:val="152"/>
        </w:trPr>
        <w:tc>
          <w:tcPr>
            <w:tcW w:type="dxa" w:w="1720"/>
            <w:tcBorders>
              <w:top w:sz="3.31999993324279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3.31999993324279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75"/>
            <w:gridSpan w:val="5"/>
            <w:vMerge/>
            <w:tcBorders/>
          </w:tcPr>
          <w:p/>
        </w:tc>
        <w:tc>
          <w:tcPr>
            <w:tcW w:type="dxa" w:w="578"/>
            <w:tcBorders>
              <w:top w:sz="3.31999993324279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"/>
            <w:gridSpan w:val="2"/>
            <w:vMerge w:val="restart"/>
            <w:tcBorders>
              <w:top w:sz="3.31999993324279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w w:val="98.89200210571289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180"/>
            <w:vMerge w:val="restart"/>
            <w:tcBorders>
              <w:top w:sz="3.31999993324279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w w:val="96.14500204722086"/>
                <w:rFonts w:ascii="TimesNewRomanPS" w:hAnsi="TimesNewRomanPS" w:eastAsia="TimesNewRomanPS"/>
                <w:b w:val="0"/>
                <w:i/>
                <w:color w:val="221F1F"/>
                <w:sz w:val="12"/>
              </w:rPr>
              <w:t>Ni</w:t>
            </w:r>
          </w:p>
        </w:tc>
        <w:tc>
          <w:tcPr>
            <w:tcW w:type="dxa" w:w="320"/>
            <w:gridSpan w:val="2"/>
            <w:vMerge w:val="restart"/>
            <w:tcBorders>
              <w:top w:sz="3.31999993324279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4" w:firstLine="0"/>
              <w:jc w:val="right"/>
            </w:pPr>
            <w:r>
              <w:rPr>
                <w:w w:val="98.89200210571289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164"/>
            <w:gridSpan w:val="2"/>
            <w:vMerge w:val="restart"/>
            <w:tcBorders>
              <w:top w:sz="3.31999993324279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w w:val="96.14500204722086"/>
                <w:rFonts w:ascii="TimesNewRomanPS" w:hAnsi="TimesNewRomanPS" w:eastAsia="TimesNewRomanPS"/>
                <w:b w:val="0"/>
                <w:i/>
                <w:color w:val="221F1F"/>
                <w:sz w:val="12"/>
              </w:rPr>
              <w:t>Ch</w:t>
            </w:r>
          </w:p>
        </w:tc>
        <w:tc>
          <w:tcPr>
            <w:tcW w:type="dxa" w:w="31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31999993324279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31999993324279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31999993324279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31999993324279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3.31999993324279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top w:sz="3.31999993324279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72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0" w:after="0"/>
              <w:ind w:left="0" w:right="8" w:firstLine="0"/>
              <w:jc w:val="right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Ni</w:t>
            </w:r>
          </w:p>
        </w:tc>
        <w:tc>
          <w:tcPr>
            <w:tcW w:type="dxa" w:w="30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5100" cy="736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73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5"/>
            <w:gridSpan w:val="5"/>
            <w:vMerge/>
            <w:tcBorders/>
          </w:tcPr>
          <w:p/>
        </w:tc>
        <w:tc>
          <w:tcPr>
            <w:tcW w:type="dxa" w:w="57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gridSpan w:val="2"/>
            <w:vMerge/>
            <w:tcBorders>
              <w:top w:sz="3.319999933242798" w:val="single" w:color="#000000"/>
            </w:tcBorders>
          </w:tcPr>
          <w:p/>
        </w:tc>
        <w:tc>
          <w:tcPr>
            <w:tcW w:type="dxa" w:w="375"/>
            <w:vMerge/>
            <w:tcBorders>
              <w:top w:sz="3.319999933242798" w:val="single" w:color="#000000"/>
            </w:tcBorders>
          </w:tcPr>
          <w:p/>
        </w:tc>
        <w:tc>
          <w:tcPr>
            <w:tcW w:type="dxa" w:w="750"/>
            <w:gridSpan w:val="2"/>
            <w:vMerge/>
            <w:tcBorders>
              <w:top w:sz="3.319999933242798" w:val="single" w:color="#000000"/>
            </w:tcBorders>
          </w:tcPr>
          <w:p/>
        </w:tc>
        <w:tc>
          <w:tcPr>
            <w:tcW w:type="dxa" w:w="750"/>
            <w:gridSpan w:val="2"/>
            <w:vMerge/>
            <w:tcBorders>
              <w:top w:sz="3.319999933242798" w:val="single" w:color="#000000"/>
            </w:tcBorders>
          </w:tcPr>
          <w:p/>
        </w:tc>
        <w:tc>
          <w:tcPr>
            <w:tcW w:type="dxa" w:w="1500"/>
            <w:gridSpan w:val="4"/>
            <w:vMerge/>
            <w:tcBorders/>
          </w:tcPr>
          <w:p/>
        </w:tc>
        <w:tc>
          <w:tcPr>
            <w:tcW w:type="dxa" w:w="18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16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2" w:after="0"/>
              <w:ind w:left="0" w:right="0" w:firstLine="0"/>
              <w:jc w:val="center"/>
            </w:pPr>
            <w:r>
              <w:rPr>
                <w:w w:val="96.19833628336588"/>
                <w:rFonts w:ascii="TimesNewRomanPS" w:hAnsi="TimesNewRomanPS" w:eastAsia="TimesNewRomanPS"/>
                <w:b w:val="0"/>
                <w:i/>
                <w:color w:val="221F1F"/>
                <w:sz w:val="12"/>
              </w:rPr>
              <w:t>Ch</w:t>
            </w:r>
          </w:p>
        </w:tc>
        <w:tc>
          <w:tcPr>
            <w:tcW w:type="dxa" w:w="16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0" w:right="0" w:firstLine="0"/>
              <w:jc w:val="center"/>
            </w:pP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10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0" w:after="0"/>
              <w:ind w:left="24" w:right="0" w:firstLine="0"/>
              <w:jc w:val="left"/>
            </w:pP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58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72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545454"/>
                <w:sz w:val="20"/>
              </w:rPr>
              <w:t xml:space="preserve"> (2) </w:t>
            </w:r>
          </w:p>
        </w:tc>
      </w:tr>
      <w:tr>
        <w:trPr>
          <w:trHeight w:hRule="exact" w:val="260"/>
        </w:trPr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R </w:t>
            </w: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,1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if</w:t>
            </w:r>
          </w:p>
        </w:tc>
        <w:tc>
          <w:tcPr>
            <w:tcW w:type="dxa" w:w="7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31800" cy="10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[ ,0</w:t>
            </w:r>
          </w:p>
        </w:tc>
        <w:tc>
          <w:tcPr>
            <w:tcW w:type="dxa" w:w="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/ 2]</w:t>
            </w:r>
          </w:p>
        </w:tc>
        <w:tc>
          <w:tcPr>
            <w:tcW w:type="dxa" w:w="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and</w:t>
            </w:r>
          </w:p>
        </w:tc>
        <w:tc>
          <w:tcPr>
            <w:tcW w:type="dxa" w:w="1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</w:t>
            </w:r>
          </w:p>
        </w:tc>
        <w:tc>
          <w:tcPr>
            <w:tcW w:type="dxa" w:w="1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center"/>
            </w:pPr>
            <w:r>
              <w:rPr>
                <w:w w:val="96.19833628336588"/>
                <w:rFonts w:ascii="TimesNewRomanPS" w:hAnsi="TimesNewRomanPS" w:eastAsia="TimesNewRomanPS"/>
                <w:b w:val="0"/>
                <w:i/>
                <w:color w:val="221F1F"/>
                <w:sz w:val="12"/>
              </w:rPr>
              <w:t>Ni</w:t>
            </w:r>
          </w:p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46"/>
        </w:trPr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750"/>
            <w:gridSpan w:val="2"/>
            <w:vMerge/>
            <w:tcBorders/>
          </w:tcPr>
          <w:p/>
        </w:tc>
        <w:tc>
          <w:tcPr>
            <w:tcW w:type="dxa" w:w="375"/>
            <w:vMerge/>
            <w:tcBorders/>
          </w:tcPr>
          <w:p/>
        </w:tc>
        <w:tc>
          <w:tcPr>
            <w:tcW w:type="dxa" w:w="1500"/>
            <w:gridSpan w:val="4"/>
            <w:vMerge/>
            <w:tcBorders/>
          </w:tcPr>
          <w:p/>
        </w:tc>
        <w:tc>
          <w:tcPr>
            <w:tcW w:type="dxa" w:w="750"/>
            <w:gridSpan w:val="2"/>
            <w:vMerge/>
            <w:tcBorders/>
          </w:tcPr>
          <w:p/>
        </w:tc>
        <w:tc>
          <w:tcPr>
            <w:tcW w:type="dxa" w:w="750"/>
            <w:gridSpan w:val="2"/>
            <w:vMerge/>
            <w:tcBorders/>
          </w:tcPr>
          <w:p/>
        </w:tc>
        <w:tc>
          <w:tcPr>
            <w:tcW w:type="dxa" w:w="750"/>
            <w:gridSpan w:val="2"/>
            <w:vMerge/>
            <w:tcBorders/>
          </w:tcPr>
          <w:p/>
        </w:tc>
        <w:tc>
          <w:tcPr>
            <w:tcW w:type="dxa" w:w="750"/>
            <w:gridSpan w:val="2"/>
            <w:vMerge/>
            <w:tcBorders/>
          </w:tcPr>
          <w:p/>
        </w:tc>
        <w:tc>
          <w:tcPr>
            <w:tcW w:type="dxa" w:w="750"/>
            <w:gridSpan w:val="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4" w:after="0"/>
              <w:ind w:left="0" w:right="0" w:firstLine="0"/>
              <w:jc w:val="center"/>
            </w:pPr>
            <w:r>
              <w:rPr>
                <w:w w:val="96.19833628336588"/>
                <w:rFonts w:ascii="TimesNewRomanPS" w:hAnsi="TimesNewRomanPS" w:eastAsia="TimesNewRomanPS"/>
                <w:b w:val="0"/>
                <w:i/>
                <w:color w:val="221F1F"/>
                <w:sz w:val="12"/>
              </w:rPr>
              <w:t>Ni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4" w:after="0"/>
              <w:ind w:left="0" w:right="0" w:firstLine="0"/>
              <w:jc w:val="center"/>
            </w:pPr>
            <w:r>
              <w:rPr>
                <w:w w:val="96.19833628336588"/>
                <w:rFonts w:ascii="TimesNewRomanPS" w:hAnsi="TimesNewRomanPS" w:eastAsia="TimesNewRomanPS"/>
                <w:b w:val="0"/>
                <w:i/>
                <w:color w:val="221F1F"/>
                <w:sz w:val="12"/>
              </w:rPr>
              <w:t>Ch</w:t>
            </w:r>
          </w:p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54"/>
        </w:trPr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R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,2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if</w:t>
            </w:r>
          </w:p>
        </w:tc>
        <w:tc>
          <w:tcPr>
            <w:tcW w:type="dxa" w:w="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93700" cy="101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[</w:t>
            </w:r>
          </w:p>
        </w:tc>
        <w:tc>
          <w:tcPr>
            <w:tcW w:type="dxa" w:w="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/ ,2 0)</w:t>
            </w:r>
          </w:p>
        </w:tc>
        <w:tc>
          <w:tcPr>
            <w:tcW w:type="dxa" w:w="2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and</w:t>
            </w:r>
          </w:p>
        </w:tc>
        <w:tc>
          <w:tcPr>
            <w:tcW w:type="dxa" w:w="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right"/>
            </w:pP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</w:t>
            </w:r>
          </w:p>
        </w:tc>
        <w:tc>
          <w:tcPr>
            <w:tcW w:type="dxa" w:w="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375"/>
            <w:vMerge/>
            <w:tcBorders/>
          </w:tcPr>
          <w:p/>
        </w:tc>
        <w:tc>
          <w:tcPr>
            <w:tcW w:type="dxa" w:w="375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375"/>
            <w:vMerge/>
            <w:tcBorders/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65"/>
        </w:trPr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R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,3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if</w:t>
            </w:r>
          </w:p>
        </w:tc>
        <w:tc>
          <w:tcPr>
            <w:tcW w:type="dxa" w:w="7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31800" cy="101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[ ,0</w:t>
            </w:r>
          </w:p>
        </w:tc>
        <w:tc>
          <w:tcPr>
            <w:tcW w:type="dxa" w:w="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/ 2]</w:t>
            </w:r>
          </w:p>
        </w:tc>
        <w:tc>
          <w:tcPr>
            <w:tcW w:type="dxa" w:w="39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and</w:t>
            </w:r>
          </w:p>
        </w:tc>
        <w:tc>
          <w:tcPr>
            <w:tcW w:type="dxa" w:w="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</w:t>
            </w:r>
          </w:p>
        </w:tc>
        <w:tc>
          <w:tcPr>
            <w:tcW w:type="dxa" w:w="1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w w:val="96.19833628336588"/>
                <w:rFonts w:ascii="TimesNewRomanPS" w:hAnsi="TimesNewRomanPS" w:eastAsia="TimesNewRomanPS"/>
                <w:b w:val="0"/>
                <w:i/>
                <w:color w:val="221F1F"/>
                <w:sz w:val="12"/>
              </w:rPr>
              <w:t>Ni</w:t>
            </w:r>
          </w:p>
        </w:tc>
        <w:tc>
          <w:tcPr>
            <w:tcW w:type="dxa" w:w="375"/>
            <w:vMerge/>
            <w:tcBorders/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w w:val="96.19833628336588"/>
                <w:rFonts w:ascii="TimesNewRomanPS" w:hAnsi="TimesNewRomanPS" w:eastAsia="TimesNewRomanPS"/>
                <w:b w:val="0"/>
                <w:i/>
                <w:color w:val="221F1F"/>
                <w:sz w:val="12"/>
              </w:rPr>
              <w:t>Ch</w:t>
            </w:r>
          </w:p>
        </w:tc>
        <w:tc>
          <w:tcPr>
            <w:tcW w:type="dxa" w:w="37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4" w:after="0"/>
              <w:ind w:left="42" w:right="0" w:firstLine="0"/>
              <w:jc w:val="left"/>
            </w:pP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83"/>
        </w:trPr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/>
          </w:tcPr>
          <w:p/>
        </w:tc>
        <w:tc>
          <w:tcPr>
            <w:tcW w:type="dxa" w:w="375"/>
            <w:vMerge/>
            <w:tcBorders/>
          </w:tcPr>
          <w:p/>
        </w:tc>
        <w:tc>
          <w:tcPr>
            <w:tcW w:type="dxa" w:w="375"/>
            <w:vMerge/>
            <w:tcBorders/>
          </w:tcPr>
          <w:p/>
        </w:tc>
        <w:tc>
          <w:tcPr>
            <w:tcW w:type="dxa" w:w="1500"/>
            <w:gridSpan w:val="4"/>
            <w:vMerge/>
            <w:tcBorders/>
          </w:tcPr>
          <w:p/>
        </w:tc>
        <w:tc>
          <w:tcPr>
            <w:tcW w:type="dxa" w:w="750"/>
            <w:gridSpan w:val="2"/>
            <w:vMerge/>
            <w:tcBorders/>
          </w:tcPr>
          <w:p/>
        </w:tc>
        <w:tc>
          <w:tcPr>
            <w:tcW w:type="dxa" w:w="1125"/>
            <w:gridSpan w:val="3"/>
            <w:vMerge/>
            <w:tcBorders/>
          </w:tcPr>
          <w:p/>
        </w:tc>
        <w:tc>
          <w:tcPr>
            <w:tcW w:type="dxa" w:w="375"/>
            <w:vMerge/>
            <w:tcBorders/>
          </w:tcPr>
          <w:p/>
        </w:tc>
        <w:tc>
          <w:tcPr>
            <w:tcW w:type="dxa" w:w="750"/>
            <w:gridSpan w:val="2"/>
            <w:vMerge/>
            <w:tcBorders/>
          </w:tcPr>
          <w:p/>
        </w:tc>
        <w:tc>
          <w:tcPr>
            <w:tcW w:type="dxa" w:w="750"/>
            <w:gridSpan w:val="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5"/>
            <w:vMerge/>
            <w:tcBorders/>
          </w:tcPr>
          <w:p/>
        </w:tc>
        <w:tc>
          <w:tcPr>
            <w:tcW w:type="dxa" w:w="375"/>
            <w:vMerge/>
            <w:tcBorders/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5"/>
            <w:vMerge/>
            <w:tcBorders/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52"/>
        </w:trPr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R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,4</w:t>
            </w:r>
          </w:p>
        </w:tc>
        <w:tc>
          <w:tcPr>
            <w:tcW w:type="dxa" w:w="2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if</w:t>
            </w:r>
          </w:p>
        </w:tc>
        <w:tc>
          <w:tcPr>
            <w:tcW w:type="dxa" w:w="68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93700" cy="101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[</w:t>
            </w:r>
          </w:p>
        </w:tc>
        <w:tc>
          <w:tcPr>
            <w:tcW w:type="dxa" w:w="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/ ,2 0)</w:t>
            </w:r>
          </w:p>
        </w:tc>
        <w:tc>
          <w:tcPr>
            <w:tcW w:type="dxa" w:w="35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and</w:t>
            </w:r>
          </w:p>
        </w:tc>
        <w:tc>
          <w:tcPr>
            <w:tcW w:type="dxa" w:w="11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509963989257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</w:t>
            </w:r>
          </w:p>
        </w:tc>
        <w:tc>
          <w:tcPr>
            <w:tcW w:type="dxa" w:w="1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375"/>
            <w:vMerge/>
            <w:tcBorders/>
          </w:tcPr>
          <w:p/>
        </w:tc>
        <w:tc>
          <w:tcPr>
            <w:tcW w:type="dxa" w:w="375"/>
            <w:vMerge/>
            <w:tcBorders/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5099639892578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375"/>
            <w:vMerge/>
            <w:tcBorders/>
          </w:tcPr>
          <w:p/>
        </w:tc>
        <w:tc>
          <w:tcPr>
            <w:tcW w:type="dxa" w:w="375"/>
            <w:vMerge/>
            <w:tcBorders/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06"/>
        </w:trPr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  <w:tc>
          <w:tcPr>
            <w:tcW w:type="dxa" w:w="375"/>
            <w:vMerge/>
            <w:tcBorders/>
          </w:tcPr>
          <w:p/>
        </w:tc>
        <w:tc>
          <w:tcPr>
            <w:tcW w:type="dxa" w:w="375"/>
            <w:vMerge/>
            <w:tcBorders/>
          </w:tcPr>
          <w:p/>
        </w:tc>
        <w:tc>
          <w:tcPr>
            <w:tcW w:type="dxa" w:w="750"/>
            <w:gridSpan w:val="2"/>
            <w:vMerge/>
            <w:tcBorders/>
          </w:tcPr>
          <w:p/>
        </w:tc>
        <w:tc>
          <w:tcPr>
            <w:tcW w:type="dxa" w:w="1125"/>
            <w:gridSpan w:val="3"/>
            <w:vMerge/>
            <w:tcBorders/>
          </w:tcPr>
          <w:p/>
        </w:tc>
        <w:tc>
          <w:tcPr>
            <w:tcW w:type="dxa" w:w="1125"/>
            <w:gridSpan w:val="3"/>
            <w:vMerge/>
            <w:tcBorders/>
          </w:tcPr>
          <w:p/>
        </w:tc>
        <w:tc>
          <w:tcPr>
            <w:tcW w:type="dxa" w:w="1500"/>
            <w:gridSpan w:val="4"/>
            <w:vMerge/>
            <w:tcBorders/>
          </w:tcPr>
          <w:p/>
        </w:tc>
        <w:tc>
          <w:tcPr>
            <w:tcW w:type="dxa" w:w="750"/>
            <w:gridSpan w:val="2"/>
            <w:vMerge/>
            <w:tcBorders/>
          </w:tcPr>
          <w:p/>
        </w:tc>
        <w:tc>
          <w:tcPr>
            <w:tcW w:type="dxa" w:w="375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center"/>
            </w:pPr>
            <w:r>
              <w:rPr>
                <w:w w:val="96.19833628336588"/>
                <w:rFonts w:ascii="TimesNewRomanPS" w:hAnsi="TimesNewRomanPS" w:eastAsia="TimesNewRomanPS"/>
                <w:b w:val="0"/>
                <w:i/>
                <w:color w:val="221F1F"/>
                <w:sz w:val="12"/>
              </w:rPr>
              <w:t>Ni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5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center"/>
            </w:pPr>
            <w:r>
              <w:rPr>
                <w:w w:val="96.19833628336588"/>
                <w:rFonts w:ascii="TimesNewRomanPS" w:hAnsi="TimesNewRomanPS" w:eastAsia="TimesNewRomanPS"/>
                <w:b w:val="0"/>
                <w:i/>
                <w:color w:val="221F1F"/>
                <w:sz w:val="12"/>
              </w:rPr>
              <w:t>Ch</w:t>
            </w:r>
          </w:p>
        </w:tc>
        <w:tc>
          <w:tcPr>
            <w:tcW w:type="dxa" w:w="375"/>
            <w:vMerge/>
            <w:tcBorders/>
          </w:tcPr>
          <w:p/>
        </w:tc>
        <w:tc>
          <w:tcPr>
            <w:tcW w:type="dxa" w:w="375"/>
            <w:vMerge/>
            <w:tcBorders>
              <w:top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530"/>
        <w:ind w:left="0" w:right="0"/>
      </w:pPr>
    </w:p>
    <w:p>
      <w:pPr>
        <w:sectPr>
          <w:pgSz w:w="10885" w:h="14854"/>
          <w:pgMar w:top="368" w:right="648" w:bottom="1194" w:left="872" w:header="720" w:footer="720" w:gutter="0"/>
          <w:cols w:space="720" w:num="1" w:equalWidth="0">
            <w:col w:w="9366" w:space="0"/>
            <w:col w:w="9112" w:space="0"/>
            <w:col w:w="96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46810" cy="109346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093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0885" w:h="14854"/>
          <w:pgMar w:top="368" w:right="648" w:bottom="1194" w:left="872" w:header="720" w:footer="720" w:gutter="0"/>
          <w:cols w:space="720" w:num="2" w:equalWidth="0">
            <w:col w:w="3580" w:space="0"/>
            <w:col w:w="5785" w:space="0"/>
            <w:col w:w="9366" w:space="0"/>
            <w:col w:w="9112" w:space="0"/>
            <w:col w:w="96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4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31900" cy="12420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420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18"/>
        <w:sectPr>
          <w:type w:val="nextColumn"/>
          <w:pgSz w:w="10885" w:h="14854"/>
          <w:pgMar w:top="368" w:right="648" w:bottom="1194" w:left="872" w:header="720" w:footer="720" w:gutter="0"/>
          <w:cols w:space="720" w:num="2" w:equalWidth="0">
            <w:col w:w="3580" w:space="0"/>
            <w:col w:w="5785" w:space="0"/>
            <w:col w:w="9366" w:space="0"/>
            <w:col w:w="9112" w:space="0"/>
            <w:col w:w="962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1. (a) </w:t>
      </w: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>ACE clustering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;       (b) </w:t>
      </w: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logic topology of the network                        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2. (a) </w:t>
      </w: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>cluster division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;           (b) </w:t>
      </w: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report nodes </w:t>
      </w:r>
    </w:p>
    <w:p>
      <w:pPr>
        <w:autoSpaceDN w:val="0"/>
        <w:tabs>
          <w:tab w:pos="238" w:val="left"/>
        </w:tabs>
        <w:autoSpaceDE w:val="0"/>
        <w:widowControl/>
        <w:spacing w:line="326" w:lineRule="auto" w:before="258" w:after="0"/>
        <w:ind w:left="0" w:right="432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2.3.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agent node selection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each type of sensors, cluster head randomly selects one of the corresponding report nodes as agent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node for each region and preserve a table of agent information as shown in Table 1. </w:t>
      </w:r>
    </w:p>
    <w:p>
      <w:pPr>
        <w:autoSpaceDN w:val="0"/>
        <w:autoSpaceDE w:val="0"/>
        <w:widowControl/>
        <w:spacing w:line="233" w:lineRule="auto" w:before="222" w:after="24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1. Table of agent information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18.0" w:type="dxa"/>
      </w:tblPr>
      <w:tblGrid>
        <w:gridCol w:w="2341"/>
        <w:gridCol w:w="2341"/>
        <w:gridCol w:w="2341"/>
        <w:gridCol w:w="2341"/>
      </w:tblGrid>
      <w:tr>
        <w:trPr>
          <w:trHeight w:hRule="exact" w:val="290"/>
        </w:trPr>
        <w:tc>
          <w:tcPr>
            <w:tcW w:type="dxa" w:w="1450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Agent node (ID) </w:t>
            </w:r>
          </w:p>
        </w:tc>
        <w:tc>
          <w:tcPr>
            <w:tcW w:type="dxa" w:w="880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Type </w:t>
            </w:r>
          </w:p>
        </w:tc>
        <w:tc>
          <w:tcPr>
            <w:tcW w:type="dxa" w:w="1100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Region </w:t>
            </w:r>
          </w:p>
        </w:tc>
        <w:tc>
          <w:tcPr>
            <w:tcW w:type="dxa" w:w="1178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Num </w:t>
            </w:r>
          </w:p>
        </w:tc>
      </w:tr>
      <w:tr>
        <w:trPr>
          <w:trHeight w:hRule="exact" w:val="248"/>
        </w:trPr>
        <w:tc>
          <w:tcPr>
            <w:tcW w:type="dxa" w:w="1450"/>
            <w:tcBorders>
              <w:top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N1 </w:t>
            </w:r>
          </w:p>
        </w:tc>
        <w:tc>
          <w:tcPr>
            <w:tcW w:type="dxa" w:w="880"/>
            <w:tcBorders>
              <w:top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A </w:t>
            </w:r>
          </w:p>
        </w:tc>
        <w:tc>
          <w:tcPr>
            <w:tcW w:type="dxa" w:w="1100"/>
            <w:tcBorders>
              <w:top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R1 </w:t>
            </w:r>
          </w:p>
        </w:tc>
        <w:tc>
          <w:tcPr>
            <w:tcW w:type="dxa" w:w="1178"/>
            <w:tcBorders>
              <w:top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Num_1A </w:t>
            </w:r>
          </w:p>
        </w:tc>
      </w:tr>
      <w:tr>
        <w:trPr>
          <w:trHeight w:hRule="exact" w:val="280"/>
        </w:trPr>
        <w:tc>
          <w:tcPr>
            <w:tcW w:type="dxa" w:w="14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N2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B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R1 </w:t>
            </w:r>
          </w:p>
        </w:tc>
        <w:tc>
          <w:tcPr>
            <w:tcW w:type="dxa" w:w="1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Num_1B </w:t>
            </w:r>
          </w:p>
        </w:tc>
      </w:tr>
      <w:tr>
        <w:trPr>
          <w:trHeight w:hRule="exact" w:val="280"/>
        </w:trPr>
        <w:tc>
          <w:tcPr>
            <w:tcW w:type="dxa" w:w="14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…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…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… </w:t>
            </w:r>
          </w:p>
        </w:tc>
        <w:tc>
          <w:tcPr>
            <w:tcW w:type="dxa" w:w="1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… </w:t>
            </w:r>
          </w:p>
        </w:tc>
      </w:tr>
      <w:tr>
        <w:trPr>
          <w:trHeight w:hRule="exact" w:val="280"/>
        </w:trPr>
        <w:tc>
          <w:tcPr>
            <w:tcW w:type="dxa" w:w="14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N9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A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R3 </w:t>
            </w:r>
          </w:p>
        </w:tc>
        <w:tc>
          <w:tcPr>
            <w:tcW w:type="dxa" w:w="1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Num_3A </w:t>
            </w:r>
          </w:p>
        </w:tc>
      </w:tr>
      <w:tr>
        <w:trPr>
          <w:trHeight w:hRule="exact" w:val="280"/>
        </w:trPr>
        <w:tc>
          <w:tcPr>
            <w:tcW w:type="dxa" w:w="14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N10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B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R3 </w:t>
            </w:r>
          </w:p>
        </w:tc>
        <w:tc>
          <w:tcPr>
            <w:tcW w:type="dxa" w:w="1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Num_3B </w:t>
            </w:r>
          </w:p>
        </w:tc>
      </w:tr>
      <w:tr>
        <w:trPr>
          <w:trHeight w:hRule="exact" w:val="322"/>
        </w:trPr>
        <w:tc>
          <w:tcPr>
            <w:tcW w:type="dxa" w:w="145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… </w:t>
            </w:r>
          </w:p>
        </w:tc>
        <w:tc>
          <w:tcPr>
            <w:tcW w:type="dxa" w:w="8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… </w:t>
            </w:r>
          </w:p>
        </w:tc>
        <w:tc>
          <w:tcPr>
            <w:tcW w:type="dxa" w:w="11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… </w:t>
            </w:r>
          </w:p>
        </w:tc>
        <w:tc>
          <w:tcPr>
            <w:tcW w:type="dxa" w:w="117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…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0" w:right="47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Table 1,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are different sensor types,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Num_1A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denotes the number of sensors of type A located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region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R1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except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N1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the same way to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Num_1B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. Then, the cluster head broadcasts &lt;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N1, N2, R1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&gt; … &lt;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N9, N10,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R3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&gt;… to all inner-cluster nodes. </w:t>
      </w:r>
    </w:p>
    <w:p>
      <w:pPr>
        <w:autoSpaceDN w:val="0"/>
        <w:tabs>
          <w:tab w:pos="238" w:val="left"/>
        </w:tabs>
        <w:autoSpaceDE w:val="0"/>
        <w:widowControl/>
        <w:spacing w:line="326" w:lineRule="auto" w:before="258" w:after="0"/>
        <w:ind w:left="0" w:right="432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2.4.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Inner-cluster data aggregation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Upon receiving the data request broadcasted by base station, all nodes measure the external parameters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agent nodes will transmit their readings to cluster head directly. For any node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Ni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located in region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will </w:t>
      </w:r>
    </w:p>
    <w:p>
      <w:pPr>
        <w:sectPr>
          <w:type w:val="continuous"/>
          <w:pgSz w:w="10885" w:h="14854"/>
          <w:pgMar w:top="368" w:right="648" w:bottom="1194" w:left="872" w:header="720" w:footer="720" w:gutter="0"/>
          <w:cols w:space="720" w:num="1" w:equalWidth="0">
            <w:col w:w="9366" w:space="0"/>
            <w:col w:w="3580" w:space="0"/>
            <w:col w:w="5785" w:space="0"/>
            <w:col w:w="9366" w:space="0"/>
            <w:col w:w="9112" w:space="0"/>
            <w:col w:w="96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1295400</wp:posOffset>
            </wp:positionH>
            <wp:positionV relativeFrom="page">
              <wp:posOffset>3898900</wp:posOffset>
            </wp:positionV>
            <wp:extent cx="1727200" cy="15875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87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3632200</wp:posOffset>
            </wp:positionH>
            <wp:positionV relativeFrom="page">
              <wp:posOffset>3898900</wp:posOffset>
            </wp:positionV>
            <wp:extent cx="1765300" cy="16002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600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23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526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Jianghong Guo et al. /  AASRI Procedia  3 ( 2012 )  523 – 527 </w:t>
      </w:r>
    </w:p>
    <w:p>
      <w:pPr>
        <w:autoSpaceDN w:val="0"/>
        <w:autoSpaceDE w:val="0"/>
        <w:widowControl/>
        <w:spacing w:line="247" w:lineRule="auto" w:before="340" w:after="0"/>
        <w:ind w:left="106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keep silent if its reading equals that of the agent node which located in the same region, otherwise,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Ni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will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transmits its reading to cluster head. It is obviously that there are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Num_1A - 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sensors have the same reading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agent node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N1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if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sensors of type A located in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R1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transmit their data to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Ch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In this way,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Ch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can achieve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all data in the cluster and corresponding counter by common comparison and transmits the fusion data to base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station. </w:t>
      </w:r>
    </w:p>
    <w:p>
      <w:pPr>
        <w:autoSpaceDN w:val="0"/>
        <w:autoSpaceDE w:val="0"/>
        <w:widowControl/>
        <w:spacing w:line="245" w:lineRule="auto" w:before="18" w:after="0"/>
        <w:ind w:left="106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Because the main concern of this paper is how to reduce the inner-cluster transmissions and many existing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methods can be used for inner-cluster data comparison and data fusion if data and counter are available,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therefore we don’t discuss the data comparison and data fusion in detail. </w:t>
      </w:r>
    </w:p>
    <w:p>
      <w:pPr>
        <w:autoSpaceDN w:val="0"/>
        <w:autoSpaceDE w:val="0"/>
        <w:widowControl/>
        <w:spacing w:line="230" w:lineRule="auto" w:before="258" w:after="0"/>
        <w:ind w:left="10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3.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Simulation </w:t>
      </w:r>
    </w:p>
    <w:p>
      <w:pPr>
        <w:autoSpaceDN w:val="0"/>
        <w:autoSpaceDE w:val="0"/>
        <w:widowControl/>
        <w:spacing w:line="247" w:lineRule="auto" w:before="258" w:after="0"/>
        <w:ind w:left="106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our simulation, the network is clustered as shown in Fig.1 (b) and related assumptions has described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section 2.1. We evaluate the communication overhead using ns2 with wireless extensions and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802.15.4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allows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 variable payload of up to 102 bytes. We assume that the average number of sensors in the cluster is 2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sensors of type A and n sensors of type B, means of the data distribution in cluster are 30 and 60 for two kinds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sensors and standard deviation  various from 0.6 to 1. Also, we use TCDA (Traditional cluster-based data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aggregation) denotes most of existing cluster-based schemes which pay more attention to the transmission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fusion data from aggregator to based station and all inner-cluster nodes will transmit their data to aggregator.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comparison of inner-cluster transmissions were shown in Fig.3. </w:t>
      </w:r>
    </w:p>
    <w:p>
      <w:pPr>
        <w:autoSpaceDN w:val="0"/>
        <w:tabs>
          <w:tab w:pos="4962" w:val="left"/>
        </w:tabs>
        <w:autoSpaceDE w:val="0"/>
        <w:widowControl/>
        <w:spacing w:line="245" w:lineRule="auto" w:before="214" w:after="0"/>
        <w:ind w:left="1868" w:right="3888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9"/>
        </w:rPr>
        <w:t xml:space="preserve">Average number of inner-cluster nodes (60) </w:t>
      </w:r>
      <w:r>
        <w:br/>
      </w:r>
      <w:r>
        <w:tab/>
      </w:r>
      <w:r>
        <w:rPr>
          <w:w w:val="103.03486188252766"/>
          <w:rFonts w:ascii="ArialMT" w:hAnsi="ArialMT" w:eastAsia="ArialMT"/>
          <w:b w:val="0"/>
          <w:i w:val="0"/>
          <w:color w:val="221F1F"/>
          <w:sz w:val="6"/>
        </w:rPr>
        <w:t>1100</w:t>
      </w:r>
    </w:p>
    <w:p>
      <w:pPr>
        <w:autoSpaceDN w:val="0"/>
        <w:autoSpaceDE w:val="0"/>
        <w:widowControl/>
        <w:spacing w:line="230" w:lineRule="auto" w:before="66" w:after="10"/>
        <w:ind w:left="1312" w:right="0" w:firstLine="0"/>
        <w:jc w:val="left"/>
      </w:pPr>
      <w:r>
        <w:rPr>
          <w:w w:val="102.70881652832031"/>
          <w:rFonts w:ascii="ArialMT" w:hAnsi="ArialMT" w:eastAsia="ArialMT"/>
          <w:b w:val="0"/>
          <w:i w:val="0"/>
          <w:color w:val="221F1F"/>
          <w:sz w:val="6"/>
        </w:rPr>
        <w:t>60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8.0" w:type="dxa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>
        <w:trPr>
          <w:trHeight w:hRule="exact" w:val="156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8" w:after="0"/>
              <w:ind w:left="0" w:right="5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9"/>
              </w:rPr>
              <w:t>Inner-cluster transmissions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55</w:t>
            </w:r>
          </w:p>
        </w:tc>
        <w:tc>
          <w:tcPr>
            <w:tcW w:type="dxa" w:w="1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0" w:after="0"/>
              <w:ind w:left="0" w:right="0" w:firstLine="0"/>
              <w:jc w:val="left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0</w:t>
            </w:r>
          </w:p>
        </w:tc>
        <w:tc>
          <w:tcPr>
            <w:tcW w:type="dxa" w:w="3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0" w:after="0"/>
              <w:ind w:left="0" w:right="244" w:firstLine="0"/>
              <w:jc w:val="right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2</w:t>
            </w:r>
          </w:p>
        </w:tc>
        <w:tc>
          <w:tcPr>
            <w:tcW w:type="dxa" w:w="1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0" w:after="0"/>
              <w:ind w:left="0" w:right="0" w:firstLine="0"/>
              <w:jc w:val="left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4</w:t>
            </w:r>
          </w:p>
        </w:tc>
        <w:tc>
          <w:tcPr>
            <w:tcW w:type="dxa" w:w="2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0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6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0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8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0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10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0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12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0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14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1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9"/>
              </w:rPr>
              <w:t>LBDA =1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8" w:after="0"/>
              <w:ind w:left="5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9"/>
              </w:rPr>
              <w:t xml:space="preserve">Total inner-cluster transmissions in the network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4" w:right="0" w:firstLine="0"/>
              <w:jc w:val="left"/>
            </w:pP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>1050</w:t>
            </w:r>
          </w:p>
        </w:tc>
        <w:tc>
          <w:tcPr>
            <w:tcW w:type="dxa" w:w="2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6" w:after="0"/>
              <w:ind w:left="0" w:right="3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9"/>
              </w:rPr>
              <w:t>Ntrans-LBDA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38" w:after="0"/>
              <w:ind w:left="0" w:right="0" w:firstLine="0"/>
              <w:jc w:val="left"/>
            </w:pP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>1</w:t>
            </w:r>
          </w:p>
        </w:tc>
      </w:tr>
      <w:tr>
        <w:trPr>
          <w:trHeight w:hRule="exact" w:val="124"/>
        </w:trPr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9"/>
              </w:rPr>
              <w:t>LBDA =0.9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34" w:right="0" w:firstLine="0"/>
              <w:jc w:val="left"/>
            </w:pP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>1000</w:t>
            </w:r>
          </w:p>
        </w:tc>
        <w:tc>
          <w:tcPr>
            <w:tcW w:type="dxa" w:w="1425"/>
            <w:gridSpan w:val="3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9"/>
              </w:rPr>
              <w:t>LBDA =0.8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1425"/>
            <w:gridSpan w:val="3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75"/>
            <w:vMerge/>
            <w:tcBorders/>
          </w:tcPr>
          <w:p/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50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1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9"/>
              </w:rPr>
              <w:t>LBDA =0.7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66" w:right="0" w:firstLine="0"/>
              <w:jc w:val="left"/>
            </w:pP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>950</w:t>
            </w:r>
          </w:p>
        </w:tc>
        <w:tc>
          <w:tcPr>
            <w:tcW w:type="dxa" w:w="2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9"/>
              </w:rPr>
              <w:t>Ntrans-TCDA</w:t>
            </w:r>
          </w:p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475"/>
            <w:vMerge/>
            <w:tcBorders/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45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9"/>
              </w:rPr>
              <w:t>LBDA =0.6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66" w:right="0" w:firstLine="0"/>
              <w:jc w:val="left"/>
            </w:pP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>900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10" w:after="0"/>
              <w:ind w:left="0" w:right="0" w:firstLine="0"/>
              <w:jc w:val="center"/>
            </w:pP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>0.7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10" w:after="0"/>
              <w:ind w:left="0" w:right="0" w:firstLine="0"/>
              <w:jc w:val="center"/>
            </w:pP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>0.8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10" w:after="0"/>
              <w:ind w:left="0" w:right="628" w:firstLine="0"/>
              <w:jc w:val="right"/>
            </w:pP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>0.9</w:t>
            </w:r>
          </w:p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1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9"/>
              </w:rPr>
              <w:t>TCDA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475"/>
            <w:vMerge/>
            <w:tcBorders/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40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1425"/>
            <w:gridSpan w:val="3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1425"/>
            <w:gridSpan w:val="3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6" w:right="0" w:firstLine="0"/>
              <w:jc w:val="left"/>
            </w:pP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>850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475"/>
            <w:vMerge/>
            <w:tcBorders/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35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1425"/>
            <w:gridSpan w:val="3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1425"/>
            <w:gridSpan w:val="3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6" w:right="0" w:firstLine="0"/>
              <w:jc w:val="left"/>
            </w:pP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>800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475"/>
            <w:vMerge/>
            <w:tcBorders/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30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1425"/>
            <w:gridSpan w:val="3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1425"/>
            <w:gridSpan w:val="3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6" w:right="0" w:firstLine="0"/>
              <w:jc w:val="left"/>
            </w:pP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>750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475"/>
            <w:vMerge/>
            <w:tcBorders/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25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1425"/>
            <w:gridSpan w:val="3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94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16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94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18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94" w:after="0"/>
              <w:ind w:left="116" w:right="0" w:firstLine="0"/>
              <w:jc w:val="left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20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6" w:right="0" w:firstLine="0"/>
              <w:jc w:val="left"/>
            </w:pP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>700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475"/>
            <w:vMerge/>
            <w:tcBorders/>
          </w:tcPr>
          <w:p/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20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6" w:right="0" w:firstLine="0"/>
              <w:jc w:val="left"/>
            </w:pP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>650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475"/>
            <w:vMerge/>
            <w:tcBorders/>
          </w:tcPr>
          <w:p/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15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6" w:right="0" w:firstLine="0"/>
              <w:jc w:val="left"/>
            </w:pP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>600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475"/>
            <w:vMerge/>
            <w:tcBorders/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102.70881652832031"/>
                <w:rFonts w:ascii="ArialMT" w:hAnsi="ArialMT" w:eastAsia="ArialMT"/>
                <w:b w:val="0"/>
                <w:i w:val="0"/>
                <w:color w:val="221F1F"/>
                <w:sz w:val="6"/>
              </w:rPr>
              <w:t>10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" w:val="left"/>
              </w:tabs>
              <w:autoSpaceDE w:val="0"/>
              <w:widowControl/>
              <w:spacing w:line="245" w:lineRule="auto" w:before="90" w:after="0"/>
              <w:ind w:left="66" w:right="144" w:firstLine="0"/>
              <w:jc w:val="left"/>
            </w:pP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 xml:space="preserve">550 </w:t>
            </w:r>
            <w:r>
              <w:br/>
            </w:r>
            <w:r>
              <w:rPr>
                <w:w w:val="103.03486188252766"/>
                <w:rFonts w:ascii="ArialMT" w:hAnsi="ArialMT" w:eastAsia="ArialMT"/>
                <w:b w:val="0"/>
                <w:i w:val="0"/>
                <w:color w:val="221F1F"/>
                <w:sz w:val="6"/>
              </w:rPr>
              <w:t>0.6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9"/>
              </w:rPr>
              <w:t>Cluster identifier</w:t>
            </w:r>
          </w:p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475"/>
            <w:vMerge/>
            <w:tcBorders/>
          </w:tcPr>
          <w:p/>
        </w:tc>
        <w:tc>
          <w:tcPr>
            <w:tcW w:type="dxa" w:w="2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9"/>
              </w:rPr>
              <w:t>standard deviation  various from 0.6 to 1</w:t>
            </w:r>
          </w:p>
        </w:tc>
        <w:tc>
          <w:tcPr>
            <w:tcW w:type="dxa" w:w="4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8" w:after="0"/>
        <w:ind w:left="1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3. (a) Inner-cluster transmissions;                             (b) Total inner-cluster transmissions </w:t>
      </w:r>
    </w:p>
    <w:p>
      <w:pPr>
        <w:autoSpaceDN w:val="0"/>
        <w:autoSpaceDE w:val="0"/>
        <w:widowControl/>
        <w:spacing w:line="247" w:lineRule="auto" w:before="260" w:after="0"/>
        <w:ind w:left="106" w:right="2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Fig.3 (b), Ntrans means the total number of inner-cluster transmissions of the network. Fig.3 (a) shows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that the inner-cluster transmissions in different clusters of LBDA is less than that of TCDA when  various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1 to 0.6 and Fig.3 (b) illustrates that the total inner-cluster transmissions of LBDA is less than that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TCDA. From Fig.3 (b) we know that the number of total transmissions has decreased follow the decrease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standard deviation . The reason is that the small  makes the sensor readings more concentrated and results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more sensors have same readings with the agent node, thus leads to more nodes keep silent in the processing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data aggregation. </w:t>
      </w:r>
    </w:p>
    <w:p>
      <w:pPr>
        <w:autoSpaceDN w:val="0"/>
        <w:autoSpaceDE w:val="0"/>
        <w:widowControl/>
        <w:spacing w:line="230" w:lineRule="auto" w:before="258" w:after="0"/>
        <w:ind w:left="10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4.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Conclusion </w:t>
      </w:r>
    </w:p>
    <w:p>
      <w:pPr>
        <w:autoSpaceDN w:val="0"/>
        <w:autoSpaceDE w:val="0"/>
        <w:widowControl/>
        <w:spacing w:line="245" w:lineRule="auto" w:before="258" w:after="0"/>
        <w:ind w:left="106" w:right="0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 this paper, we proposed a location-based inner-cluster data aggregation scheme for reducing the inner-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cluster transmissions for cluster-based data aggregation. Cluster was divided into regions and each node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calculates which region it located in using location information. Only the nodes located in the same region </w:t>
      </w:r>
    </w:p>
    <w:p>
      <w:pPr>
        <w:sectPr>
          <w:pgSz w:w="10885" w:h="14854"/>
          <w:pgMar w:top="368" w:right="1208" w:bottom="1208" w:left="652" w:header="720" w:footer="720" w:gutter="0"/>
          <w:cols w:space="720" w:num="1" w:equalWidth="0">
            <w:col w:w="9026" w:space="0"/>
            <w:col w:w="9366" w:space="0"/>
            <w:col w:w="3580" w:space="0"/>
            <w:col w:w="5785" w:space="0"/>
            <w:col w:w="9366" w:space="0"/>
            <w:col w:w="9112" w:space="0"/>
            <w:col w:w="96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88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Jianghong Guo et al. /  AASRI Procedia  3 ( 2012 )  523 – 527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527</w:t>
      </w:r>
    </w:p>
    <w:p>
      <w:pPr>
        <w:autoSpaceDN w:val="0"/>
        <w:autoSpaceDE w:val="0"/>
        <w:widowControl/>
        <w:spacing w:line="245" w:lineRule="auto" w:before="342" w:after="0"/>
        <w:ind w:left="192" w:right="58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have different readings with agent node will transmit their data to cluster head. Simulation shows that our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scheme has less inner-cluster transmissions than most of cluster-based data aggregation schemes, thus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lowered the communication overhead and prolong the lifetime of the network. </w:t>
      </w:r>
    </w:p>
    <w:p>
      <w:pPr>
        <w:autoSpaceDN w:val="0"/>
        <w:autoSpaceDE w:val="0"/>
        <w:widowControl/>
        <w:spacing w:line="230" w:lineRule="auto" w:before="482" w:after="0"/>
        <w:ind w:left="19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6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[1] I. N. Al-Karaki, R. UI-Mustafa, A. E. Kamal, “Data aggregationin wireless sensor networks-exact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approximate algorithms”, Computer Engineering, 2004: 241–245. </w:t>
      </w:r>
    </w:p>
    <w:p>
      <w:pPr>
        <w:autoSpaceDN w:val="0"/>
        <w:autoSpaceDE w:val="0"/>
        <w:widowControl/>
        <w:spacing w:line="245" w:lineRule="auto" w:before="8" w:after="0"/>
        <w:ind w:left="192" w:right="58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[2] T. Aonishi, T. Matsuda, S. Mikami, H. Kawaguchi, C. Ohta, M. Yoshimoto, “Impact of aggregation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efficiency on git routing for wireless sensor networks”, In Proceedings of the 2006 International Conference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Workshops on Parallel Processing, 2006:151–158. </w:t>
      </w:r>
    </w:p>
    <w:p>
      <w:pPr>
        <w:autoSpaceDN w:val="0"/>
        <w:autoSpaceDE w:val="0"/>
        <w:widowControl/>
        <w:spacing w:line="245" w:lineRule="auto" w:before="8" w:after="0"/>
        <w:ind w:left="1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[3] L. Gatani, G. L. Re, M. Ortolani, Robust and efficient data gathering for wireless sensor networks,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proceedings of the 39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Annual Hawaii International Conference on System Sciences, Volume 09, Washington,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DC, USA, 2006:235-240. </w:t>
      </w:r>
    </w:p>
    <w:p>
      <w:pPr>
        <w:autoSpaceDN w:val="0"/>
        <w:autoSpaceDE w:val="0"/>
        <w:widowControl/>
        <w:spacing w:line="245" w:lineRule="auto" w:before="8" w:after="0"/>
        <w:ind w:left="192" w:right="58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[4] J. Considine, F. Li, G. Kollios, J. Byers, “Approximate aggregation techniques for sensor data- bases”,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Proceedings of the 20th International Conference on Data Engineering, ICDE’04, Wash- ington, DC, USA,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2004: 449–455. </w:t>
      </w:r>
    </w:p>
    <w:p>
      <w:pPr>
        <w:autoSpaceDN w:val="0"/>
        <w:autoSpaceDE w:val="0"/>
        <w:widowControl/>
        <w:spacing w:line="245" w:lineRule="auto" w:before="8" w:after="0"/>
        <w:ind w:left="192" w:right="58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[5] L. A. Villas, D. L. Guidoni, R. B. Ara´ujo, A. Boukerche, A. A. Loureiro, “A scalable and dyna- mic data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aggregation aware routing protocol for wireless sensor networks”, In proceedings of the 13th ACM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international conference on Modeling, analysis, and simulation of wireless and mobile systems, MSWIM ’10,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2010:110–117. </w:t>
      </w:r>
    </w:p>
    <w:p>
      <w:pPr>
        <w:autoSpaceDN w:val="0"/>
        <w:autoSpaceDE w:val="0"/>
        <w:widowControl/>
        <w:spacing w:line="245" w:lineRule="auto" w:before="8" w:after="0"/>
        <w:ind w:left="1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[6]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W. R. Heinzelman, A. P. Chandrakasan, and H. Balakrishnan, An Application-Specific Protocol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Architecture for Wireless Micro-sensor Networks[J], IEEE Trans Wireless Communication. 2002,10:660–670.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[7]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O. Younis and S. Fahmy, HEED: a Hybrid, Energy-Efficient, Distributed Clustering Approach for Ad Hoc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Sensor networks, IEEE Trans. Mobile Computing, 2004, 3(4): 366–379. </w:t>
      </w:r>
    </w:p>
    <w:p>
      <w:pPr>
        <w:autoSpaceDN w:val="0"/>
        <w:autoSpaceDE w:val="0"/>
        <w:widowControl/>
        <w:spacing w:line="245" w:lineRule="auto" w:before="8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[8]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H. Chan, A. Perrig, ACE: an emergent algorithm for highly uniform cluster formation [J], LNCS,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2004,2(2920):154-171. </w:t>
      </w:r>
    </w:p>
    <w:p>
      <w:pPr>
        <w:autoSpaceDN w:val="0"/>
        <w:autoSpaceDE w:val="0"/>
        <w:widowControl/>
        <w:spacing w:line="245" w:lineRule="auto" w:before="10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[9]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S.Capkun, J.P. Hubaux, Secure positioning of wireless devices with application to sensor networks. in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Proc. IEEE INFOCOM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Miami, FL, Mar. 2005:1917– 1928. </w:t>
      </w:r>
    </w:p>
    <w:p>
      <w:pPr>
        <w:autoSpaceDN w:val="0"/>
        <w:autoSpaceDE w:val="0"/>
        <w:widowControl/>
        <w:spacing w:line="245" w:lineRule="auto" w:before="6" w:after="0"/>
        <w:ind w:left="1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[10]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A. Savvides, C. Han, and M. Srivastava, Dynamic fine-grained localization in ad-hoc networks of sensors,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Proc. ACM MobiCom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Rome, Italy, Jul. 2001, pp. 166–179. </w:t>
      </w:r>
    </w:p>
    <w:sectPr w:rsidR="00FC693F" w:rsidRPr="0006063C" w:rsidSect="00034616">
      <w:pgSz w:w="10885" w:h="14854"/>
      <w:pgMar w:top="368" w:right="532" w:bottom="1440" w:left="680" w:header="720" w:footer="720" w:gutter="0"/>
      <w:cols w:space="720" w:num="1" w:equalWidth="0">
        <w:col w:w="9674" w:space="0"/>
        <w:col w:w="9026" w:space="0"/>
        <w:col w:w="9366" w:space="0"/>
        <w:col w:w="3580" w:space="0"/>
        <w:col w:w="5785" w:space="0"/>
        <w:col w:w="9366" w:space="0"/>
        <w:col w:w="9112" w:space="0"/>
        <w:col w:w="96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