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.000000000000014" w:type="dxa"/>
      </w:tblPr>
      <w:tblGrid>
        <w:gridCol w:w="3242"/>
        <w:gridCol w:w="3242"/>
        <w:gridCol w:w="3242"/>
      </w:tblGrid>
      <w:tr>
        <w:trPr>
          <w:trHeight w:hRule="exact" w:val="264"/>
        </w:trPr>
        <w:tc>
          <w:tcPr>
            <w:tcW w:type="dxa" w:w="1860"/>
            <w:vMerge w:val="restart"/>
            <w:tcBorders>
              <w:bottom w:sz="7.2000000000000455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453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53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76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Available online at </w:t>
            </w:r>
            <w:r>
              <w:rPr>
                <w:rFonts w:ascii="ArialMT" w:hAnsi="ArialMT" w:eastAsia="ArialMT"/>
                <w:b w:val="0"/>
                <w:i w:val="0"/>
                <w:color w:val="202060"/>
                <w:sz w:val="18"/>
              </w:rPr>
              <w:t>www.sciencedirect.com</w:t>
            </w:r>
          </w:p>
        </w:tc>
        <w:tc>
          <w:tcPr>
            <w:tcW w:type="dxa" w:w="205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18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36"/>
              </w:rPr>
              <w:t>AASRI</w:t>
            </w:r>
          </w:p>
        </w:tc>
      </w:tr>
      <w:tr>
        <w:trPr>
          <w:trHeight w:hRule="exact" w:val="340"/>
        </w:trPr>
        <w:tc>
          <w:tcPr>
            <w:tcW w:type="dxa" w:w="3242"/>
            <w:vMerge/>
            <w:tcBorders>
              <w:bottom w:sz="7.2000000000000455" w:val="single" w:color="#221F1F"/>
            </w:tcBorders>
          </w:tcPr>
          <w:p/>
        </w:tc>
        <w:tc>
          <w:tcPr>
            <w:tcW w:type="dxa" w:w="56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4" w:after="0"/>
              <w:ind w:left="77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157729" cy="16890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29" cy="1689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42"/>
            <w:vMerge/>
            <w:tcBorders/>
          </w:tcPr>
          <w:p/>
        </w:tc>
      </w:tr>
      <w:tr>
        <w:trPr>
          <w:trHeight w:hRule="exact" w:val="550"/>
        </w:trPr>
        <w:tc>
          <w:tcPr>
            <w:tcW w:type="dxa" w:w="3242"/>
            <w:vMerge/>
            <w:tcBorders>
              <w:bottom w:sz="7.2000000000000455" w:val="single" w:color="#221F1F"/>
            </w:tcBorders>
          </w:tcPr>
          <w:p/>
        </w:tc>
        <w:tc>
          <w:tcPr>
            <w:tcW w:type="dxa" w:w="5648"/>
            <w:tcBorders>
              <w:bottom w:sz="7.2000000000000455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058"/>
            <w:tcBorders>
              <w:bottom w:sz="7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0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34"/>
              </w:rPr>
              <w:t>Procedia</w:t>
            </w:r>
          </w:p>
        </w:tc>
      </w:tr>
      <w:tr>
        <w:trPr>
          <w:trHeight w:hRule="exact" w:val="264"/>
        </w:trPr>
        <w:tc>
          <w:tcPr>
            <w:tcW w:type="dxa" w:w="1860"/>
            <w:tcBorders>
              <w:top w:sz="7.2000000000000455" w:val="single" w:color="#221F1F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48"/>
            <w:tcBorders>
              <w:top w:sz="7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28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2 ( 2012 )  169 – 173 </w:t>
            </w:r>
          </w:p>
        </w:tc>
        <w:tc>
          <w:tcPr>
            <w:tcW w:type="dxa" w:w="2058"/>
            <w:tcBorders>
              <w:top w:sz="7.2000000000000455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4" w:lineRule="exact" w:before="60" w:after="0"/>
              <w:ind w:left="1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2"/>
              </w:rPr>
              <w:t>www.elsevier.com/locate/procedia</w:t>
            </w:r>
          </w:p>
        </w:tc>
      </w:tr>
    </w:tbl>
    <w:p>
      <w:pPr>
        <w:autoSpaceDN w:val="0"/>
        <w:autoSpaceDE w:val="0"/>
        <w:widowControl/>
        <w:spacing w:line="230" w:lineRule="auto" w:before="458" w:after="0"/>
        <w:ind w:left="36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�</w:t>
      </w:r>
    </w:p>
    <w:p>
      <w:pPr>
        <w:autoSpaceDN w:val="0"/>
        <w:autoSpaceDE w:val="0"/>
        <w:widowControl/>
        <w:spacing w:line="230" w:lineRule="auto" w:before="484" w:after="0"/>
        <w:ind w:left="0" w:right="0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24"/>
        </w:rPr>
        <w:t>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45" w:lineRule="auto" w:before="264" w:after="0"/>
        <w:ind w:left="288" w:right="432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34"/>
        </w:rPr>
        <w:t>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34"/>
        </w:rPr>
        <w:t>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64" w:lineRule="auto" w:before="212" w:after="0"/>
        <w:ind w:left="210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6"/>
        </w:rPr>
        <w:t>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17"/>
        </w:rPr>
        <w:t>��</w:t>
      </w:r>
      <w:r>
        <w:rPr>
          <w:rFonts w:ascii="TimesNewRoman" w:hAnsi="TimesNewRoman" w:eastAsia="TimesNewRoman"/>
          <w:b w:val="0"/>
          <w:i w:val="0"/>
          <w:color w:val="000000"/>
          <w:sz w:val="26"/>
        </w:rPr>
        <w:t>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17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6"/>
        </w:rPr>
        <w:t>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17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6"/>
        </w:rPr>
        <w:t>�</w:t>
      </w:r>
    </w:p>
    <w:p>
      <w:pPr>
        <w:autoSpaceDN w:val="0"/>
        <w:autoSpaceDE w:val="0"/>
        <w:widowControl/>
        <w:spacing w:line="252" w:lineRule="auto" w:before="168" w:after="0"/>
        <w:ind w:left="140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142" w:after="0"/>
        <w:ind w:left="0" w:right="4908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�</w:t>
      </w:r>
    </w:p>
    <w:p>
      <w:pPr>
        <w:autoSpaceDN w:val="0"/>
        <w:autoSpaceDE w:val="0"/>
        <w:widowControl/>
        <w:spacing w:line="230" w:lineRule="auto" w:before="628" w:after="0"/>
        <w:ind w:left="36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8"/>
        </w:rPr>
        <w:t>���������</w:t>
      </w:r>
    </w:p>
    <w:p>
      <w:pPr>
        <w:autoSpaceDN w:val="0"/>
        <w:autoSpaceDE w:val="0"/>
        <w:widowControl/>
        <w:spacing w:line="230" w:lineRule="auto" w:before="244" w:after="0"/>
        <w:ind w:left="36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tabs>
          <w:tab w:pos="296" w:val="left"/>
          <w:tab w:pos="312" w:val="left"/>
          <w:tab w:pos="360" w:val="left"/>
        </w:tabs>
        <w:autoSpaceDE w:val="0"/>
        <w:widowControl/>
        <w:spacing w:line="192" w:lineRule="exact" w:before="10" w:after="0"/>
        <w:ind w:left="78" w:right="432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© 2012 Published by Elsevier B.V. Selection and/or peer review under responsibility of American Applied Science Research Institute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������� �������� ���� ��� ��� ���� �������� ������� ���� ������ ���������� ������������� ���� ������ ����������� ��� ������������ ���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������������ ��� ��������� ���� ������������� ��������������� ��� �������� ��������� ���� ������������ ���� ��������� ������ 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���������������������������������������������������������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© 2012 Published by Elsevier B.V. Selection and/or peer review under responsibility of American Applied Science Research Institute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hyperlink r:id="rId11" w:history="1">
          <w:r>
            <w:rPr>
              <w:rStyle w:val="Hyperlink"/>
            </w:rPr>
            <w:t>�������������������</w:t>
          </w:r>
        </w:hyperlink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1" w:history="1">
          <w:r>
            <w:rPr>
              <w:rStyle w:val="Hyperlink"/>
            </w:rPr>
            <w:t>CC BY-NC-ND license.</w:t>
          </w:r>
        </w:hyperlink>
      </w:r>
    </w:p>
    <w:p>
      <w:pPr>
        <w:autoSpaceDN w:val="0"/>
        <w:autoSpaceDE w:val="0"/>
        <w:widowControl/>
        <w:spacing w:line="247" w:lineRule="auto" w:before="0" w:after="0"/>
        <w:ind w:left="360" w:right="5184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5" w:lineRule="auto" w:before="462" w:after="0"/>
        <w:ind w:left="36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</w:t>
      </w:r>
      <w:r>
        <w:rPr>
          <w:rFonts w:ascii="Arial" w:hAnsi="Arial" w:eastAsia="Arial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</w:t>
      </w:r>
    </w:p>
    <w:p>
      <w:pPr>
        <w:autoSpaceDN w:val="0"/>
        <w:autoSpaceDE w:val="0"/>
        <w:widowControl/>
        <w:spacing w:line="245" w:lineRule="auto" w:before="262" w:after="0"/>
        <w:ind w:left="360" w:right="474" w:firstLine="23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 ����������������� 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 ��� �������� ����������� ��� ����� ����������� ������� ����� ���������� ��� �������� ���� �������������� 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38" w:after="0"/>
        <w:ind w:left="124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�</w:t>
      </w:r>
    </w:p>
    <w:p>
      <w:pPr>
        <w:autoSpaceDN w:val="0"/>
        <w:autoSpaceDE w:val="0"/>
        <w:widowControl/>
        <w:spacing w:line="250" w:lineRule="auto" w:before="208" w:after="0"/>
        <w:ind w:left="600" w:right="4320" w:hanging="24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06" w:lineRule="exact" w:before="1262" w:after="0"/>
        <w:ind w:left="10" w:right="432" w:hanging="1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2012 Published by Elsevier B.V. Selection and/or peer review under responsibility of American Applied Science Research Institute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1" w:history="1">
          <w:r>
            <w:rPr>
              <w:rStyle w:val="Hyperlink"/>
            </w:rPr>
            <w:t xml:space="preserve">CC BY-NC-ND license. </w:t>
          </w:r>
        </w:hyperlink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10.1016/j.aasri.2012.09.030 </w:t>
      </w:r>
    </w:p>
    <w:p>
      <w:pPr>
        <w:sectPr>
          <w:pgSz w:w="10885" w:h="14854"/>
          <w:pgMar w:top="438" w:right="534" w:bottom="314" w:left="624" w:header="720" w:footer="720" w:gutter="0"/>
          <w:cols w:space="720" w:num="1" w:equalWidth="0">
            <w:col w:w="97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282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170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Marcel Fedak et al. /  AASRI Procedia  2 ( 2012 )  169 – 173 </w:t>
      </w:r>
    </w:p>
    <w:p>
      <w:pPr>
        <w:autoSpaceDN w:val="0"/>
        <w:tabs>
          <w:tab w:pos="512" w:val="left"/>
        </w:tabs>
        <w:autoSpaceDE w:val="0"/>
        <w:widowControl/>
        <w:spacing w:line="250" w:lineRule="auto" w:before="398" w:after="0"/>
        <w:ind w:left="274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 ��� ������������ ��������� ���� ��� ��������� ������ ����� ��� ���� �������� ������������ ��������� ���� 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 ��� ������ ����� ��������� ����� �� ����� �������� ���� ����� ��� �������� �������� ��� ��� ����� ������� 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 ��������� ��� �������� ����� ���� ��� ������������ ����� ����� ���� ����� ���� ���������� ��������� ��������� 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 ���������������� ������������������������������������� 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3" w:lineRule="auto" w:before="258" w:after="0"/>
        <w:ind w:left="274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</w:t>
      </w:r>
      <w:r>
        <w:rPr>
          <w:rFonts w:ascii="Arial" w:hAnsi="Arial" w:eastAsia="Arial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</w:t>
      </w:r>
    </w:p>
    <w:p>
      <w:pPr>
        <w:autoSpaceDN w:val="0"/>
        <w:tabs>
          <w:tab w:pos="512" w:val="left"/>
        </w:tabs>
        <w:autoSpaceDE w:val="0"/>
        <w:widowControl/>
        <w:spacing w:line="250" w:lineRule="auto" w:before="260" w:after="4"/>
        <w:ind w:left="274" w:right="432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 �������� ��� �������� ��������� ����� ������� ������� ������ ���� �������� ��������� ���� �������� 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 ���������� ����� �������� ��� ������ �������� ������������ ������ ��������� ���� ��� ��������� ���� ��������� 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 ��������� ������� ��� ���� ������� ���������� ���� ���������� ����������� ����� ������� ���� 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 ������� ��� ����������� ��������� ���� ������� ���� ��������� ���� ��������� ��� �������� ������ 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 ��� ������ ��������� ��� ������ ������� ���� ������������ ��� ���� ������� ����� ��� ���� �������� ��� ���� 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63.99999999999991" w:type="dxa"/>
      </w:tblPr>
      <w:tblGrid>
        <w:gridCol w:w="9637"/>
      </w:tblGrid>
      <w:tr>
        <w:trPr>
          <w:trHeight w:hRule="exact" w:val="2446"/>
        </w:trPr>
        <w:tc>
          <w:tcPr>
            <w:tcW w:type="dxa" w:w="8988"/>
            <w:tcBorders>
              <w:start w:sz="4.0" w:val="single" w:color="#000000"/>
              <w:top w:sz="3.200000000000273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0" w:after="0"/>
              <w:ind w:left="10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�������������</w:t>
            </w:r>
          </w:p>
          <w:p>
            <w:pPr>
              <w:autoSpaceDN w:val="0"/>
              <w:tabs>
                <w:tab w:pos="826" w:val="left"/>
              </w:tabs>
              <w:autoSpaceDE w:val="0"/>
              <w:widowControl/>
              <w:spacing w:line="230" w:lineRule="auto" w:before="116" w:after="0"/>
              <w:ind w:left="10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����������������������</w:t>
            </w:r>
          </w:p>
          <w:p>
            <w:pPr>
              <w:autoSpaceDN w:val="0"/>
              <w:tabs>
                <w:tab w:pos="828" w:val="left"/>
              </w:tabs>
              <w:autoSpaceDE w:val="0"/>
              <w:widowControl/>
              <w:spacing w:line="230" w:lineRule="auto" w:before="126" w:after="0"/>
              <w:ind w:left="10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��������������������������</w:t>
            </w:r>
          </w:p>
          <w:p>
            <w:pPr>
              <w:autoSpaceDN w:val="0"/>
              <w:tabs>
                <w:tab w:pos="826" w:val="left"/>
              </w:tabs>
              <w:autoSpaceDE w:val="0"/>
              <w:widowControl/>
              <w:spacing w:line="230" w:lineRule="auto" w:before="126" w:after="0"/>
              <w:ind w:left="10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����������������������������</w:t>
            </w:r>
          </w:p>
          <w:p>
            <w:pPr>
              <w:autoSpaceDN w:val="0"/>
              <w:tabs>
                <w:tab w:pos="826" w:val="left"/>
              </w:tabs>
              <w:autoSpaceDE w:val="0"/>
              <w:widowControl/>
              <w:spacing w:line="233" w:lineRule="auto" w:before="124" w:after="0"/>
              <w:ind w:left="10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����������������������������������������</w:t>
            </w:r>
          </w:p>
          <w:p>
            <w:pPr>
              <w:autoSpaceDN w:val="0"/>
              <w:tabs>
                <w:tab w:pos="826" w:val="left"/>
              </w:tabs>
              <w:autoSpaceDE w:val="0"/>
              <w:widowControl/>
              <w:spacing w:line="230" w:lineRule="auto" w:before="122" w:after="0"/>
              <w:ind w:left="10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������������������������������������</w:t>
            </w:r>
          </w:p>
          <w:p>
            <w:pPr>
              <w:autoSpaceDN w:val="0"/>
              <w:tabs>
                <w:tab w:pos="826" w:val="left"/>
              </w:tabs>
              <w:autoSpaceDE w:val="0"/>
              <w:widowControl/>
              <w:spacing w:line="230" w:lineRule="auto" w:before="126" w:after="0"/>
              <w:ind w:left="10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������������������������������������������</w:t>
            </w:r>
          </w:p>
        </w:tc>
      </w:tr>
    </w:tbl>
    <w:p>
      <w:pPr>
        <w:autoSpaceDN w:val="0"/>
        <w:tabs>
          <w:tab w:pos="754" w:val="left"/>
        </w:tabs>
        <w:autoSpaceDE w:val="0"/>
        <w:widowControl/>
        <w:spacing w:line="250" w:lineRule="auto" w:before="14" w:after="0"/>
        <w:ind w:left="512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</w:t>
      </w:r>
      <w:r>
        <w:rPr>
          <w:rFonts w:ascii="Arial" w:hAnsi="Arial" w:eastAsia="Arial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</w:t>
      </w:r>
      <w:r>
        <w:rPr>
          <w:rFonts w:ascii="Arial" w:hAnsi="Arial" w:eastAsia="Arial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</w:t>
      </w:r>
      <w:r>
        <w:rPr>
          <w:rFonts w:ascii="Arial" w:hAnsi="Arial" w:eastAsia="Arial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</w:t>
      </w:r>
    </w:p>
    <w:p>
      <w:pPr>
        <w:sectPr>
          <w:pgSz w:w="10885" w:h="14854"/>
          <w:pgMar w:top="368" w:right="596" w:bottom="1204" w:left="652" w:header="720" w:footer="720" w:gutter="0"/>
          <w:cols w:space="720" w:num="1" w:equalWidth="0">
            <w:col w:w="9638" w:space="0"/>
            <w:col w:w="97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40.0" w:type="dxa"/>
      </w:tblPr>
      <w:tblGrid>
        <w:gridCol w:w="1382"/>
        <w:gridCol w:w="1382"/>
        <w:gridCol w:w="1382"/>
        <w:gridCol w:w="1382"/>
        <w:gridCol w:w="1382"/>
        <w:gridCol w:w="1382"/>
        <w:gridCol w:w="1382"/>
      </w:tblGrid>
      <w:tr>
        <w:trPr>
          <w:trHeight w:hRule="exact" w:val="466"/>
        </w:trPr>
        <w:tc>
          <w:tcPr>
            <w:tcW w:type="dxa" w:w="460"/>
            <w:vMerge w:val="restart"/>
            <w:tcBorders>
              <w:bottom w:sz="3.93600010871887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12" w:after="0"/>
              <w:ind w:left="0" w:right="32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380"/>
            <w:vMerge w:val="restart"/>
            <w:tcBorders>
              <w:bottom w:sz="3.93600010871887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8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190"/>
              <w:gridCol w:w="190"/>
            </w:tblGrid>
            <w:tr>
              <w:trPr>
                <w:trHeight w:hRule="exact" w:val="408"/>
              </w:trPr>
              <w:tc>
                <w:tcPr>
                  <w:tcW w:type="dxa" w:w="2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4" w:lineRule="auto" w:before="116" w:after="0"/>
                    <w:ind w:left="0" w:right="0" w:firstLine="0"/>
                    <w:jc w:val="center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4"/>
                    </w:rPr>
                    <w:t>=</w:t>
                  </w:r>
                </w:p>
              </w:tc>
              <w:tc>
                <w:tcPr>
                  <w:tcW w:type="dxa" w:w="1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30" w:lineRule="auto" w:before="60" w:after="0"/>
                    <w:ind w:left="0" w:right="0" w:firstLine="0"/>
                    <w:jc w:val="center"/>
                  </w:pPr>
                  <w:r>
                    <w:rPr>
                      <w:rFonts w:ascii="TimesNewRoman" w:hAnsi="TimesNewRoman" w:eastAsia="TimesNewRoman"/>
                      <w:b w:val="0"/>
                      <w:i w:val="0"/>
                      <w:color w:val="000000"/>
                      <w:sz w:val="24"/>
                    </w:rPr>
                    <w:t>�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160"/>
            <w:vMerge w:val="restart"/>
            <w:tcBorders>
              <w:bottom w:sz="3.93600010871887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548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×</w:t>
            </w:r>
          </w:p>
        </w:tc>
        <w:tc>
          <w:tcPr>
            <w:tcW w:type="dxa" w:w="178"/>
            <w:vMerge w:val="restart"/>
            <w:tcBorders>
              <w:bottom w:sz="3.93600010871887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7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742"/>
            <w:vMerge w:val="restart"/>
            <w:tcBorders>
              <w:bottom w:sz="3.93600010871887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56" w:after="0"/>
              <w:ind w:left="4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5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676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Marcel Fedak et al. /  AASRI Procedia  2 ( 2012 )  169 – 173 </w:t>
            </w:r>
          </w:p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6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171</w:t>
            </w:r>
          </w:p>
        </w:tc>
      </w:tr>
      <w:tr>
        <w:trPr>
          <w:trHeight w:hRule="exact" w:val="416"/>
        </w:trPr>
        <w:tc>
          <w:tcPr>
            <w:tcW w:type="dxa" w:w="1382"/>
            <w:vMerge/>
            <w:tcBorders>
              <w:bottom w:sz="3.936000108718872" w:val="single" w:color="#000000"/>
            </w:tcBorders>
          </w:tcPr>
          <w:p/>
        </w:tc>
        <w:tc>
          <w:tcPr>
            <w:tcW w:type="dxa" w:w="1382"/>
            <w:vMerge/>
            <w:tcBorders>
              <w:bottom w:sz="3.936000108718872" w:val="single" w:color="#000000"/>
            </w:tcBorders>
          </w:tcPr>
          <w:p/>
        </w:tc>
        <w:tc>
          <w:tcPr>
            <w:tcW w:type="dxa" w:w="1382"/>
            <w:vMerge/>
            <w:tcBorders>
              <w:bottom w:sz="3.936000108718872" w:val="single" w:color="#000000"/>
            </w:tcBorders>
          </w:tcPr>
          <w:p/>
        </w:tc>
        <w:tc>
          <w:tcPr>
            <w:tcW w:type="dxa" w:w="1382"/>
            <w:vMerge/>
            <w:tcBorders>
              <w:bottom w:sz="3.936000108718872" w:val="single" w:color="#000000"/>
            </w:tcBorders>
          </w:tcPr>
          <w:p/>
        </w:tc>
        <w:tc>
          <w:tcPr>
            <w:tcW w:type="dxa" w:w="1382"/>
            <w:vMerge/>
            <w:tcBorders>
              <w:bottom w:sz="3.936000108718872" w:val="single" w:color="#000000"/>
            </w:tcBorders>
          </w:tcPr>
          <w:p/>
        </w:tc>
        <w:tc>
          <w:tcPr>
            <w:tcW w:type="dxa" w:w="5600"/>
            <w:tcBorders>
              <w:bottom w:sz="3.93600010871887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90" w:after="0"/>
              <w:ind w:left="0" w:right="330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740"/>
            <w:tcBorders>
              <w:bottom w:sz="3.93600010871887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90" w:after="0"/>
              <w:ind w:left="0" w:right="24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����</w:t>
            </w:r>
          </w:p>
        </w:tc>
      </w:tr>
      <w:tr>
        <w:trPr>
          <w:trHeight w:hRule="exact" w:val="378"/>
        </w:trPr>
        <w:tc>
          <w:tcPr>
            <w:tcW w:type="dxa" w:w="460"/>
            <w:tcBorders>
              <w:top w:sz="3.93600010871887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380"/>
            <w:tcBorders>
              <w:top w:sz="3.93600010871887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6" w:lineRule="auto" w:before="0" w:after="0"/>
              <w:ind w:left="0" w:right="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 xml:space="preserve"> �</w:t>
            </w:r>
          </w:p>
        </w:tc>
        <w:tc>
          <w:tcPr>
            <w:tcW w:type="dxa" w:w="338"/>
            <w:gridSpan w:val="2"/>
            <w:tcBorders>
              <w:top w:sz="3.93600010871887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2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−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742"/>
            <w:tcBorders>
              <w:top w:sz="3.93600010871887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600"/>
            <w:tcBorders>
              <w:top w:sz="3.93600010871887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740"/>
            <w:tcBorders>
              <w:top w:sz="3.936000108718872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tabs>
          <w:tab w:pos="670" w:val="left"/>
        </w:tabs>
        <w:autoSpaceDE w:val="0"/>
        <w:widowControl/>
        <w:spacing w:line="250" w:lineRule="auto" w:before="174" w:after="182"/>
        <w:ind w:left="430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</w:t>
      </w:r>
      <w:r>
        <w:rPr>
          <w:rFonts w:ascii="Arial" w:hAnsi="Arial" w:eastAsia="Arial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</w:t>
      </w:r>
      <w:r>
        <w:rPr>
          <w:rFonts w:ascii="Arial" w:hAnsi="Arial" w:eastAsia="Arial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</w:t>
      </w:r>
      <w:r>
        <w:rPr>
          <w:rFonts w:ascii="Arial" w:hAnsi="Arial" w:eastAsia="Arial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</w:t>
      </w:r>
      <w:r>
        <w:rPr>
          <w:rFonts w:ascii="Arial" w:hAnsi="Arial" w:eastAsia="Arial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</w:t>
      </w:r>
      <w:r>
        <w:rPr>
          <w:rFonts w:ascii="Arial" w:hAnsi="Arial" w:eastAsia="Arial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40.0" w:type="dxa"/>
      </w:tblPr>
      <w:tblGrid>
        <w:gridCol w:w="1209"/>
        <w:gridCol w:w="1209"/>
        <w:gridCol w:w="1209"/>
        <w:gridCol w:w="1209"/>
        <w:gridCol w:w="1209"/>
        <w:gridCol w:w="1209"/>
        <w:gridCol w:w="1209"/>
        <w:gridCol w:w="1209"/>
      </w:tblGrid>
      <w:tr>
        <w:trPr>
          <w:trHeight w:hRule="exact" w:val="402"/>
        </w:trPr>
        <w:tc>
          <w:tcPr>
            <w:tcW w:type="dxa" w:w="500"/>
            <w:tcBorders>
              <w:bottom w:sz="3.936000108718872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34" w:after="0"/>
              <w:ind w:left="0" w:right="2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242"/>
            <w:tcBorders>
              <w:bottom w:sz="3.936000108718872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7" w:lineRule="auto" w:before="84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=</w:t>
            </w:r>
          </w:p>
        </w:tc>
        <w:tc>
          <w:tcPr>
            <w:tcW w:type="dxa" w:w="198"/>
            <w:tcBorders>
              <w:bottom w:sz="3.936000108718872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100"/>
            <w:tcBorders>
              <w:bottom w:sz="3.936000108718872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3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�</w:t>
            </w:r>
          </w:p>
        </w:tc>
        <w:tc>
          <w:tcPr>
            <w:tcW w:type="dxa" w:w="180"/>
            <w:tcBorders>
              <w:bottom w:sz="3.936000108718872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60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×</w:t>
            </w:r>
          </w:p>
        </w:tc>
        <w:tc>
          <w:tcPr>
            <w:tcW w:type="dxa" w:w="1660"/>
            <w:tcBorders>
              <w:bottom w:sz="3.936000108718872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2" w:lineRule="auto" w:before="0" w:after="0"/>
              <w:ind w:left="3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 �</w:t>
            </w:r>
          </w:p>
        </w:tc>
        <w:tc>
          <w:tcPr>
            <w:tcW w:type="dxa" w:w="3580"/>
            <w:tcBorders>
              <w:bottom w:sz="3.936000108718872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78" w:after="0"/>
              <w:ind w:left="0" w:right="224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2700"/>
            <w:tcBorders>
              <w:bottom w:sz="3.936000108718872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78" w:after="0"/>
              <w:ind w:left="0" w:right="14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����</w:t>
            </w:r>
          </w:p>
        </w:tc>
      </w:tr>
      <w:tr>
        <w:trPr>
          <w:trHeight w:hRule="exact" w:val="378"/>
        </w:trPr>
        <w:tc>
          <w:tcPr>
            <w:tcW w:type="dxa" w:w="500"/>
            <w:tcBorders>
              <w:top w:sz="3.936000108718872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42"/>
            <w:tcBorders>
              <w:top w:sz="3.936000108718872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98"/>
            <w:gridSpan w:val="2"/>
            <w:tcBorders>
              <w:top w:sz="3.936000108718872" w:val="single" w:color="#000000"/>
            </w:tcBorders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0" w:after="0"/>
              <w:ind w:left="0" w:right="1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180"/>
            <w:tcBorders>
              <w:top w:sz="3.936000108718872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auto" w:before="2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×</w:t>
            </w:r>
          </w:p>
        </w:tc>
        <w:tc>
          <w:tcPr>
            <w:tcW w:type="dxa" w:w="1660"/>
            <w:tcBorders>
              <w:top w:sz="3.936000108718872" w:val="single" w:color="#000000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0" w:after="0"/>
              <w:ind w:left="1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3580"/>
            <w:tcBorders>
              <w:top w:sz="3.936000108718872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  <w:tc>
          <w:tcPr>
            <w:tcW w:type="dxa" w:w="2700"/>
            <w:tcBorders>
              <w:top w:sz="3.936000108718872" w:val="single" w:color="#000000"/>
            </w:tcBorders>
            <w:shd w:fill="ffffff"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30" w:lineRule="auto" w:before="218" w:after="188"/>
        <w:ind w:left="42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40.0" w:type="dxa"/>
      </w:tblPr>
      <w:tblGrid>
        <w:gridCol w:w="1612"/>
        <w:gridCol w:w="1612"/>
        <w:gridCol w:w="1612"/>
        <w:gridCol w:w="1612"/>
        <w:gridCol w:w="1612"/>
        <w:gridCol w:w="1612"/>
      </w:tblGrid>
      <w:tr>
        <w:trPr>
          <w:trHeight w:hRule="exact" w:val="400"/>
        </w:trPr>
        <w:tc>
          <w:tcPr>
            <w:tcW w:type="dxa" w:w="5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4" w:after="0"/>
              <w:ind w:left="0" w:right="2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>�</w:t>
            </w:r>
          </w:p>
        </w:tc>
        <w:tc>
          <w:tcPr>
            <w:tcW w:type="dxa" w:w="5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0" w:lineRule="auto" w:before="60" w:after="0"/>
              <w:ind w:left="246" w:right="0" w:hanging="192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=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&gt;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�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&lt;</w:t>
            </w:r>
          </w:p>
        </w:tc>
        <w:tc>
          <w:tcPr>
            <w:tcW w:type="dxa" w:w="29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>��������������������������</w:t>
            </w:r>
          </w:p>
        </w:tc>
        <w:tc>
          <w:tcPr>
            <w:tcW w:type="dxa" w:w="24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00" w:after="0"/>
              <w:ind w:left="2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 �</w:t>
            </w:r>
          </w:p>
        </w:tc>
        <w:tc>
          <w:tcPr>
            <w:tcW w:type="dxa" w:w="27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00" w:after="0"/>
              <w:ind w:left="0" w:right="14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����</w:t>
            </w:r>
          </w:p>
        </w:tc>
      </w:tr>
      <w:tr>
        <w:trPr>
          <w:trHeight w:hRule="exact" w:val="432"/>
        </w:trPr>
        <w:tc>
          <w:tcPr>
            <w:tcW w:type="dxa" w:w="1612"/>
            <w:vMerge/>
            <w:tcBorders/>
          </w:tcPr>
          <w:p/>
        </w:tc>
        <w:tc>
          <w:tcPr>
            <w:tcW w:type="dxa" w:w="1612"/>
            <w:vMerge/>
            <w:tcBorders/>
          </w:tcPr>
          <w:p/>
        </w:tc>
        <w:tc>
          <w:tcPr>
            <w:tcW w:type="dxa" w:w="2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>��</w:t>
            </w:r>
          </w:p>
        </w:tc>
        <w:tc>
          <w:tcPr>
            <w:tcW w:type="dxa" w:w="2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4"/>
              </w:rPr>
              <w:t>��������������������������</w:t>
            </w:r>
          </w:p>
        </w:tc>
        <w:tc>
          <w:tcPr>
            <w:tcW w:type="dxa" w:w="1612"/>
            <w:vMerge/>
            <w:tcBorders/>
          </w:tcPr>
          <w:p/>
        </w:tc>
        <w:tc>
          <w:tcPr>
            <w:tcW w:type="dxa" w:w="161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5" w:lineRule="auto" w:before="198" w:after="0"/>
        <w:ind w:left="670" w:right="720" w:hanging="24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</w:t>
      </w:r>
      <w:r>
        <w:rPr>
          <w:rFonts w:ascii="Arial" w:hAnsi="Arial" w:eastAsia="Arial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</w:t>
      </w:r>
    </w:p>
    <w:p>
      <w:pPr>
        <w:autoSpaceDN w:val="0"/>
        <w:autoSpaceDE w:val="0"/>
        <w:widowControl/>
        <w:spacing w:line="235" w:lineRule="auto" w:before="256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</w:t>
      </w:r>
      <w:r>
        <w:rPr>
          <w:rFonts w:ascii="Arial" w:hAnsi="Arial" w:eastAsia="Arial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</w:t>
      </w:r>
    </w:p>
    <w:p>
      <w:pPr>
        <w:autoSpaceDN w:val="0"/>
        <w:autoSpaceDE w:val="0"/>
        <w:widowControl/>
        <w:spacing w:line="245" w:lineRule="auto" w:before="258" w:after="0"/>
        <w:ind w:left="190" w:right="590" w:firstLine="23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5" w:lineRule="auto" w:before="256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</w:t>
      </w:r>
      <w:r>
        <w:rPr>
          <w:rFonts w:ascii="Arial" w:hAnsi="Arial" w:eastAsia="Arial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</w:t>
      </w:r>
    </w:p>
    <w:p>
      <w:pPr>
        <w:autoSpaceDN w:val="0"/>
        <w:tabs>
          <w:tab w:pos="428" w:val="left"/>
        </w:tabs>
        <w:autoSpaceDE w:val="0"/>
        <w:widowControl/>
        <w:spacing w:line="250" w:lineRule="auto" w:before="258" w:after="0"/>
        <w:ind w:left="190" w:right="576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 ����������� ���� �������� ���� ��� ���������� ��������� �������� ��������� �� ������� ��� ���� ������ ��� 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 ����� ������ ��� ��� �� ��� ���� ������ ������� ��� ������� ������� ����� ����� ������������ ��� ���� 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sectPr>
          <w:pgSz w:w="10885" w:h="14854"/>
          <w:pgMar w:top="368" w:right="532" w:bottom="1302" w:left="680" w:header="720" w:footer="720" w:gutter="0"/>
          <w:cols w:space="720" w:num="1" w:equalWidth="0">
            <w:col w:w="9674" w:space="0"/>
            <w:col w:w="9638" w:space="0"/>
            <w:col w:w="97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366" w:val="left"/>
        </w:tabs>
        <w:autoSpaceDE w:val="0"/>
        <w:widowControl/>
        <w:spacing w:line="180" w:lineRule="exact" w:before="0" w:after="0"/>
        <w:ind w:left="84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172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Marcel Fedak et al. /  AASRI Procedia  2 ( 2012 )  169 – 173 </w:t>
      </w:r>
    </w:p>
    <w:p>
      <w:pPr>
        <w:autoSpaceDN w:val="0"/>
        <w:autoSpaceDE w:val="0"/>
        <w:widowControl/>
        <w:spacing w:line="245" w:lineRule="auto" w:before="340" w:after="0"/>
        <w:ind w:left="188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 ��� ������������������ ����������� ������� ������ �������������� ������������������ �������� 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5" w:lineRule="auto" w:before="256" w:after="0"/>
        <w:ind w:left="18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</w:t>
      </w:r>
      <w:r>
        <w:rPr>
          <w:rFonts w:ascii="Arial" w:hAnsi="Arial" w:eastAsia="Arial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</w:t>
      </w:r>
    </w:p>
    <w:p>
      <w:pPr>
        <w:autoSpaceDN w:val="0"/>
        <w:tabs>
          <w:tab w:pos="426" w:val="left"/>
        </w:tabs>
        <w:autoSpaceDE w:val="0"/>
        <w:widowControl/>
        <w:spacing w:line="247" w:lineRule="auto" w:before="260" w:after="2"/>
        <w:ind w:left="188" w:right="432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2.00000000000003" w:type="dxa"/>
      </w:tblPr>
      <w:tblGrid>
        <w:gridCol w:w="1361"/>
        <w:gridCol w:w="1361"/>
        <w:gridCol w:w="1361"/>
        <w:gridCol w:w="1361"/>
        <w:gridCol w:w="1361"/>
        <w:gridCol w:w="1361"/>
        <w:gridCol w:w="1361"/>
      </w:tblGrid>
      <w:tr>
        <w:trPr>
          <w:trHeight w:hRule="exact" w:val="3522"/>
        </w:trPr>
        <w:tc>
          <w:tcPr>
            <w:tcW w:type="dxa" w:w="432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2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552700" cy="218313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21831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2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57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4516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10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556510" cy="218186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10" cy="21818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</w:t>
            </w:r>
          </w:p>
        </w:tc>
      </w:tr>
      <w:tr>
        <w:trPr>
          <w:trHeight w:hRule="exact" w:val="228"/>
        </w:trPr>
        <w:tc>
          <w:tcPr>
            <w:tcW w:type="dxa" w:w="28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0" w:right="518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����</w:t>
            </w:r>
          </w:p>
        </w:tc>
        <w:tc>
          <w:tcPr>
            <w:tcW w:type="dxa" w:w="36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10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0" w:right="69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1361"/>
            <w:vMerge/>
            <w:tcBorders/>
          </w:tcPr>
          <w:p/>
        </w:tc>
        <w:tc>
          <w:tcPr>
            <w:tcW w:type="dxa" w:w="13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0" w:right="69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36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28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0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����</w:t>
            </w:r>
          </w:p>
        </w:tc>
      </w:tr>
      <w:tr>
        <w:trPr>
          <w:trHeight w:hRule="exact" w:val="3512"/>
        </w:trPr>
        <w:tc>
          <w:tcPr>
            <w:tcW w:type="dxa" w:w="432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2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556510" cy="2184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10" cy="218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</w:t>
            </w:r>
          </w:p>
        </w:tc>
        <w:tc>
          <w:tcPr>
            <w:tcW w:type="dxa" w:w="1361"/>
            <w:vMerge/>
            <w:tcBorders/>
          </w:tcPr>
          <w:p/>
        </w:tc>
        <w:tc>
          <w:tcPr>
            <w:tcW w:type="dxa" w:w="4516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0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556510" cy="2184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10" cy="218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�</w:t>
            </w:r>
          </w:p>
        </w:tc>
      </w:tr>
      <w:tr>
        <w:trPr>
          <w:trHeight w:hRule="exact" w:val="240"/>
        </w:trPr>
        <w:tc>
          <w:tcPr>
            <w:tcW w:type="dxa" w:w="28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2" w:after="0"/>
              <w:ind w:left="0" w:right="518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����</w:t>
            </w:r>
          </w:p>
        </w:tc>
        <w:tc>
          <w:tcPr>
            <w:tcW w:type="dxa" w:w="36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107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2" w:after="0"/>
              <w:ind w:left="0" w:right="69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12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131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2" w:after="0"/>
              <w:ind w:left="0" w:right="69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36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�</w:t>
            </w:r>
          </w:p>
        </w:tc>
        <w:tc>
          <w:tcPr>
            <w:tcW w:type="dxa" w:w="28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2" w:after="0"/>
              <w:ind w:left="34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����</w:t>
            </w:r>
          </w:p>
        </w:tc>
      </w:tr>
    </w:tbl>
    <w:p>
      <w:pPr>
        <w:autoSpaceDN w:val="0"/>
        <w:autoSpaceDE w:val="0"/>
        <w:widowControl/>
        <w:spacing w:line="240" w:lineRule="auto" w:before="2" w:after="0"/>
        <w:ind w:left="102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55490" cy="19430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19430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</w:t>
      </w:r>
    </w:p>
    <w:p>
      <w:pPr>
        <w:autoSpaceDN w:val="0"/>
        <w:autoSpaceDE w:val="0"/>
        <w:widowControl/>
        <w:spacing w:line="230" w:lineRule="auto" w:before="290" w:after="0"/>
        <w:ind w:left="188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sectPr>
          <w:pgSz w:w="10885" w:h="14854"/>
          <w:pgMar w:top="368" w:right="790" w:bottom="1424" w:left="568" w:header="720" w:footer="720" w:gutter="0"/>
          <w:cols w:space="720" w:num="1" w:equalWidth="0">
            <w:col w:w="9528" w:space="0"/>
            <w:col w:w="9674" w:space="0"/>
            <w:col w:w="9638" w:space="0"/>
            <w:col w:w="972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9354" w:val="left"/>
        </w:tabs>
        <w:autoSpaceDE w:val="0"/>
        <w:widowControl/>
        <w:spacing w:line="176" w:lineRule="exact" w:before="0" w:after="0"/>
        <w:ind w:left="2992" w:right="0" w:firstLine="0"/>
        <w:jc w:val="left"/>
      </w:pPr>
      <w:r>
        <w:rPr>
          <w:rFonts w:ascii="Times" w:hAnsi="Times" w:eastAsia="Times"/>
          <w:b w:val="0"/>
          <w:i/>
          <w:color w:val="221F1F"/>
          <w:sz w:val="16"/>
        </w:rPr>
        <w:t xml:space="preserve"> Marcel Fedak et al. /  AASRI Procedia  2 ( 2012 )  169 – 173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173</w:t>
      </w:r>
    </w:p>
    <w:p>
      <w:pPr>
        <w:autoSpaceDN w:val="0"/>
        <w:tabs>
          <w:tab w:pos="426" w:val="left"/>
          <w:tab w:pos="428" w:val="left"/>
        </w:tabs>
        <w:autoSpaceDE w:val="0"/>
        <w:widowControl/>
        <w:spacing w:line="250" w:lineRule="auto" w:before="342" w:after="0"/>
        <w:ind w:left="190" w:right="576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 ���� ���� ����� ���������� ����� ���� ���������� ����� ���������� ��������� ����� ������ ���� 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5" w:lineRule="auto" w:before="256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</w:t>
      </w:r>
      <w:r>
        <w:rPr>
          <w:rFonts w:ascii="Arial" w:hAnsi="Arial" w:eastAsia="Arial"/>
          <w:b w:val="0"/>
          <w:i w:val="0"/>
          <w:color w:val="000000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</w:t>
      </w:r>
    </w:p>
    <w:p>
      <w:pPr>
        <w:autoSpaceDN w:val="0"/>
        <w:tabs>
          <w:tab w:pos="426" w:val="left"/>
        </w:tabs>
        <w:autoSpaceDE w:val="0"/>
        <w:widowControl/>
        <w:spacing w:line="250" w:lineRule="auto" w:before="260" w:after="0"/>
        <w:ind w:left="190" w:right="576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 ���� ������ ��������� �������������� ����� ���� ���� ��� �������� ����������� ���� ���������� ��� ���� ������� ��� 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 ����������������������������� ������� ���������������������� 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 ����� �������������������������������������������������������� 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486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</w:t>
      </w:r>
    </w:p>
    <w:p>
      <w:pPr>
        <w:autoSpaceDN w:val="0"/>
        <w:tabs>
          <w:tab w:pos="426" w:val="left"/>
        </w:tabs>
        <w:autoSpaceDE w:val="0"/>
        <w:widowControl/>
        <w:spacing w:line="245" w:lineRule="auto" w:before="202" w:after="0"/>
        <w:ind w:left="190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�</w:t>
      </w:r>
    </w:p>
    <w:sectPr w:rsidR="00FC693F" w:rsidRPr="0006063C" w:rsidSect="00034616">
      <w:pgSz w:w="10885" w:h="14854"/>
      <w:pgMar w:top="368" w:right="532" w:bottom="1440" w:left="624" w:header="720" w:footer="720" w:gutter="0"/>
      <w:cols w:space="720" w:num="1" w:equalWidth="0">
        <w:col w:w="9730" w:space="0"/>
        <w:col w:w="9528" w:space="0"/>
        <w:col w:w="9674" w:space="0"/>
        <w:col w:w="9638" w:space="0"/>
        <w:col w:w="972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://creativecommons.org/licenses/by-nc-nd/3.0/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