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37"/>
        <w:gridCol w:w="3237"/>
        <w:gridCol w:w="3237"/>
      </w:tblGrid>
      <w:tr>
        <w:trPr>
          <w:trHeight w:hRule="exact" w:val="22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5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683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type="dxa" w:w="323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50" w:after="0"/>
              <w:ind w:left="0" w:right="0" w:firstLine="0"/>
              <w:jc w:val="center"/>
            </w:pPr>
            <w:r>
              <w:rPr>
                <w:rFonts w:ascii="VAGRoundedStd" w:hAnsi="VAGRoundedStd" w:eastAsia="VAGRoundedStd"/>
                <w:b/>
                <w:i w:val="0"/>
                <w:color w:val="221F1F"/>
                <w:sz w:val="33"/>
              </w:rPr>
              <w:t>ScienceDirect</w:t>
            </w:r>
          </w:p>
        </w:tc>
        <w:tc>
          <w:tcPr>
            <w:tcW w:type="dxa" w:w="3237"/>
            <w:vMerge/>
            <w:tcBorders/>
          </w:tcPr>
          <w:p/>
        </w:tc>
      </w:tr>
      <w:tr>
        <w:trPr>
          <w:trHeight w:hRule="exact" w:val="552"/>
        </w:trPr>
        <w:tc>
          <w:tcPr>
            <w:tcW w:type="dxa" w:w="323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5 ( 2013 )  287 – 291 </w:t>
            </w:r>
          </w:p>
        </w:tc>
        <w:tc>
          <w:tcPr>
            <w:tcW w:type="dxa" w:w="323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504" w:after="0"/>
        <w:ind w:left="1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 xml:space="preserve">2013 AASRI Conference on Parallel and Distributed Computing and Systems </w:t>
      </w:r>
    </w:p>
    <w:p>
      <w:pPr>
        <w:autoSpaceDN w:val="0"/>
        <w:autoSpaceDE w:val="0"/>
        <w:widowControl/>
        <w:spacing w:line="245" w:lineRule="auto" w:before="260" w:after="0"/>
        <w:ind w:left="864" w:right="72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34"/>
        </w:rPr>
        <w:t xml:space="preserve">Micro-blog Information Regulatory Mechanism Based on </w:t>
      </w:r>
      <w:r>
        <w:rPr>
          <w:rFonts w:ascii="TimesNewRomanPSMT" w:hAnsi="TimesNewRomanPSMT" w:eastAsia="TimesNewRomanPSMT"/>
          <w:b w:val="0"/>
          <w:i w:val="0"/>
          <w:color w:val="221F1F"/>
          <w:sz w:val="34"/>
        </w:rPr>
        <w:t xml:space="preserve">Ontology Modeling </w:t>
      </w:r>
    </w:p>
    <w:p>
      <w:pPr>
        <w:autoSpaceDN w:val="0"/>
        <w:autoSpaceDE w:val="0"/>
        <w:widowControl/>
        <w:spacing w:line="264" w:lineRule="auto" w:before="216" w:after="0"/>
        <w:ind w:left="0" w:right="235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Baoxiang Xu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1a</w:t>
      </w: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, Xinyuan Wang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*2b</w:t>
      </w: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, Shu Zhang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3c</w:t>
      </w:r>
    </w:p>
    <w:p>
      <w:pPr>
        <w:autoSpaceDN w:val="0"/>
        <w:autoSpaceDE w:val="0"/>
        <w:widowControl/>
        <w:spacing w:line="200" w:lineRule="exact" w:before="158" w:after="0"/>
        <w:ind w:left="1728" w:right="1584" w:firstLine="0"/>
        <w:jc w:val="center"/>
      </w:pPr>
      <w:r>
        <w:rPr>
          <w:rFonts w:ascii="Times" w:hAnsi="Times" w:eastAsia="Times"/>
          <w:b w:val="0"/>
          <w:i/>
          <w:color w:val="221F1F"/>
          <w:sz w:val="10"/>
        </w:rPr>
        <w:t>a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Baoxiang Xu,School of Management, Jilin University, Changchun Jilin and130022, China </w:t>
      </w:r>
      <w:r>
        <w:rPr>
          <w:rFonts w:ascii="Times" w:hAnsi="Times" w:eastAsia="Times"/>
          <w:b w:val="0"/>
          <w:i/>
          <w:color w:val="221F1F"/>
          <w:sz w:val="10"/>
        </w:rPr>
        <w:t>b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Xinyuan Wang,School of Management, Jilin University, Changchun Jilin and130022, China </w:t>
      </w:r>
      <w:r>
        <w:rPr>
          <w:rFonts w:ascii="TimesNewRomanPSMT" w:hAnsi="TimesNewRomanPSMT" w:eastAsia="TimesNewRomanPSMT"/>
          <w:b w:val="0"/>
          <w:i w:val="0"/>
          <w:color w:val="221F1F"/>
          <w:sz w:val="10"/>
        </w:rPr>
        <w:t>c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School of Economic and Management, Northeast Dianli University, Jilin Jilinand132012 ,China </w:t>
      </w:r>
      <w:r>
        <w:rPr>
          <w:rFonts w:ascii="Times" w:hAnsi="Times" w:eastAsia="Times"/>
          <w:b w:val="0"/>
          <w:i/>
          <w:color w:val="221F1F"/>
          <w:sz w:val="10"/>
        </w:rPr>
        <w:t>a</w:t>
      </w:r>
      <w:r>
        <w:rPr>
          <w:rFonts w:ascii="Times" w:hAnsi="Times" w:eastAsia="Times"/>
          <w:b w:val="0"/>
          <w:i/>
          <w:color w:val="221F1F"/>
          <w:sz w:val="16"/>
        </w:rPr>
        <w:t>xubaoxiang@sohu.com,</w:t>
      </w:r>
      <w:r>
        <w:rPr>
          <w:rFonts w:ascii="Times" w:hAnsi="Times" w:eastAsia="Times"/>
          <w:b w:val="0"/>
          <w:i/>
          <w:color w:val="221F1F"/>
          <w:sz w:val="10"/>
        </w:rPr>
        <w:t xml:space="preserve"> b</w:t>
      </w:r>
      <w:r>
        <w:rPr>
          <w:rFonts w:ascii="Times" w:hAnsi="Times" w:eastAsia="Times"/>
          <w:b w:val="0"/>
          <w:i/>
          <w:color w:val="221F1F"/>
          <w:sz w:val="16"/>
        </w:rPr>
        <w:t>wangxinyuan201301@163.com,</w:t>
      </w:r>
      <w:r>
        <w:rPr>
          <w:rFonts w:ascii="Times" w:hAnsi="Times" w:eastAsia="Times"/>
          <w:b w:val="0"/>
          <w:i/>
          <w:color w:val="221F1F"/>
          <w:sz w:val="10"/>
        </w:rPr>
        <w:t>c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czstian0816@163.com </w:t>
      </w:r>
    </w:p>
    <w:p>
      <w:pPr>
        <w:autoSpaceDN w:val="0"/>
        <w:autoSpaceDE w:val="0"/>
        <w:widowControl/>
        <w:spacing w:line="200" w:lineRule="exact" w:before="774" w:after="0"/>
        <w:ind w:left="47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18"/>
        </w:rPr>
        <w:t xml:space="preserve">Abstract </w:t>
      </w:r>
    </w:p>
    <w:p>
      <w:pPr>
        <w:autoSpaceDN w:val="0"/>
        <w:autoSpaceDE w:val="0"/>
        <w:widowControl/>
        <w:spacing w:line="245" w:lineRule="auto" w:before="236" w:after="0"/>
        <w:ind w:left="474" w:right="3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With the rapid development, micro-blog has become a social phenomenon, and the micro-blog supervision is imperative.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existing micro-blog information regulation relies on the user's self-regulation and legislation, and it’s rarely related at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technical level. From the view of the micro-blog information modeling, this article fulfills the effective supervision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with the use of ontology technology and combined with the folksonomy, through monitoring the organization's norms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micro-blog information dissemination process, and proposes specific ideas and methods at the technical level, which is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feasibility and forward-looking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.</w:t>
      </w:r>
    </w:p>
    <w:p>
      <w:pPr>
        <w:autoSpaceDN w:val="0"/>
        <w:tabs>
          <w:tab w:pos="474" w:val="left"/>
          <w:tab w:pos="4030" w:val="left"/>
        </w:tabs>
        <w:autoSpaceDE w:val="0"/>
        <w:widowControl/>
        <w:spacing w:line="232" w:lineRule="exact" w:before="186" w:after="0"/>
        <w:ind w:left="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>© 2013 The Authors. Published by Elsevier B.V.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© 2013 Published by Elsevier B.V.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02" w:lineRule="exact" w:before="0" w:after="0"/>
        <w:ind w:left="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 xml:space="preserve">Selection and/or peer review under responsibility of American Applied Science Research Institute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Selection and/or peer review under responsibility of American Applied Science Research Institute </w:t>
      </w:r>
    </w:p>
    <w:p>
      <w:pPr>
        <w:autoSpaceDN w:val="0"/>
        <w:autoSpaceDE w:val="0"/>
        <w:widowControl/>
        <w:spacing w:line="178" w:lineRule="exact" w:before="234" w:after="0"/>
        <w:ind w:left="47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Keywords: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Folksonomy; Ontology; Micro-ontology; Micro-blog; </w:t>
      </w:r>
    </w:p>
    <w:p>
      <w:pPr>
        <w:autoSpaceDN w:val="0"/>
        <w:autoSpaceDE w:val="0"/>
        <w:widowControl/>
        <w:spacing w:line="222" w:lineRule="exact" w:before="466" w:after="0"/>
        <w:ind w:left="47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1. Main text</w:t>
      </w:r>
    </w:p>
    <w:p>
      <w:pPr>
        <w:autoSpaceDN w:val="0"/>
        <w:autoSpaceDE w:val="0"/>
        <w:widowControl/>
        <w:spacing w:line="247" w:lineRule="auto" w:before="258" w:after="8"/>
        <w:ind w:left="474" w:right="31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Since its inception, micro-blog becomes the new hotting darling of the network application and user's favor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with its real-time and convenience of use. Gathering a large number of users on the micro-blog and relative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freedom of speech information, mirco-blog proves to be a powerful tool to grasp the pulse of the community.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2011, the number of users of the micro-blog more than 195 million, a growth rate of 208.9 percent, was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explosive growth [1].Moreover, micro-blog application range is more extensive, such as micro-blog tracing of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6.0" w:type="dxa"/>
      </w:tblPr>
      <w:tblGrid>
        <w:gridCol w:w="2428"/>
        <w:gridCol w:w="2428"/>
        <w:gridCol w:w="2428"/>
        <w:gridCol w:w="2428"/>
      </w:tblGrid>
      <w:tr>
        <w:trPr>
          <w:trHeight w:hRule="exact" w:val="240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2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Fukushima earthquake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hot events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micro interviews, reflects the dense humanity atmosphere and strong </w:t>
            </w:r>
          </w:p>
        </w:tc>
      </w:tr>
    </w:tbl>
    <w:p>
      <w:pPr>
        <w:autoSpaceDN w:val="0"/>
        <w:autoSpaceDE w:val="0"/>
        <w:widowControl/>
        <w:spacing w:line="230" w:lineRule="auto" w:before="10" w:after="0"/>
        <w:ind w:left="4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social influence. The media storm as micro-blog fission propagation effects, can easily lead to enormous </w:t>
      </w:r>
    </w:p>
    <w:p>
      <w:pPr>
        <w:autoSpaceDN w:val="0"/>
        <w:autoSpaceDE w:val="0"/>
        <w:widowControl/>
        <w:spacing w:line="200" w:lineRule="exact" w:before="1996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2013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10.1016/j.aasri.2013.10.091 </w:t>
      </w:r>
    </w:p>
    <w:p>
      <w:pPr>
        <w:sectPr>
          <w:pgSz w:w="10885" w:h="14854"/>
          <w:pgMar w:top="438" w:right="550" w:bottom="218" w:left="624" w:header="720" w:footer="720" w:gutter="0"/>
          <w:cols w:space="720" w:num="1" w:equalWidth="0">
            <w:col w:w="97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31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288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Baoxiang Xu et al. /  AASRI Procedia  5 ( 2013 )  287 – 291 </w:t>
      </w:r>
    </w:p>
    <w:p>
      <w:pPr>
        <w:autoSpaceDN w:val="0"/>
        <w:autoSpaceDE w:val="0"/>
        <w:widowControl/>
        <w:spacing w:line="247" w:lineRule="auto" w:before="288" w:after="0"/>
        <w:ind w:left="384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influence, the slightest mistake will lead to a strong negative effect, ethical issues it raises also gradually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apparent and increasingly grim, the prominent problem is that micro- blog might trigger the moral space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disorder and moral behavior anomie [2]. At the same time, the academic community has gradually begun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attach importance to research the effective supervision of the micro-blog and yielded some results, such as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development of the micro-blog service and self-discipline convention; guiding micro-blog operators to adopt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measures to ensure micro-blog content management; proposing micro-blog users to improve their moral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consciousness, strengthening self-discipline, and actively supervising the activities of the micro-blog to find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objectionable information, to improve their own moral accomplishment, etc. [3]. </w:t>
      </w:r>
    </w:p>
    <w:p>
      <w:pPr>
        <w:autoSpaceDN w:val="0"/>
        <w:autoSpaceDE w:val="0"/>
        <w:widowControl/>
        <w:spacing w:line="222" w:lineRule="exact" w:before="258" w:after="0"/>
        <w:ind w:left="38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2. Structure </w:t>
      </w:r>
    </w:p>
    <w:p>
      <w:pPr>
        <w:autoSpaceDN w:val="0"/>
        <w:autoSpaceDE w:val="0"/>
        <w:widowControl/>
        <w:spacing w:line="247" w:lineRule="auto" w:before="258" w:after="0"/>
        <w:ind w:left="384" w:right="7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these studies, however, just up from a macro point of view to regulate the use of micro-blog, pinning its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hopes on the society's power to regulate the behavior of the users of the micro-blog, small amount of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micro-blog information organization and dissemination of regulatory studies only put forward the general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idea, and did not give a feasible solution. This study attempts to regulate the organization and dissemination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micro-blog information using information modeling theory, to build the micro-blog information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organization model and propagation model is technically the appropriate solution to achieve regulatory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micro-blog. </w:t>
      </w:r>
    </w:p>
    <w:p>
      <w:pPr>
        <w:autoSpaceDN w:val="0"/>
        <w:tabs>
          <w:tab w:pos="622" w:val="left"/>
          <w:tab w:pos="628" w:val="left"/>
          <w:tab w:pos="810" w:val="left"/>
        </w:tabs>
        <w:autoSpaceDE w:val="0"/>
        <w:widowControl/>
        <w:spacing w:line="240" w:lineRule="auto" w:before="18" w:after="0"/>
        <w:ind w:left="384" w:right="0" w:firstLine="0"/>
        <w:jc w:val="left"/>
      </w:pPr>
      <w:r>
        <w:tab/>
      </w:r>
      <w:r>
        <w:drawing>
          <wp:inline xmlns:a="http://schemas.openxmlformats.org/drawingml/2006/main" xmlns:pic="http://schemas.openxmlformats.org/drawingml/2006/picture">
            <wp:extent cx="50800" cy="5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First point:Micro-blog information supervision mechanism of self-organization and ontology modeling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Seen from the practice of these years, regardless of the difference of the core content of these micro-blog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sites, as long as they allow users to self-production of content, information on regulatory issues can not be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avoided. This paper studies micro-blog regulatory focused on the technical level, the main tags focuses on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micro-blog information organization and micro-blog information dissemination two tags, trying to spread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micro-blog norms and information modeling idea combing to achieve the purpose of the micro-blog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regulation. </w:t>
      </w:r>
    </w:p>
    <w:p>
      <w:pPr>
        <w:autoSpaceDN w:val="0"/>
        <w:autoSpaceDE w:val="0"/>
        <w:widowControl/>
        <w:spacing w:line="247" w:lineRule="auto" w:before="18" w:after="0"/>
        <w:ind w:left="384" w:right="7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Unlike traditional blog, micro-blog is a mini blog; users can rely on a variety of Internet tools to release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news instantly, the update time in seconds. Because each time a user can only send 140 characters, so in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early days the information usually appear "fragmentized", in the "self speaking" state. However, with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increase of users, information transmission frequency is also a substantial increase in its spread or "presents"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will be grouped in the form of a "hot topic". Information from the initial stage of "fragmentized", to the stage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development of the information classification, polymerization, transmission, can use for reference in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field of natural science self-organization theory to analysis. "Self-organization" is a kind of system from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disorder to order, from the lower order to advanced orderly evolution and development of the phenomenon.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fact, micro-blog as an information production system, can be regarded as an "information self-organizing"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process [4]. </w:t>
      </w:r>
    </w:p>
    <w:p>
      <w:pPr>
        <w:autoSpaceDN w:val="0"/>
        <w:autoSpaceDE w:val="0"/>
        <w:widowControl/>
        <w:spacing w:line="245" w:lineRule="auto" w:before="18" w:after="0"/>
        <w:ind w:left="384" w:right="7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 a kind of effective performance concept structure semantic model, ontology through the acquisition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related field knowledge, standardize the formal definition, form definition, provide for the common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understanding of domain knowledge and provide a clear definition for modeling. </w:t>
      </w:r>
    </w:p>
    <w:p>
      <w:pPr>
        <w:autoSpaceDN w:val="0"/>
        <w:autoSpaceDE w:val="0"/>
        <w:widowControl/>
        <w:spacing w:line="247" w:lineRule="auto" w:before="18" w:after="0"/>
        <w:ind w:left="384" w:right="7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This paper rises to strengthen the supervision of the micro-blog information based on self-organization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ontology modeling theory. In the concrete realization, the self-organization and ontology modeling theory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micro-blog information organization standardization process, forming a structured information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organization structure into the micro-blog information transmission stage, again through the ontology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modeling theory to transmission of information to the modeling, the propagation process of constraints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control, so as to achieve in the technical level strengthen micro-blog information supervision purpose. </w:t>
      </w:r>
    </w:p>
    <w:p>
      <w:pPr>
        <w:autoSpaceDN w:val="0"/>
        <w:tabs>
          <w:tab w:pos="810" w:val="left"/>
        </w:tabs>
        <w:autoSpaceDE w:val="0"/>
        <w:widowControl/>
        <w:spacing w:line="240" w:lineRule="auto" w:before="18" w:after="0"/>
        <w:ind w:left="6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Second point:Ontology specification micro-blog information organizations </w:t>
      </w:r>
    </w:p>
    <w:p>
      <w:pPr>
        <w:sectPr>
          <w:pgSz w:w="10885" w:h="14854"/>
          <w:pgMar w:top="368" w:right="904" w:bottom="1434" w:left="652" w:header="720" w:footer="720" w:gutter="0"/>
          <w:cols w:space="720" w:num="1" w:equalWidth="0">
            <w:col w:w="9330" w:space="0"/>
            <w:col w:w="97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8880" w:val="left"/>
        </w:tabs>
        <w:autoSpaceDE w:val="0"/>
        <w:widowControl/>
        <w:spacing w:line="176" w:lineRule="exact" w:before="0" w:after="0"/>
        <w:ind w:left="25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Baoxiang Xu et al. /  AASRI Procedia  5 ( 2013 )  287 – 291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289</w:t>
      </w:r>
    </w:p>
    <w:p>
      <w:pPr>
        <w:autoSpaceDN w:val="0"/>
        <w:autoSpaceDE w:val="0"/>
        <w:widowControl/>
        <w:spacing w:line="247" w:lineRule="auto" w:before="286" w:after="0"/>
        <w:ind w:left="0" w:right="144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Combining self-organization theory, there is no specific intervention in information self-organizing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external conditions, the system is out of external imposed any instruction. The micro-blog now in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technology uses on Folksonomy to micro-blog information organization, Folksonomy helps users to store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manage their information resources through the Tag technology, and provides the sharing and communication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platform. They providing users with based on the Tag technology information management mode has also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become a kind of new type of network information organization tool: users choose words resource dimension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according to their own needs , each adding a word called for resources to add a "Tag" ; Each Tag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equivalent to the user a classification of resources, resources according to the different Tags are organized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different classifications. All users, resources are in a shared platform, the same Tag can also polymerize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same classification of resources from different users. Such information organization pattern has two obvious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characteristics: one is in the process of adding Tag to resources, the user need not follow any previously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defined for classification or vocabulary; the second is the activity space of each user is not isolated and closed,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but opening, sharing, so also is interaction. </w:t>
      </w:r>
    </w:p>
    <w:p>
      <w:pPr>
        <w:autoSpaceDN w:val="0"/>
        <w:autoSpaceDE w:val="0"/>
        <w:widowControl/>
        <w:spacing w:line="247" w:lineRule="auto" w:before="20" w:after="0"/>
        <w:ind w:left="0" w:right="26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order to achieve the purpose of easy to use, free classification is cancelled for the control means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language. Although based on the label of the method can easily and efficiently achieve similar resources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polymerization, the lack of the relationship between semantic relationship between semantic control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category cause the inconvenience to browse and search. Without any increase in the cost of users,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application of the system can adopt certain technical means, through combining with other information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organization methods or other information organization methods for free concept, optimization of free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classification, in order to improve the effect of browsing and searching, enhance the user experience. At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present, foreign researchers have actively spread a variety of test, mining the data label level at the same time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constructing ontology based on free classification is the main technical method now. </w:t>
      </w:r>
    </w:p>
    <w:p>
      <w:pPr>
        <w:autoSpaceDN w:val="0"/>
        <w:autoSpaceDE w:val="0"/>
        <w:widowControl/>
        <w:spacing w:line="245" w:lineRule="auto" w:before="20" w:after="10"/>
        <w:ind w:left="0" w:right="27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However, it is complex and difficult to realize the construction of ontology. At present, ontology have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concept updated delay problems to get concept in the network environment, it makes that ontology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construction and ontology using phase separation, unable to form effective feedback. Author thinks that,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fusion of Ontology and Folksonomy, should be a new integration based on both advantages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disadvantages, construct a similar body structure based on Folksonomy.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.00000000000003" w:type="dxa"/>
      </w:tblPr>
      <w:tblGrid>
        <w:gridCol w:w="4569"/>
        <w:gridCol w:w="4569"/>
      </w:tblGrid>
      <w:tr>
        <w:trPr>
          <w:trHeight w:hRule="exact" w:val="240"/>
        </w:trPr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" w:after="0"/>
              <w:ind w:left="1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 the specific implementation, firstly user labels oneself or others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micro-blog information through the 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0" w:right="26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Folksonomy, namely for micro-blog information resources on Tag, the Tag in essence is a kind of metadata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by users, and have many different types of metadata functions, including resource description, positioning,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rights management, etc. In the user plane, metadata representative by label is very simple, completely using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natural language, has no difference among the theme, the author or source elements, also does not have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controlled vocabulary limited. And in the system level, can use a particular metadata format to carry on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description, in order to make better use of the label information to realize appreciation of this simple metadata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from users. Because the Tag number and the constantly changing ,for each Tag constructing ontology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impossible, only can we optimize the popular tags to construct ontology. </w:t>
      </w:r>
    </w:p>
    <w:p>
      <w:pPr>
        <w:autoSpaceDN w:val="0"/>
        <w:autoSpaceDE w:val="0"/>
        <w:widowControl/>
        <w:spacing w:line="247" w:lineRule="auto" w:before="20" w:after="0"/>
        <w:ind w:left="0" w:right="26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order to meet the needs of  building ontology by Folksonomy, the author simplifies the ontology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structure , only keeps concept, attribute, examples and related semantic information, the ontology structure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based on Folksonomy simplify the existing ontology construction model, only guarantee the micro-blog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information this small ontology semantic property, called "micro ontology" by author. Micro ontology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construction is easy to realize by RSS push and ontology structure . RSS provides gathering different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information to a single page technology platform, so that different sites sharing content. </w:t>
      </w:r>
    </w:p>
    <w:p>
      <w:pPr>
        <w:autoSpaceDN w:val="0"/>
        <w:autoSpaceDE w:val="0"/>
        <w:widowControl/>
        <w:spacing w:line="245" w:lineRule="auto" w:before="20" w:after="0"/>
        <w:ind w:left="0" w:right="144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the above technical background, micro ontology construction process is as follows: in the concept for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link, in a wide range of user participation, through the social tagging system obtain the corresponding term set;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the concept semantic relations established link, through the statistical method, clustering tools technology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on tags for clustering, get class hierarchical relationships, and for the clustering of concept named; In the link </w:t>
      </w:r>
    </w:p>
    <w:p>
      <w:pPr>
        <w:sectPr>
          <w:pgSz w:w="10885" w:h="14854"/>
          <w:pgMar w:top="368" w:right="648" w:bottom="1318" w:left="1098" w:header="720" w:footer="720" w:gutter="0"/>
          <w:cols w:space="720" w:num="1" w:equalWidth="0">
            <w:col w:w="9140" w:space="0"/>
            <w:col w:w="9330" w:space="0"/>
            <w:col w:w="97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31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290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Baoxiang Xu et al. /  AASRI Procedia  5 ( 2013 )  287 – 291 </w:t>
      </w:r>
    </w:p>
    <w:p>
      <w:pPr>
        <w:autoSpaceDN w:val="0"/>
        <w:autoSpaceDE w:val="0"/>
        <w:widowControl/>
        <w:spacing w:line="245" w:lineRule="auto" w:before="284" w:after="0"/>
        <w:ind w:left="3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class attribute and examples establishing , according to the actual needs, select tags for attributes, supply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class attribute and examples as an example to resources, get ontology prototype. </w:t>
      </w:r>
    </w:p>
    <w:p>
      <w:pPr>
        <w:autoSpaceDN w:val="0"/>
        <w:autoSpaceDE w:val="0"/>
        <w:widowControl/>
        <w:spacing w:line="245" w:lineRule="auto" w:before="20" w:after="0"/>
        <w:ind w:left="332" w:right="2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At the moment of using, this kind of micro ontology structure according to the concept system determined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before organizes step by step , the users browse through the way of layer upon layer traversal, until find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information clues they need, and then through the information clues linked to the corresponding network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information resources, in the query algorithm can we use theme tree search rules. </w:t>
      </w:r>
    </w:p>
    <w:p>
      <w:pPr>
        <w:autoSpaceDN w:val="0"/>
        <w:autoSpaceDE w:val="0"/>
        <w:widowControl/>
        <w:spacing w:line="245" w:lineRule="auto" w:before="20" w:after="0"/>
        <w:ind w:left="332" w:right="2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 for the micro ontology update is implemented by the RSS. Since RSS information is dynamic,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generally sort according to the information releasing time, in order to ensure the latest micro-blog information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gathering, formed the real-time on the real significance. </w:t>
      </w:r>
    </w:p>
    <w:p>
      <w:pPr>
        <w:autoSpaceDN w:val="0"/>
        <w:tabs>
          <w:tab w:pos="568" w:val="left"/>
          <w:tab w:pos="570" w:val="left"/>
          <w:tab w:pos="758" w:val="left"/>
        </w:tabs>
        <w:autoSpaceDE w:val="0"/>
        <w:widowControl/>
        <w:spacing w:line="240" w:lineRule="auto" w:before="20" w:after="0"/>
        <w:ind w:left="332" w:right="0" w:firstLine="0"/>
        <w:jc w:val="left"/>
      </w:pPr>
      <w:r>
        <w:tab/>
      </w:r>
      <w:r>
        <w:drawing>
          <wp:inline xmlns:a="http://schemas.openxmlformats.org/drawingml/2006/main" xmlns:pic="http://schemas.openxmlformats.org/drawingml/2006/picture">
            <wp:extent cx="63500" cy="5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Third point: Ontology specification of micro-blog information dissemination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characteristics of micro-blog information in spreading are in the following aspects. (1) Information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fragmentized, compared with the blog, micro-blog is a more rapid communication mode. Users spend very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little time and thinking with short speech production communication content;(2) polymerization of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audience; (3) real-time communication; (4) information delivery, micro-blog information not only can be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searched and browsed by the user, but also can use RSS technology to push. </w:t>
      </w:r>
    </w:p>
    <w:p>
      <w:pPr>
        <w:autoSpaceDN w:val="0"/>
        <w:autoSpaceDE w:val="0"/>
        <w:widowControl/>
        <w:spacing w:line="247" w:lineRule="auto" w:before="20" w:after="0"/>
        <w:ind w:left="332" w:right="2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Because of these characteristics, the existence of micro-blog spread influential trend and innovation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diffusion theory of S type curve are very similar. Network communication S type diffusion rule illustrates: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information value has a "critical point", in the region near the center of the critical point, information value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change has a tremendous influence on transmission range; And the area far away from the critical point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both ends, the propagation difference range caused by information value will converge to a relatively small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difference value range. </w:t>
      </w:r>
    </w:p>
    <w:p>
      <w:pPr>
        <w:autoSpaceDN w:val="0"/>
        <w:autoSpaceDE w:val="0"/>
        <w:widowControl/>
        <w:spacing w:line="245" w:lineRule="auto" w:before="20" w:after="0"/>
        <w:ind w:left="332" w:right="2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author from the view of information modeling, by monitoring the micro-blog information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dissemination ontology from the extraction of  micro-blog information in order to achieve the purpose of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warning of micro-blog information dissemination. </w:t>
      </w:r>
    </w:p>
    <w:p>
      <w:pPr>
        <w:autoSpaceDN w:val="0"/>
        <w:autoSpaceDE w:val="0"/>
        <w:widowControl/>
        <w:spacing w:line="247" w:lineRule="auto" w:before="20" w:after="0"/>
        <w:ind w:left="332" w:right="2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the above background, this article putting forward to the micro-blog information dissemination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supervision translates into ontology of micro-blog information dissemination ontology library monitoring.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specific implementation, but to the micro-blog information dissemination ontology in the original case,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number of new instance number and examples of the rapid growth of its accumulated time monitoring,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especially in unit time jumps on the spread of the case body attention, once found the breakthrough point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trend will be alarmed. </w:t>
      </w:r>
    </w:p>
    <w:p>
      <w:pPr>
        <w:autoSpaceDN w:val="0"/>
        <w:autoSpaceDE w:val="0"/>
        <w:widowControl/>
        <w:spacing w:line="247" w:lineRule="auto" w:before="20" w:after="0"/>
        <w:ind w:left="332" w:right="2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fact, for micro-blog information dissemination, the hot spot is the need to control and warn of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content. So we only need to test the micro body in a certain time increasing number of examples can know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micro-blog dissemination of information, so as to effectively supervise popular micro-blog dissemination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information, and take corresponding measures, such as reducing RSS information delivery and so on in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technical level controlling micro-blog dissemination of information. Figure 1 shows this paper structures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micro-blog information supervision model, this model proposes in the technical supervision mode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methods of the micro-blog information, converts the regulation of the micro-blog information for micro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ontology and micro-blog information communication ontology to realize the monitoring technology, this has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very strong feasibility. </w:t>
      </w:r>
    </w:p>
    <w:p>
      <w:pPr>
        <w:autoSpaceDN w:val="0"/>
        <w:tabs>
          <w:tab w:pos="568" w:val="left"/>
          <w:tab w:pos="570" w:val="left"/>
          <w:tab w:pos="758" w:val="left"/>
        </w:tabs>
        <w:autoSpaceDE w:val="0"/>
        <w:widowControl/>
        <w:spacing w:line="240" w:lineRule="auto" w:before="20" w:after="0"/>
        <w:ind w:left="332" w:right="0" w:firstLine="0"/>
        <w:jc w:val="left"/>
      </w:pPr>
      <w:r>
        <w:tab/>
      </w:r>
      <w:r>
        <w:drawing>
          <wp:inline xmlns:a="http://schemas.openxmlformats.org/drawingml/2006/main" xmlns:pic="http://schemas.openxmlformats.org/drawingml/2006/picture">
            <wp:extent cx="63500" cy="5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so on:Verify and epilogue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author in order to validate the feasibility of the above ideas, relying on the ministry of education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humanities and social science research program fund project——high energy consumption industry carbon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emissions warning index system and countermeasures study constructs a low carbon channel website, and 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website constructs a micro-blog simulation system, creates a kind of application of micro ontology form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——carbon emissions index ontology, extracts information of carbon emissions warning and constructs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carbon emissions warning index ontology from the low carbon participants description of the early warning </w:t>
      </w:r>
    </w:p>
    <w:p>
      <w:pPr>
        <w:sectPr>
          <w:pgSz w:w="10885" w:h="14854"/>
          <w:pgMar w:top="368" w:right="1008" w:bottom="1318" w:left="652" w:header="720" w:footer="720" w:gutter="0"/>
          <w:cols w:space="720" w:num="1" w:equalWidth="0">
            <w:col w:w="9226" w:space="0"/>
            <w:col w:w="9140" w:space="0"/>
            <w:col w:w="9330" w:space="0"/>
            <w:col w:w="97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1905000</wp:posOffset>
            </wp:positionH>
            <wp:positionV relativeFrom="page">
              <wp:posOffset>1257300</wp:posOffset>
            </wp:positionV>
            <wp:extent cx="3263900" cy="27686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768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8824" w:val="left"/>
        </w:tabs>
        <w:autoSpaceDE w:val="0"/>
        <w:widowControl/>
        <w:spacing w:line="176" w:lineRule="exact" w:before="0" w:after="0"/>
        <w:ind w:left="248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Baoxiang Xu et al. /  AASRI Procedia  5 ( 2013 )  287 – 291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291</w:t>
      </w:r>
    </w:p>
    <w:p>
      <w:pPr>
        <w:autoSpaceDN w:val="0"/>
        <w:autoSpaceDE w:val="0"/>
        <w:widowControl/>
        <w:spacing w:line="245" w:lineRule="auto" w:before="286" w:after="258"/>
        <w:ind w:left="0" w:right="21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system, and stratified index form reaction on the website, the effect is good. Due to the technology limitations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the authors, micro-blog information dissemination ontology construction and the overall micro-blog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supervision system have no practice verification; this will be the future research direction. </w:t>
      </w:r>
    </w:p>
    <w:p>
      <w:pPr>
        <w:sectPr>
          <w:pgSz w:w="10885" w:h="14854"/>
          <w:pgMar w:top="368" w:right="648" w:bottom="1440" w:left="1154" w:header="720" w:footer="720" w:gutter="0"/>
          <w:cols w:space="720" w:num="1" w:equalWidth="0">
            <w:col w:w="9084" w:space="0"/>
            <w:col w:w="9226" w:space="0"/>
            <w:col w:w="9140" w:space="0"/>
            <w:col w:w="9330" w:space="0"/>
            <w:col w:w="9712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160" w:right="576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Micro-blog information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organization supervision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26.0" w:type="dxa"/>
      </w:tblPr>
      <w:tblGrid>
        <w:gridCol w:w="3028"/>
        <w:gridCol w:w="3028"/>
        <w:gridCol w:w="3028"/>
      </w:tblGrid>
      <w:tr>
        <w:trPr>
          <w:trHeight w:hRule="exact" w:val="198"/>
        </w:trPr>
        <w:tc>
          <w:tcPr>
            <w:tcW w:type="dxa" w:w="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221F1F"/>
                <w:sz w:val="13"/>
              </w:rPr>
              <w:t>i</w:t>
            </w:r>
          </w:p>
        </w:tc>
        <w:tc>
          <w:tcPr>
            <w:tcW w:type="dxa" w:w="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221F1F"/>
                <w:sz w:val="13"/>
              </w:rPr>
              <w:t>ti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40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221F1F"/>
                <w:sz w:val="13"/>
              </w:rPr>
              <w:t>i 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0885" w:h="14854"/>
          <w:pgMar w:top="368" w:right="648" w:bottom="1440" w:left="1154" w:header="720" w:footer="720" w:gutter="0"/>
          <w:cols w:space="720" w:num="2" w:equalWidth="0">
            <w:col w:w="4374" w:space="0"/>
            <w:col w:w="4710" w:space="0"/>
            <w:col w:w="9084" w:space="0"/>
            <w:col w:w="9226" w:space="0"/>
            <w:col w:w="9140" w:space="0"/>
            <w:col w:w="9330" w:space="0"/>
            <w:col w:w="9712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272"/>
        <w:ind w:left="658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Micro-blog information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5"/>
        </w:rPr>
        <w:t>dissemination supervision</w:t>
      </w:r>
    </w:p>
    <w:p>
      <w:pPr>
        <w:sectPr>
          <w:type w:val="nextColumn"/>
          <w:pgSz w:w="10885" w:h="14854"/>
          <w:pgMar w:top="368" w:right="648" w:bottom="1440" w:left="1154" w:header="720" w:footer="720" w:gutter="0"/>
          <w:cols w:space="720" w:num="2" w:equalWidth="0">
            <w:col w:w="4374" w:space="0"/>
            <w:col w:w="4710" w:space="0"/>
            <w:col w:w="9084" w:space="0"/>
            <w:col w:w="9226" w:space="0"/>
            <w:col w:w="9140" w:space="0"/>
            <w:col w:w="9330" w:space="0"/>
            <w:col w:w="971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6.0" w:type="dxa"/>
      </w:tblPr>
      <w:tblGrid>
        <w:gridCol w:w="3028"/>
        <w:gridCol w:w="3028"/>
        <w:gridCol w:w="3028"/>
      </w:tblGrid>
      <w:tr>
        <w:trPr>
          <w:trHeight w:hRule="exact" w:val="204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3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New release, forward, reviews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Micro 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2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RSS Delivery </w:t>
            </w:r>
          </w:p>
        </w:tc>
      </w:tr>
      <w:tr>
        <w:trPr>
          <w:trHeight w:hRule="exact" w:val="44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7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micro-blog information 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2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ontology </w:t>
            </w:r>
          </w:p>
        </w:tc>
        <w:tc>
          <w:tcPr>
            <w:tcW w:type="dxa" w:w="3028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28"/>
            <w:vMerge/>
            <w:tcBorders/>
          </w:tcPr>
          <w:p/>
        </w:tc>
        <w:tc>
          <w:tcPr>
            <w:tcW w:type="dxa" w:w="3028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4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>information</w:t>
            </w:r>
          </w:p>
        </w:tc>
      </w:tr>
      <w:tr>
        <w:trPr>
          <w:trHeight w:hRule="exact" w:val="208"/>
        </w:trPr>
        <w:tc>
          <w:tcPr>
            <w:tcW w:type="dxa" w:w="3028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library </w:t>
            </w:r>
          </w:p>
        </w:tc>
        <w:tc>
          <w:tcPr>
            <w:tcW w:type="dxa" w:w="302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94" w:after="176"/>
        <w:ind w:left="22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After optimization of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6.0" w:type="dxa"/>
      </w:tblPr>
      <w:tblGrid>
        <w:gridCol w:w="2271"/>
        <w:gridCol w:w="2271"/>
        <w:gridCol w:w="2271"/>
        <w:gridCol w:w="2271"/>
      </w:tblGrid>
      <w:tr>
        <w:trPr>
          <w:trHeight w:hRule="exact" w:val="216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0" w:right="2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>Ontolo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0" w:right="3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Micro 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1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Free 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3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Micro-blog information </w:t>
            </w:r>
          </w:p>
        </w:tc>
      </w:tr>
      <w:tr>
        <w:trPr>
          <w:trHeight w:hRule="exact" w:val="100"/>
        </w:trPr>
        <w:tc>
          <w:tcPr>
            <w:tcW w:type="dxa" w:w="2271"/>
            <w:vMerge/>
            <w:tcBorders/>
          </w:tcPr>
          <w:p/>
        </w:tc>
        <w:tc>
          <w:tcPr>
            <w:tcW w:type="dxa" w:w="2271"/>
            <w:vMerge/>
            <w:tcBorders/>
          </w:tcPr>
          <w:p/>
        </w:tc>
        <w:tc>
          <w:tcPr>
            <w:tcW w:type="dxa" w:w="2271"/>
            <w:vMerge/>
            <w:tcBorders/>
          </w:tcPr>
          <w:p/>
        </w:tc>
        <w:tc>
          <w:tcPr>
            <w:tcW w:type="dxa" w:w="3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3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dissemination ontology </w:t>
            </w:r>
          </w:p>
        </w:tc>
      </w:tr>
      <w:tr>
        <w:trPr>
          <w:trHeight w:hRule="exact" w:val="18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4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gy 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1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ontology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>classifi</w:t>
            </w:r>
          </w:p>
        </w:tc>
        <w:tc>
          <w:tcPr>
            <w:tcW w:type="dxa" w:w="2271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2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>structu</w:t>
            </w:r>
          </w:p>
        </w:tc>
        <w:tc>
          <w:tcPr>
            <w:tcW w:type="dxa" w:w="2271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cation </w:t>
            </w:r>
          </w:p>
        </w:tc>
        <w:tc>
          <w:tcPr>
            <w:tcW w:type="dxa" w:w="227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4" w:after="116"/>
        <w:ind w:left="19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re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6.0" w:type="dxa"/>
      </w:tblPr>
      <w:tblGrid>
        <w:gridCol w:w="4541"/>
        <w:gridCol w:w="4541"/>
      </w:tblGrid>
      <w:tr>
        <w:trPr>
          <w:trHeight w:hRule="exact" w:val="634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5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Micro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ontology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library 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4" w:after="0"/>
              <w:ind w:left="968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Spread micro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ontology library </w:t>
            </w:r>
          </w:p>
        </w:tc>
      </w:tr>
    </w:tbl>
    <w:p>
      <w:pPr>
        <w:autoSpaceDN w:val="0"/>
        <w:autoSpaceDE w:val="0"/>
        <w:widowControl/>
        <w:spacing w:line="230" w:lineRule="auto" w:before="524" w:after="0"/>
        <w:ind w:left="0" w:right="286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Micro-blog supervision information technology platform </w:t>
      </w:r>
    </w:p>
    <w:p>
      <w:pPr>
        <w:autoSpaceDN w:val="0"/>
        <w:autoSpaceDE w:val="0"/>
        <w:widowControl/>
        <w:spacing w:line="230" w:lineRule="auto" w:before="56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1. Micro-blog information transmission technology </w:t>
      </w:r>
    </w:p>
    <w:p>
      <w:pPr>
        <w:autoSpaceDN w:val="0"/>
        <w:autoSpaceDE w:val="0"/>
        <w:widowControl/>
        <w:spacing w:line="222" w:lineRule="exact" w:before="48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References </w:t>
      </w:r>
    </w:p>
    <w:p>
      <w:pPr>
        <w:autoSpaceDN w:val="0"/>
        <w:autoSpaceDE w:val="0"/>
        <w:widowControl/>
        <w:spacing w:line="245" w:lineRule="auto" w:before="204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[1] Wang Yangong. Critical thinking about micro-blog [J]. Journal of southeast, 2010;(12) : 36 - 38.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[2] Hu Lei. Self-discipline of Internet information service in China problems and countermeasures study [J]. </w:t>
      </w:r>
    </w:p>
    <w:p>
      <w:pPr>
        <w:autoSpaceDN w:val="0"/>
        <w:autoSpaceDE w:val="0"/>
        <w:widowControl/>
        <w:spacing w:line="245" w:lineRule="auto" w:before="10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Journal of intelligence, 2010;(2) : 153-156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[3] Sun Qingshan,Shan Shi. A new information transmission model and its simulation [J]. Journal of book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intelligence work. 2010;(6) : 52-79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[4] He Xiaoyuan Hu Xiaofeng. Network information transmission dynamics modeling study [J], journal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system simulation, 2011;(11) : 2511-2518 </w:t>
      </w:r>
    </w:p>
    <w:sectPr w:rsidR="00FC693F" w:rsidRPr="0006063C" w:rsidSect="00034616">
      <w:type w:val="continuous"/>
      <w:pgSz w:w="10885" w:h="14854"/>
      <w:pgMar w:top="368" w:right="648" w:bottom="1440" w:left="1154" w:header="720" w:footer="720" w:gutter="0"/>
      <w:cols w:space="720" w:num="1" w:equalWidth="0">
        <w:col w:w="9084" w:space="0"/>
        <w:col w:w="4374" w:space="0"/>
        <w:col w:w="4710" w:space="0"/>
        <w:col w:w="9084" w:space="0"/>
        <w:col w:w="9226" w:space="0"/>
        <w:col w:w="9140" w:space="0"/>
        <w:col w:w="9330" w:space="0"/>
        <w:col w:w="971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