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7467600</wp:posOffset>
            </wp:positionV>
            <wp:extent cx="3035300" cy="482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2400300</wp:posOffset>
            </wp:positionV>
            <wp:extent cx="265429" cy="25627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562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2400300</wp:posOffset>
            </wp:positionV>
            <wp:extent cx="711200" cy="266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4784090</wp:posOffset>
            </wp:positionH>
            <wp:positionV relativeFrom="page">
              <wp:posOffset>885190</wp:posOffset>
            </wp:positionV>
            <wp:extent cx="650239" cy="82647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239" cy="826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876300</wp:posOffset>
            </wp:positionV>
            <wp:extent cx="660400" cy="838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154" w:after="196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(2015)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11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29–46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4156"/>
        <w:gridCol w:w="4156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8356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5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342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2"/>
                    </w:rPr>
                    <w:t>Saudi Computer Society, 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70" w:after="6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6174"/>
            </w:tblGrid>
            <w:tr>
              <w:trPr>
                <w:trHeight w:hRule="exact" w:val="580"/>
              </w:trPr>
              <w:tc>
                <w:tcPr>
                  <w:tcW w:type="dxa" w:w="390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(http://computer.org.sa)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7FAD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p>
      <w:pPr>
        <w:autoSpaceDN w:val="0"/>
        <w:autoSpaceDE w:val="0"/>
        <w:widowControl/>
        <w:spacing w:line="400" w:lineRule="exact" w:before="354" w:after="0"/>
        <w:ind w:left="642" w:right="3168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36"/>
        </w:rPr>
        <w:t xml:space="preserve">Multi-label rules for phishing </w:t>
      </w:r>
      <w:r>
        <w:rPr>
          <w:rFonts w:ascii="AdvTimes" w:hAnsi="AdvTimes" w:eastAsia="AdvTimes"/>
          <w:b w:val="0"/>
          <w:i w:val="0"/>
          <w:color w:val="000000"/>
          <w:sz w:val="36"/>
        </w:rPr>
        <w:t>classification</w:t>
      </w:r>
    </w:p>
    <w:p>
      <w:pPr>
        <w:autoSpaceDN w:val="0"/>
        <w:autoSpaceDE w:val="0"/>
        <w:widowControl/>
        <w:spacing w:line="262" w:lineRule="exact" w:before="192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6"/>
        </w:rPr>
        <w:t>Neda Abdelhamid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*</w:t>
      </w:r>
    </w:p>
    <w:p>
      <w:pPr>
        <w:autoSpaceDN w:val="0"/>
        <w:autoSpaceDE w:val="0"/>
        <w:widowControl/>
        <w:spacing w:line="160" w:lineRule="exact" w:before="280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Computing and Informatics Department, De Montfort University, Leicester, UK</w:t>
      </w:r>
    </w:p>
    <w:p>
      <w:pPr>
        <w:autoSpaceDN w:val="0"/>
        <w:autoSpaceDE w:val="0"/>
        <w:widowControl/>
        <w:spacing w:line="218" w:lineRule="exact" w:before="248" w:after="344"/>
        <w:ind w:left="642" w:right="288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Received 3 January 2014; revised 13 May 2014; accepted 3 July 2014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15 July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trHeight w:hRule="exact" w:val="405"/>
        </w:trPr>
        <w:tc>
          <w:tcPr>
            <w:tcW w:type="dxa" w:w="1700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30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Associative rule;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Associative classifica-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tion;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Data mining;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Website phishing;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On-line security</w:t>
            </w:r>
          </w:p>
        </w:tc>
        <w:tc>
          <w:tcPr>
            <w:tcW w:type="dxa" w:w="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512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Generating multi-label rules in associative classification (AC) from</w:t>
            </w:r>
          </w:p>
        </w:tc>
      </w:tr>
      <w:tr>
        <w:trPr>
          <w:trHeight w:hRule="exact" w:val="1080"/>
        </w:trPr>
        <w:tc>
          <w:tcPr>
            <w:tcW w:type="dxa" w:w="924"/>
            <w:vMerge/>
            <w:tcBorders>
              <w:top w:sz="4.0" w:val="single" w:color="#000000"/>
            </w:tcBorders>
          </w:tcPr>
          <w:p/>
        </w:tc>
        <w:tc>
          <w:tcPr>
            <w:tcW w:type="dxa" w:w="595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36" w:right="2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single label data sets is considered a challenging task making the number of exist-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ing algorithms for this task rare. Current AC algorithms produce only the largest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frequency class connected with a rule in the training data set and discard all other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classes even though these classes have data representation with the rule’s body.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In this paper, we deal with the above problem by proposing an AC algorithm</w:t>
            </w:r>
          </w:p>
        </w:tc>
      </w:tr>
      <w:tr>
        <w:trPr>
          <w:trHeight w:hRule="exact" w:val="238"/>
        </w:trPr>
        <w:tc>
          <w:tcPr>
            <w:tcW w:type="dxa" w:w="924"/>
            <w:vMerge/>
            <w:tcBorders>
              <w:top w:sz="4.0" w:val="single" w:color="#000000"/>
            </w:tcBorders>
          </w:tcPr>
          <w:p/>
        </w:tc>
        <w:tc>
          <w:tcPr>
            <w:tcW w:type="dxa" w:w="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called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Enhanced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Multi-label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Classifiers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based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Associative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4" w:after="0"/>
              <w:ind w:left="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Classification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247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(eMCAC). This algorithm discovers rules associated with a set of classes from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single label data that other current AC algorithms are unable to induce. Further-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more, eMCAC minimises the number of extracted rules using a classifier building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method. The proposed algorithm has been tested on a real world application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data set related to website phishing and the results reveal that eMCAC’s accu-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racy is highly competitive if contrasted with other known AC and classic classi-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fication algorithms in data mining. Lastly, the experimental results show that our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algorithm is able to derive new rules from the phishing data sets that end-users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can exploit in decision making.</w:t>
      </w:r>
    </w:p>
    <w:p>
      <w:pPr>
        <w:autoSpaceDN w:val="0"/>
        <w:autoSpaceDE w:val="0"/>
        <w:widowControl/>
        <w:spacing w:line="208" w:lineRule="exact" w:before="6" w:after="0"/>
        <w:ind w:left="0" w:right="32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2014 Production and hosting by Elsevier B.V. on behalf of King Saud University.</w:t>
      </w:r>
    </w:p>
    <w:p>
      <w:pPr>
        <w:autoSpaceDN w:val="0"/>
        <w:autoSpaceDE w:val="0"/>
        <w:widowControl/>
        <w:spacing w:line="198" w:lineRule="exact" w:before="734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* Tel.: +44 (0)116 2 50 60 70.</w:t>
      </w:r>
    </w:p>
    <w:p>
      <w:pPr>
        <w:autoSpaceDN w:val="0"/>
        <w:autoSpaceDE w:val="0"/>
        <w:widowControl/>
        <w:spacing w:line="160" w:lineRule="exact" w:before="36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address: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P09050665@myemail.dmu.ac.uk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62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0" w:lineRule="exact" w:before="576" w:after="0"/>
        <w:ind w:left="1744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autoSpaceDN w:val="0"/>
        <w:autoSpaceDE w:val="0"/>
        <w:widowControl/>
        <w:spacing w:line="180" w:lineRule="exact" w:before="166" w:after="0"/>
        <w:ind w:left="642" w:right="144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5"/>
        </w:rPr>
        <w:hyperlink r:id="rId9" w:history="1">
          <w:r>
            <w:rPr>
              <w:rStyle w:val="Hyperlink"/>
            </w:rPr>
            <w:t xml:space="preserve">http://dx.doi.org/10.1016/j.aci.2014.07.002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5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5"/>
        </w:rPr>
        <w:hyperlink r:id="rId9" w:history="1">
          <w:r>
            <w:rPr>
              <w:rStyle w:val="Hyperlink"/>
            </w:rPr>
            <w:t xml:space="preserve"> ª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5"/>
        </w:rPr>
        <w:t xml:space="preserve"> 2014 Production and hosting by Elsevier B.V. on behalf of King Saud University.</w:t>
      </w:r>
    </w:p>
    <w:p>
      <w:pPr>
        <w:sectPr>
          <w:pgSz w:w="9354" w:h="13606"/>
          <w:pgMar w:top="370" w:right="776" w:bottom="322" w:left="266" w:header="720" w:footer="720" w:gutter="0"/>
          <w:cols w:space="720" w:num="1" w:equalWidth="0"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30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Introduction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Generally and according to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Tsoumakas and Katakis,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there are two types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classification problems, these are termed as single label and multi-label. In a single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 classification, each training case in the input data is associated with only one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class. In cases where the input data set contains just two class labels, the problem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called binary classification. However, if more than two classes are available,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problem is named multi-class classification. The majority of the research works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conducted in classification data mining are concerned with single label classifica-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tion, i.e.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Li et al., 2008; Chien and chen, 2010; Wang et al., 2011).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However,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domain applications like medical diagnoses, website phishing detection, text cate-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gorisation (TC) and bioinformatics may necessitate the production of multiple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 rules. This is since there is a class overlapping among the training cases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these applications data. Meaning a set of attribute values in the rule’s body may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link with more than one class in the data set and thus producing all these classes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the rule’s consequent (right hand side). It is advantageous to generate the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classes besides the largest frequency class with the rule’s body since they contain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valuable information having a sufficient representation in the data set.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the last few years, a learning strategy which applies the association rule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classification data called associative classification (AC) emerged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Thabtah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2010; Thabtah et al., 2011; Wang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Most AC algorithms like MAC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Abdelhamid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CMAR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Li et al.,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and others usually apply 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association rule technique to discover the rules, and then filter out the rules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include only those which their consequent is the class attribute. Experimental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research works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Jabbar et al., 2013; Jabez,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indicated that AC algorithms fre-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quently build more accurate classifiers than classic classification approaches such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as the probabilistic approach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Witten and Frank, 2002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decision tree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Quinlan,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1993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and rule induction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Cohen, 1995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algorithm proposed in this article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part of the AC family.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Limited research attempts in AC have been conducted to produce rules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more than one class, i.e. Lazy AC (CLAC)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Veloso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and Multi-label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Multi-class AC (MMAC)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 et al., 2004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The rest of the existing AC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rithms is unable to deal with discovering multi-label rules from single label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sets, and normally derive only the largest frequency class connected with the attri-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bute value(s) and ignore all other classes even if these classes have large frequen-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cies with the attribute value(s). For instance, this condition occurs if an attribute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value such as &lt;A&gt; is associated with two class labels (cl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in different places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(examples) within the training data set with frequencies equal to 44 and 45 respec-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tively. A typical AC algorithm like CBA will only take on class ‘‘cl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’’ simply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because it has a larger frequency than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 &lt;A&gt; and ignores class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if this class is statistically significant with &lt;A&gt;. This surely makes the selection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(&lt;A&gt;,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questionable. In the proposed algorithm we pick the two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labels and construct a multi-label rule rather than removing class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This enables</w:t>
      </w:r>
    </w:p>
    <w:p>
      <w:pPr>
        <w:sectPr>
          <w:pgSz w:w="9354" w:h="13606"/>
          <w:pgMar w:top="450" w:right="886" w:bottom="586" w:left="798" w:header="720" w:footer="720" w:gutter="0"/>
          <w:cols w:space="720" w:num="1" w:equalWidth="0"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58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decision maker to obtain knowledge missed by current AC algorithms.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primary motivation of this paper is to deal with the problem of generating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multi-label rules via AC from single label data sets. In other words, we intend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discover all class labels associated with the attribute values bringing up novel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useful knowledge normally missed by current algorithms.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this paper, a new multi-label rule based AC called Enhanced Multi-label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Classifiers based Associative Classification (eMCAC) is proposed. This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extracts from data sets not only rules with the most obvious class but rules that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associated with a ranked set of class labels. When an attribute value in a training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set is connected to more than one class in different locations with certain fre-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quencies, the proposed algorithm extracts and sorts all of them in the rule conse-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quent according to their frequencies. Thus, later in the prediction step, there can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 more alternatives (classes) when the rule is used in predicting the class for a test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algorithm generates rules from the complete training data set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without performing recursive learning as the MMAC algorithm, which requires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learning from parts of the training data set. This means MMAC ends up with sev-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eral single label classifiers that are then merged in a separate step to make the final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classifier. Another main distinction between eMCAC and MMAC is that our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rithm’s way of computing the confidence and the support for a multi-label rule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based on the average confidence and support values of all (Items, Classes)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tained within the rule, whereas, MMAC assigns the top ranked class confidence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support to the multi-label rule.</w:t>
      </w:r>
    </w:p>
    <w:p>
      <w:pPr>
        <w:autoSpaceDN w:val="0"/>
        <w:autoSpaceDE w:val="0"/>
        <w:widowControl/>
        <w:spacing w:line="258" w:lineRule="exact" w:before="0" w:after="2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algorithm employs a rule pruning method that considers a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part of the classifier if its body is contained within the training example. This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done without considering the class similarity of both the evaluated rule and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training case, thus ensuring a high rule coverage with respect to the training cases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consequently a smaller number of extracted rules.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demonstrates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applicability of the proposed algorithm on real world application data related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26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phishing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that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was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collected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from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phishy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legitimate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websites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22"/>
              </w:rPr>
              <w:hyperlink r:id="rId18" w:history="1">
                <w:r>
                  <w:rPr>
                    <w:rStyle w:val="Hyperlink"/>
                  </w:rPr>
                  <w:t>www.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8" w:history="1">
          <w:r>
            <w:rPr>
              <w:rStyle w:val="Hyperlink"/>
            </w:rPr>
            <w:t>phishtank.com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>) (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9" w:history="1">
          <w:r>
            <w:rPr>
              <w:rStyle w:val="Hyperlink"/>
            </w:rPr>
            <w:t>www.millersmiles.co.uk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0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AC problem, its related basic concepts and relevant literature are given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surveys common approaches in the literature and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posed algorithm is presented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Experimentations and result analysis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demonstrated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and lastly conclusions are given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30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The problem</w:t>
      </w:r>
    </w:p>
    <w:p>
      <w:pPr>
        <w:autoSpaceDN w:val="0"/>
        <w:autoSpaceDE w:val="0"/>
        <w:widowControl/>
        <w:spacing w:line="258" w:lineRule="exact" w:before="256" w:after="0"/>
        <w:ind w:left="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general description of the problem besides main definitions has been summa-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rised by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Abdelhamid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2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Let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denote the domain of the training cases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be a list of classes.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may be given a class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and is represented as a pair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)) 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class from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associated with the case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 the training data.</w:t>
      </w:r>
    </w:p>
    <w:p>
      <w:pPr>
        <w:sectPr>
          <w:pgSz w:w="9354" w:h="13606"/>
          <w:pgMar w:top="448" w:right="774" w:bottom="592" w:left="908" w:header="720" w:footer="720" w:gutter="0"/>
          <w:cols w:space="720" w:num="1" w:equalWidth="0"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32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56" w:lineRule="exact" w:before="13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Let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denote the set of classifiers for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where each case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given a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the goal is to find a classifier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that maximises the probability that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=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each test case. In our algorithm, and in case of multi-label data we assume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it is transformed to a single label data format after applying the copy transforma-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method (Section 3.1). The proposed algorithm deals with the single label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format only. The multi-label data set is displayed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denotes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obtained after applying the copy transformation method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before the mining process starts.</w:t>
      </w:r>
    </w:p>
    <w:p>
      <w:pPr>
        <w:autoSpaceDN w:val="0"/>
        <w:tabs>
          <w:tab w:pos="240" w:val="left"/>
        </w:tabs>
        <w:autoSpaceDE w:val="0"/>
        <w:widowControl/>
        <w:spacing w:line="260" w:lineRule="exact" w:before="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main definitions related to the AC problem that the proposed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utilises are given below: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For the training data set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attributes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set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classes,</w:t>
      </w:r>
    </w:p>
    <w:p>
      <w:pPr>
        <w:autoSpaceDN w:val="0"/>
        <w:autoSpaceDE w:val="0"/>
        <w:widowControl/>
        <w:spacing w:line="270" w:lineRule="exact" w:before="208" w:after="0"/>
        <w:ind w:left="1442" w:right="20" w:hanging="1204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1: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 attribute value set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AttValSet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can be described as a set of dis-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joint attribute values contained in a training case, denoted &lt;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ik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ik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)&gt;.</w:t>
      </w:r>
    </w:p>
    <w:p>
      <w:pPr>
        <w:autoSpaceDN w:val="0"/>
        <w:tabs>
          <w:tab w:pos="1428" w:val="left"/>
        </w:tabs>
        <w:autoSpaceDE w:val="0"/>
        <w:widowControl/>
        <w:spacing w:line="250" w:lineRule="exact" w:before="6" w:after="0"/>
        <w:ind w:left="23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2: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 rule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of the form &lt;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AttValSet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rFonts w:ascii="AdvTimes" w:hAnsi="AdvTimes" w:eastAsia="AdvTimes"/>
          <w:b w:val="0"/>
          <w:i w:val="0"/>
          <w:color w:val="000000"/>
          <w:sz w:val="22"/>
        </w:rPr>
        <w:t>&gt;, 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e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class.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Definition 3: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actual occurrence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ActOccr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number of cases in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that match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r’s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antecedent.</w:t>
      </w:r>
    </w:p>
    <w:p>
      <w:pPr>
        <w:autoSpaceDN w:val="0"/>
        <w:tabs>
          <w:tab w:pos="1474" w:val="left"/>
        </w:tabs>
        <w:autoSpaceDE w:val="0"/>
        <w:widowControl/>
        <w:spacing w:line="270" w:lineRule="exact" w:before="0" w:after="0"/>
        <w:ind w:left="23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4: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support count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SuppCount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number of cases in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that matches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r’s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antecedent, and belong to a class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2" w:lineRule="exact" w:before="0" w:after="0"/>
        <w:ind w:left="1452" w:right="20" w:hanging="1214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 A rule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passes the user minimum support threshold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SuppCount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)/|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|</w:t>
      </w:r>
      <w:r>
        <w:rPr>
          <w:rFonts w:ascii="AdvPSMP4" w:hAnsi="AdvPSMP4" w:eastAsia="AdvPSMP4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 |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| is the number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cases in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442" w:val="left"/>
        </w:tabs>
        <w:autoSpaceDE w:val="0"/>
        <w:widowControl/>
        <w:spacing w:line="272" w:lineRule="exact" w:before="0" w:after="0"/>
        <w:ind w:left="23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 A rule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passes the user minimum confidence threshold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if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SuppCount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)/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ActOccr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</w:t>
      </w:r>
      <w:r>
        <w:rPr>
          <w:rFonts w:ascii="AdvPSMP4" w:hAnsi="AdvPSMP4" w:eastAsia="AdvPSMP4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466" w:val="left"/>
        </w:tabs>
        <w:autoSpaceDE w:val="0"/>
        <w:widowControl/>
        <w:spacing w:line="242" w:lineRule="exact" w:before="44" w:after="0"/>
        <w:ind w:left="23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 A single label rule is represented as: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Antecedent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 ante-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cedent is an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AttributeValueSet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the consequence is a class.</w:t>
      </w:r>
    </w:p>
    <w:p>
      <w:pPr>
        <w:autoSpaceDN w:val="0"/>
        <w:autoSpaceDE w:val="0"/>
        <w:widowControl/>
        <w:spacing w:line="232" w:lineRule="exact" w:before="90" w:after="706"/>
        <w:ind w:left="1490" w:right="20" w:hanging="125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 A multi-label rule is represented as: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Antecedent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i1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i2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>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where antecedent is an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AttributeValueSet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the consequence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 set of class labels.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534"/>
        <w:gridCol w:w="1534"/>
        <w:gridCol w:w="1534"/>
        <w:gridCol w:w="1534"/>
        <w:gridCol w:w="1534"/>
      </w:tblGrid>
      <w:tr>
        <w:trPr>
          <w:trHeight w:hRule="exact" w:val="300"/>
        </w:trPr>
        <w:tc>
          <w:tcPr>
            <w:tcW w:type="dxa" w:w="596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1</w:t>
            </w:r>
          </w:p>
        </w:tc>
        <w:tc>
          <w:tcPr>
            <w:tcW w:type="dxa" w:w="244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Sample of a multi-label data set.</w:t>
            </w:r>
          </w:p>
        </w:tc>
        <w:tc>
          <w:tcPr>
            <w:tcW w:type="dxa" w:w="134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78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596"/>
            <w:tcBorders>
              <w:top w:sz="4.800000000000182" w:val="single" w:color="#000000"/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TID</w:t>
            </w:r>
          </w:p>
        </w:tc>
        <w:tc>
          <w:tcPr>
            <w:tcW w:type="dxa" w:w="2440"/>
            <w:tcBorders>
              <w:top w:sz="4.800000000000182" w:val="single" w:color="#000000"/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6" w:after="0"/>
              <w:ind w:left="0" w:right="9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340"/>
            <w:tcBorders>
              <w:top w:sz="4.800000000000182" w:val="single" w:color="#000000"/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6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780"/>
            <w:tcBorders>
              <w:top w:sz="4.800000000000182" w:val="single" w:color="#000000"/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1280"/>
            <w:tcBorders>
              <w:top w:sz="4.800000000000182" w:val="single" w:color="#000000"/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label</w:t>
            </w:r>
          </w:p>
        </w:tc>
      </w:tr>
      <w:tr>
        <w:trPr>
          <w:trHeight w:hRule="exact" w:val="234"/>
        </w:trPr>
        <w:tc>
          <w:tcPr>
            <w:tcW w:type="dxa" w:w="596"/>
            <w:tcBorders>
              <w:top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40"/>
            <w:tcBorders>
              <w:top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1340"/>
            <w:tcBorders>
              <w:top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z</w:t>
            </w:r>
          </w:p>
        </w:tc>
        <w:tc>
          <w:tcPr>
            <w:tcW w:type="dxa" w:w="1780"/>
            <w:tcBorders>
              <w:top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280"/>
            <w:tcBorders>
              <w:top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2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32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2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2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00"/>
        </w:trPr>
        <w:tc>
          <w:tcPr>
            <w:tcW w:type="dxa" w:w="59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3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1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2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</w:tr>
      <w:tr>
        <w:trPr>
          <w:trHeight w:hRule="exact" w:val="212"/>
        </w:trPr>
        <w:tc>
          <w:tcPr>
            <w:tcW w:type="dxa" w:w="59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4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5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3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17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14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2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2" w:after="0"/>
              <w:ind w:left="0" w:right="2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50" w:right="886" w:bottom="550" w:left="798" w:header="720" w:footer="720" w:gutter="0"/>
          <w:cols w:space="720" w:num="1" w:equalWidth="0"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8"/>
        <w:gridCol w:w="1918"/>
        <w:gridCol w:w="1918"/>
        <w:gridCol w:w="1918"/>
      </w:tblGrid>
      <w:tr>
        <w:trPr>
          <w:trHeight w:hRule="exact" w:val="244"/>
        </w:trPr>
        <w:tc>
          <w:tcPr>
            <w:tcW w:type="dxa" w:w="6032"/>
            <w:gridSpan w:val="3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161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33</w:t>
            </w:r>
          </w:p>
        </w:tc>
      </w:tr>
      <w:tr>
        <w:trPr>
          <w:trHeight w:hRule="exact" w:val="460"/>
        </w:trPr>
        <w:tc>
          <w:tcPr>
            <w:tcW w:type="dxa" w:w="792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2</w:t>
            </w:r>
          </w:p>
        </w:tc>
        <w:tc>
          <w:tcPr>
            <w:tcW w:type="dxa" w:w="5240"/>
            <w:gridSpan w:val="2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transformed multi-label data of Table 1 after processing.</w:t>
            </w:r>
          </w:p>
        </w:tc>
        <w:tc>
          <w:tcPr>
            <w:tcW w:type="dxa" w:w="1618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792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000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76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240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Attribute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1618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1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label</w:t>
            </w:r>
          </w:p>
        </w:tc>
      </w:tr>
      <w:tr>
        <w:trPr>
          <w:trHeight w:hRule="exact" w:val="236"/>
        </w:trPr>
        <w:tc>
          <w:tcPr>
            <w:tcW w:type="dxa" w:w="792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38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z</w:t>
            </w:r>
          </w:p>
        </w:tc>
        <w:tc>
          <w:tcPr>
            <w:tcW w:type="dxa" w:w="2240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618"/>
            <w:vMerge w:val="restart"/>
            <w:tcBorders>
              <w:top w:sz="4.7999999999999545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720" w:right="576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2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l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2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2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38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z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9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22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228"/>
        </w:trPr>
        <w:tc>
          <w:tcPr>
            <w:tcW w:type="dxa" w:w="792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300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13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22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13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1918"/>
            <w:vMerge/>
            <w:tcBorders>
              <w:top w:sz="4.7999999999999545" w:val="single" w:color="#000000"/>
              <w:bottom w:sz="4.0" w:val="single" w:color="#000000"/>
            </w:tcBorders>
          </w:tcPr>
          <w:p/>
        </w:tc>
      </w:tr>
      <w:tr>
        <w:trPr>
          <w:trHeight w:hRule="exact" w:val="110"/>
        </w:trPr>
        <w:tc>
          <w:tcPr>
            <w:tcW w:type="dxa" w:w="1918"/>
            <w:vMerge/>
            <w:tcBorders/>
          </w:tcPr>
          <w:p/>
        </w:tc>
        <w:tc>
          <w:tcPr>
            <w:tcW w:type="dxa" w:w="1918"/>
            <w:vMerge/>
            <w:tcBorders/>
          </w:tcPr>
          <w:p/>
        </w:tc>
        <w:tc>
          <w:tcPr>
            <w:tcW w:type="dxa" w:w="1918"/>
            <w:vMerge/>
            <w:tcBorders/>
          </w:tcPr>
          <w:p/>
        </w:tc>
        <w:tc>
          <w:tcPr>
            <w:tcW w:type="dxa" w:w="1618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47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 Literature review</w:t>
      </w:r>
    </w:p>
    <w:p>
      <w:pPr>
        <w:autoSpaceDN w:val="0"/>
        <w:autoSpaceDE w:val="0"/>
        <w:widowControl/>
        <w:spacing w:line="220" w:lineRule="exact" w:before="2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 Data transformation (optional)</w:t>
      </w:r>
    </w:p>
    <w:p>
      <w:pPr>
        <w:autoSpaceDN w:val="0"/>
        <w:autoSpaceDE w:val="0"/>
        <w:widowControl/>
        <w:spacing w:line="258" w:lineRule="exact" w:before="268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Several data transformation methods exist in the literature to convert multi-label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into one or more single label data. To demonstrate these data transformation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methods we use the data set of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which consists of nine training cases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belong to the following class set {cl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}. We summarise some of the common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methods from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Tsoumakas and Katakis,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and use our own example to fur-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ther simplify them.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first data transformation method simply removes any multi-label case from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training data set. Therefore,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cases located in TID (1,2,5,6,8,9)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discarded. Another data transformation method selects one class of each case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either arbitrarily or subjectively by the domain expert. So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 single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associated class for each of the multi-label cases may be picked. Another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realistic method transforms every multi-label case into a single label one by replac-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ing the multi-label case (x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,Y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with |Y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| cases. After that a number of methods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could be applied such as copy-weight which associates a weight of (1/|Y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|) to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transformed cases.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shows the copy transformation method after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applying it against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which our algorithm employs when the input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multi-label 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Finally, a common data transformation method used in image classification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derives a single label binary classifier for every class in the class set is called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Binary Relevance (BR)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Boutell et al., 2003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It transforms the original multi-label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set into |L| data sets which contain all the cases. This method gives a positive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indicator for a class if it is associated with a case in the training data set and a</w:t>
      </w:r>
    </w:p>
    <w:p>
      <w:pPr>
        <w:sectPr>
          <w:pgSz w:w="9354" w:h="13606"/>
          <w:pgMar w:top="448" w:right="774" w:bottom="618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34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negative indicator otherwise. For classifying test data, BR outputs the union of all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 labels that are predicted by the |L| classifiers.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3.2. Related works</w:t>
      </w:r>
    </w:p>
    <w:p>
      <w:pPr>
        <w:autoSpaceDN w:val="0"/>
        <w:autoSpaceDE w:val="0"/>
        <w:widowControl/>
        <w:spacing w:line="258" w:lineRule="exact" w:before="256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majority of existing AC mining algorithms use rules learnt from the training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set for constructing a single label classifier which in turn is utilised for predict-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ing test data. Thus, there are limited numbers of research articles related to multi-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 rules in AC. Hereunder, we shed the light on two approaches and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techniques related to traditional multi-label classification in data mining. It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worth to note that the traditional classification algorithms surveyed in this section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related to multi-label data sets and they assume each training example to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associated with more than one class. This is unlike the proposed algorithm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assumes each training example to be linked with a single class but produces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multi-label rules.</w:t>
      </w:r>
    </w:p>
    <w:p>
      <w:pPr>
        <w:autoSpaceDN w:val="0"/>
        <w:autoSpaceDE w:val="0"/>
        <w:widowControl/>
        <w:spacing w:line="260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7FAD"/>
          <w:sz w:val="22"/>
        </w:rPr>
        <w:t>Veloso et al. (2011)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proposed a multiple label AC algorithm that adopts the lazy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classification approach in which it delays the reasoning process until test data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given. Unlike binary classification which does not consider the correlation among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classes, the lazy algorithm takes into account class relationships. Furthermore,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deals with the small disjuncts (rules that cover limited number of training data),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this may reduce classification accuracy. This lazy approach has been compared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BoosTexter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Schapire and Singer, 2000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on three medium size data sets from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‘‘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20" w:history="1">
          <w:r>
            <w:rPr>
              <w:rStyle w:val="Hyperlink"/>
            </w:rPr>
            <w:t>http://portal.acm.org/dl.cfm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’’ with respect to error rate. The results produced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show that this method is competitive to BoosTexter.</w:t>
      </w:r>
    </w:p>
    <w:p>
      <w:pPr>
        <w:autoSpaceDN w:val="0"/>
        <w:autoSpaceDE w:val="0"/>
        <w:widowControl/>
        <w:spacing w:line="258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Another AC algorithm called MMAC was proposed to find multiple label rules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from single label data sets. It has been reported that MMAC was able to generate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higher quality classifiers than CBA and decision trees on a number of UCI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sets in regard to classification accuracy. One obvious limitation of the MMAC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that the classifier produced is extracted from parts of the training data set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the requirement of the recursive phase to find the multi-label rules.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7FAD"/>
          <w:sz w:val="22"/>
        </w:rPr>
        <w:t>Wang et al. (20110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proposed an enhanced Emerging Pattern (EP)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called ADA that constructs rules from both the input training data set as well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 the classified resources such as text documents. ADA classifier gets amended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 the fly after the classified resources reach a certain amount. The authors have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updated the classifier by refining the newly discovered knowledge using the exist-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rules. Moreover, ADA uses the maximum entropy approach to classify test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cases where multiple rules that are applicable to the test case contribute to the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diction decision. Overall, ADA can be considered a semi-incremental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few training examples or users set of frequent patterns (keywords) are only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necessary to build the classifier instead of the complete training examples. Then,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classified examples as well as the rules are employed to update the classifier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by adding or removing rules. Limited experiments on four data sets from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UCI data repository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Merz and Murphy, 1996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have been conducted using</w:t>
      </w:r>
    </w:p>
    <w:p>
      <w:pPr>
        <w:sectPr>
          <w:pgSz w:w="9354" w:h="13606"/>
          <w:pgMar w:top="450" w:right="884" w:bottom="614" w:left="798" w:header="720" w:footer="720" w:gutter="0"/>
          <w:cols w:space="720" w:num="1" w:equalWidth="0"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ADA, CBA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Liu et al., 1998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CMAR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Li et al.,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and C4.5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Quinlan, 1993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results showed similarity on the classification accuracy performance of the 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algorithms and superiority over the decision tree approach (C4.5).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image classification, pictures may belong to multi-labels, i.e. different objects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within a view. This problem is called class overlapping where a scene may contain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multiple labels. A scene classification method called cross training was developed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Boutell et al., 2003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This method trains on each available label in an image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turn during the training step in order to consider all available labels. The results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produced reveal that the developed scene classification algorithm performs well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respect to classification accuracy.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7FAD"/>
          <w:sz w:val="22"/>
        </w:rPr>
        <w:t>Tsoumakas and Katakis (2007)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surveyed common learning approaches related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multi-label classification in several domains. The authors have firstly presented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multi-label data transformation methods used in the literature, and then sur-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veyed the different multiple label learning approaches including the adaptation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the transformation methods. Experimentation using three different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transformation methods and various learning algorithms with respect to different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evaluation measures, has been conducted. The accuracy results of the compared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algorithms revealed that the ‘‘PT3’’ transformation method (considers each differ-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ent set of labels that exist in the multi-label data collection as a single label) when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used with a learning algorithm generates the highest results in each of the consid-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ered data collections.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 kernel based machine learning algorithm from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Quaresma and Rodrigues,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2003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was applied to the problem of categorising legal documents written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Portuguese for the general attorney office. This problem is considered multi-label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a legal document may belong to more than one category. The authors have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utilised vector representation based on bag-of-word for document’s representa-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without the usage of semantic and syntactic information. Moreover,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document was processed by applying lemmatisation and stopword elimination.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experimentation, only the top five categories in regard to frequency docu-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ments were used and a number of machine learning algorithms including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SVM, C4.5 and Naı¨ve Bayes have been contrasted with respect to prediction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accuracy and Information Retrieval (IR) measures (Precision, Recall and F1).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results indicated that SVM and C4.5 are more likely to be applicable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classification of the attorney general documents since they scored the highest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prediction rate. The Naı¨ve Bayes scored a low prediction rate and therefore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was excluded from further experiments. The authors have run SVM and C4.5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after reducing the document collection by removing words that had a frequency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less than a specific number of documents, and they used words that appeared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at least in 55 documents. The results on reduced document collection showed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slight superiority of C4.5 over SVM with respect to IR measures, i.e. precision,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recall, and F1.</w:t>
      </w:r>
    </w:p>
    <w:p>
      <w:pPr>
        <w:sectPr>
          <w:pgSz w:w="9354" w:h="13606"/>
          <w:pgMar w:top="448" w:right="774" w:bottom="870" w:left="908" w:header="720" w:footer="720" w:gutter="0"/>
          <w:cols w:space="720" w:num="1" w:equalWidth="0"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The eMCAC algorithm</w:t>
      </w:r>
    </w:p>
    <w:p>
      <w:pPr>
        <w:autoSpaceDN w:val="0"/>
        <w:autoSpaceDE w:val="0"/>
        <w:widowControl/>
        <w:spacing w:line="258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Our algorithm consists of three main steps: Rule discovery, classifier building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 assignment. In the first step, eMCAC iterates over the training data set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which rules are found and extracted. In step (2), redundant rules are discarded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which means that rules do not have training data coverage. The outcome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second step is the classifier which contains rules. The last step involves testing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classifier on the test data set to measure its predictive rate. Details on eMCAC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steps are given in the subsequent sections. The proposed algorithm assumes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input attributes in the training data set are categorical (having distinct values),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for each of these attributes, all possible values are mapped to a set of positive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integers. For continuous attributes any discretisation method can be employed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before the training phase.</w:t>
      </w:r>
    </w:p>
    <w:p>
      <w:pPr>
        <w:autoSpaceDN w:val="0"/>
        <w:autoSpaceDE w:val="0"/>
        <w:widowControl/>
        <w:spacing w:line="218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4.1. Pre-processing data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This step is optional and only required when the input data are multi-label. In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case, we copy each training example with each of its connected class labels. So, if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is a training example linked with two classes, this example is repeated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each class. One of the reasons behind our selection of this method is that we would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like to treat each class inside the multi-label example equally. This is since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labels are not sorted in the first place within the multi-label training data set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each case and therefore we do not have prior knowledge on the best class for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training example. Later, when the classifier is constructed we will be able to sort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classes within each rule generated based on their frequency with the rule’s attribute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values in the training data set after the transformation. Another reason for select-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this data format method is that we do not want to lose any knowledge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might be useful to the decision maker by ignoring class labels particularly when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other data transformation methods are chosen including ‘‘largest frequency class’’,</w:t>
      </w:r>
      <w:r>
        <w:rPr>
          <w:rFonts w:ascii="AdvTimes" w:hAnsi="AdvTimes" w:eastAsia="AdvTimes"/>
          <w:b w:val="0"/>
          <w:i w:val="0"/>
          <w:color w:val="000000"/>
          <w:sz w:val="22"/>
        </w:rPr>
        <w:t>‘‘class random selection’’, ignore multi-label case’’, etc.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4.2. Data representation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the last few years, some scholars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Abdelhamid et al., 2012; Thabtah et al., 2005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have developed AC algorithms which employ vertical data layout. A training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set in the vertical data layout consists of a group of attribute values, where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attribute value is followed by its locations (Tids) in the training data set.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3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shows the vertical layout of attribute values ‘‘y’’, ’’z’’, and ‘‘b’’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number of research studies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Thabtah, 2007; Abdelhamid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revealed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vertical data format is more effective for representing data than the horizontal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format since it makes the process of identifying frequent attribute values efficient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specifically the task involving the support counting. This is simply because vertical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algorithms use simple TIDs intersection among attribute values to accomplish the</w:t>
      </w:r>
    </w:p>
    <w:p>
      <w:pPr>
        <w:sectPr>
          <w:pgSz w:w="9354" w:h="13606"/>
          <w:pgMar w:top="450" w:right="886" w:bottom="602" w:left="798" w:header="720" w:footer="720" w:gutter="0"/>
          <w:cols w:space="720" w:num="1" w:equalWidth="0"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7"/>
        <w:gridCol w:w="2557"/>
        <w:gridCol w:w="2557"/>
      </w:tblGrid>
      <w:tr>
        <w:trPr>
          <w:trHeight w:hRule="exact" w:val="244"/>
        </w:trPr>
        <w:tc>
          <w:tcPr>
            <w:tcW w:type="dxa" w:w="5852"/>
            <w:gridSpan w:val="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17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37</w:t>
            </w:r>
          </w:p>
        </w:tc>
      </w:tr>
      <w:tr>
        <w:trPr>
          <w:trHeight w:hRule="exact" w:val="460"/>
        </w:trPr>
        <w:tc>
          <w:tcPr>
            <w:tcW w:type="dxa" w:w="712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3</w:t>
            </w:r>
          </w:p>
        </w:tc>
        <w:tc>
          <w:tcPr>
            <w:tcW w:type="dxa" w:w="5140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Sample of vertical data layout for 3 attribute values.</w:t>
            </w:r>
          </w:p>
        </w:tc>
        <w:tc>
          <w:tcPr>
            <w:tcW w:type="dxa" w:w="1798"/>
            <w:tcBorders>
              <w:top w:sz="5.59999999999996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712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‘‘y’’</w:t>
            </w:r>
          </w:p>
        </w:tc>
        <w:tc>
          <w:tcPr>
            <w:tcW w:type="dxa" w:w="5140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19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‘‘z’’</w:t>
            </w:r>
          </w:p>
        </w:tc>
        <w:tc>
          <w:tcPr>
            <w:tcW w:type="dxa" w:w="1798"/>
            <w:tcBorders>
              <w:top w:sz="4.0" w:val="single" w:color="#000000"/>
              <w:bottom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10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‘‘b’’</w:t>
            </w:r>
          </w:p>
        </w:tc>
      </w:tr>
      <w:tr>
        <w:trPr>
          <w:trHeight w:hRule="exact" w:val="236"/>
        </w:trPr>
        <w:tc>
          <w:tcPr>
            <w:tcW w:type="dxa" w:w="712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140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20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798"/>
            <w:vMerge w:val="restart"/>
            <w:tcBorders>
              <w:top w:sz="4.7999999999999545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1432" w:right="288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1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2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5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</w:t>
            </w:r>
          </w:p>
        </w:tc>
      </w:tr>
      <w:tr>
        <w:trPr>
          <w:trHeight w:hRule="exact" w:val="612"/>
        </w:trPr>
        <w:tc>
          <w:tcPr>
            <w:tcW w:type="dxa" w:w="585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06" w:right="5666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3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5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557"/>
            <w:vMerge/>
            <w:tcBorders>
              <w:top w:sz="4.79999999999995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7672"/>
      </w:tblGrid>
      <w:tr>
        <w:trPr>
          <w:trHeight w:hRule="exact" w:val="224"/>
        </w:trPr>
        <w:tc>
          <w:tcPr>
            <w:tcW w:type="dxa" w:w="743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8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0" w:lineRule="exact" w:before="51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task of support counting. There are few AC algorithms that employ the vertical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layout for mining classification rules such as MAC and MMAC.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the proposed algorithm, the vertical data format is used to represent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training data set before frequent attribute discovery and rule generation processes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begin.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4.3. Rule discovery methodology</w:t>
      </w:r>
    </w:p>
    <w:p>
      <w:pPr>
        <w:autoSpaceDN w:val="0"/>
        <w:autoSpaceDE w:val="0"/>
        <w:widowControl/>
        <w:spacing w:line="220" w:lineRule="exact" w:before="29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this section, we describe the process of finding and generating rules.</w:t>
      </w:r>
    </w:p>
    <w:p>
      <w:pPr>
        <w:autoSpaceDN w:val="0"/>
        <w:autoSpaceDE w:val="0"/>
        <w:widowControl/>
        <w:spacing w:line="218" w:lineRule="exact" w:before="25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4.3.1. Frequent attribute values discovery</w:t>
      </w:r>
    </w:p>
    <w:p>
      <w:pPr>
        <w:autoSpaceDN w:val="0"/>
        <w:autoSpaceDE w:val="0"/>
        <w:widowControl/>
        <w:spacing w:line="258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eMCAC algorithm uses a rule discovery method that utilises fast intersection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among attribute values TIDs to discover the rules. The TID of an attribute value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holds the locations (row Ids) that contain the attribute values and its associated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 labels in the training data set. The learning method of the proposed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rithm discovers the frequent attribute value of size 1 (F1) after scanning the train-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data set once. In particular, for each attribute value linked with a class, its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support is computed from its TIDs list in which the size of the subset of the TIDs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list that is associated with the largest frequency class of an attribute value divided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by the size of the training data set denotes the attribute value support. In cases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where an attribute value is connected with more than one class it will end up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more than one support. This ensures the production of the multiple label rules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the algorithm allows an attribute value to be associated with multiple labels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as long as they are frequent.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F1 is generated, the algorithm simply intersects the TIDs of the disjoint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attribute values in F1 to discover the candidate attribute values of size 2, and after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finding F2, the possible remaining frequent attribute values of size 3 are obtained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from intersecting the TIDs of the disjoint attribute values of F2, and so forth.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this frequent ruleitems discovery approach iterates over the training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set once, it is highly effective according to several experimental studies in the lit-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erature of data mining community especially with regard to processing time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memory usage. More details on the advantage of vertical algorithms over tradi-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tional ones are given in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sectPr>
          <w:pgSz w:w="9354" w:h="13606"/>
          <w:pgMar w:top="448" w:right="774" w:bottom="694" w:left="908" w:header="720" w:footer="720" w:gutter="0"/>
          <w:cols w:space="720" w:num="1" w:equalWidth="0"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38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18" w:lineRule="exact" w:before="14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4.3.2. Rule production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frequent attribute values are identified, eMCAC generates any one as a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when it passes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threshold. This is accomplished in a straightforward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manner since all necessary information for calculating the rules confidence values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stored in the attribute value TIDs. Any frequent attribute value that holds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confidence value smaller than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gets discarded.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For any attribute value connected with many classes and which becomes fre-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quent, eMCAC generates a multi-label rule for it when it passes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threshold. For example, the attribute value &lt;a&gt; of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linked with two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 labels, e.g. (cl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4 times each in the training data set. Assume that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are set to 4/15 and 40% respectively. This means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(&lt;a&gt;,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and (&lt;a&gt;,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have higher support and confidence than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thresholds and therefore two rules can be produced in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For this example, a typical AC algorithm such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CBA only derives the rule that has higher coverage in the training data, meaning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any of the above single label rules can be produced. On the other hand,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posed algorithm does not discard any useful knowledge and for the above example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it produces a multi-label rule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where normally class labels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ranked based on their count with the attribute values. In the above example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 rank within the rule is random since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cl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have the same count when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linked with &lt;a&gt; in the training data set.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4.4. Classifier construction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Once the complete set of rules is derived a rule sorting procedure is invoked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ensure that rules with high confidence and support values are given higher priority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be selected during building the classifier. The rule sorting procedure utilised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considers different criteria to favour among rules. The criteria order is: rule’s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fidence, support, length and class frequency. This ordering of rules has been used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it reduces rule random selection in the prediction step when no rules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found to be applicable to the test case which positively affects the classification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accuracy of the classifier.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After rules are sorted from which a subset gets chosen to comprise the classifier.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Precisely, and for each training case, eMCAC iterates over the complete set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rules discovered (top-down fashion) and marks the first rule that corresponds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training case to be part of the classifier. A rule gets inputted into the classifier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if it covers at least a single training case. The rule coverage does not necessitate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similarity between the rule’s class and that of the training case. This results often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more training coverage for each rule since all training data belonging to the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body are removed during evaluation. This surely reduces overfitting and usually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ends up with less number of rules. The same process is repeated until all training</w:t>
      </w:r>
    </w:p>
    <w:p>
      <w:pPr>
        <w:sectPr>
          <w:pgSz w:w="9354" w:h="13606"/>
          <w:pgMar w:top="450" w:right="886" w:bottom="748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cases are removed (covered) or all rules have been tested. Finally, the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derives the classifier.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Any remaining unmarked rules are discarded by the proposed algorithm since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some higher ranked rules have covered their training cases during building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classifier and therefore these unmarked rules become redundant. In cases when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are unclassified cases remaining in the training data set, a default rule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largest count class linked with the unclassified cases is formed.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4.5. Class assignment of test data</w:t>
      </w:r>
    </w:p>
    <w:p>
      <w:pPr>
        <w:autoSpaceDN w:val="0"/>
        <w:autoSpaceDE w:val="0"/>
        <w:widowControl/>
        <w:spacing w:line="260" w:lineRule="exact" w:before="254" w:after="472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algorithm fires the first sorted rule in the classifier applicable to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test case and assigns its class to the test case. The rules attribute values must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contained in the test case in order to be chosen for classifying the test case class.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there is no rule fully applicable to the test case then we take on the first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partly matches the test case attribute value. Unlike the majority of current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prediction procedures in AC mining that takes on the default class when no rules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applicable to the test case our prediction procedure minimises the utilisation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default rule in class assignment process of test cases which normally improves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upon the resulting classifier performance. This is since default rule has been cre-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ated with high error from the remaining unclassified training data cases while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2557"/>
        <w:gridCol w:w="2557"/>
        <w:gridCol w:w="2557"/>
      </w:tblGrid>
      <w:tr>
        <w:trPr>
          <w:trHeight w:hRule="exact" w:val="298"/>
        </w:trPr>
        <w:tc>
          <w:tcPr>
            <w:tcW w:type="dxa" w:w="608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4</w:t>
            </w:r>
          </w:p>
        </w:tc>
        <w:tc>
          <w:tcPr>
            <w:tcW w:type="dxa" w:w="6828"/>
            <w:gridSpan w:val="2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Phishing data selected features.</w:t>
            </w:r>
          </w:p>
        </w:tc>
      </w:tr>
      <w:tr>
        <w:trPr>
          <w:trHeight w:hRule="exact" w:val="284"/>
        </w:trPr>
        <w:tc>
          <w:tcPr>
            <w:tcW w:type="dxa" w:w="2086"/>
            <w:gridSpan w:val="2"/>
            <w:tcBorders>
              <w:top w:sz="3.199999999999818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Feature</w:t>
            </w:r>
          </w:p>
        </w:tc>
        <w:tc>
          <w:tcPr>
            <w:tcW w:type="dxa" w:w="5350"/>
            <w:tcBorders>
              <w:top w:sz="3.199999999999818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Description</w:t>
            </w:r>
          </w:p>
        </w:tc>
      </w:tr>
      <w:tr>
        <w:trPr>
          <w:trHeight w:hRule="exact" w:val="222"/>
        </w:trPr>
        <w:tc>
          <w:tcPr>
            <w:tcW w:type="dxa" w:w="2086"/>
            <w:gridSpan w:val="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IP address</w:t>
            </w:r>
          </w:p>
        </w:tc>
        <w:tc>
          <w:tcPr>
            <w:tcW w:type="dxa" w:w="535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If IP address exists in URL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4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Long URL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248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If URL length &lt; 54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URL length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54 and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16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75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URL’s having @ symbol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If URL has ‘@’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else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Adding prefix or suffix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If domain part has ‘–’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Misuse of HTTPs protocol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Use of https &amp; trusted issuer &amp; age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2 years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using https &amp; issuer</w:t>
            </w:r>
          </w:p>
        </w:tc>
      </w:tr>
      <w:tr>
        <w:trPr>
          <w:trHeight w:hRule="exact" w:val="200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2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is not trusted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Request URL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Request URL &lt; 22%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request URL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22%</w:t>
            </w:r>
          </w:p>
        </w:tc>
      </w:tr>
      <w:tr>
        <w:trPr>
          <w:trHeight w:hRule="exact" w:val="200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and &lt; 61%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URL of Anchor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URL anchor % &lt; 31%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URL anchor</w:t>
            </w:r>
          </w:p>
        </w:tc>
      </w:tr>
      <w:tr>
        <w:trPr>
          <w:trHeight w:hRule="exact" w:val="4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Server form handler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2" w:after="0"/>
              <w:ind w:left="248" w:right="28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16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67%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SFH If ‘about:blank’ or empty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SHD redirects to different</w:t>
            </w:r>
          </w:p>
        </w:tc>
      </w:tr>
      <w:tr>
        <w:trPr>
          <w:trHeight w:hRule="exact" w:val="200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74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domain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Abnormal URL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No hostname in URL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Using pop-up window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Right click disabled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rightClick showing alert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</w:t>
            </w:r>
          </w:p>
        </w:tc>
      </w:tr>
      <w:tr>
        <w:trPr>
          <w:trHeight w:hRule="exact" w:val="200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4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4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Redirect page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2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Redirect page #s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16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redirect page #s &gt; 1 and &lt; 4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DNS record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No DNS record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Hiding the links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Change of status bar onMouseOver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 no Change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</w:t>
            </w:r>
          </w:p>
        </w:tc>
      </w:tr>
      <w:tr>
        <w:trPr>
          <w:trHeight w:hRule="exact" w:val="200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42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</w:t>
            </w:r>
          </w:p>
        </w:tc>
      </w:tr>
      <w:tr>
        <w:trPr>
          <w:trHeight w:hRule="exact" w:val="200"/>
        </w:trPr>
        <w:tc>
          <w:tcPr>
            <w:tcW w:type="dxa" w:w="20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Website traffic</w:t>
            </w:r>
          </w:p>
        </w:tc>
        <w:tc>
          <w:tcPr>
            <w:tcW w:type="dxa" w:w="53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webtraffic &lt; 150,000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webTraffic &gt; 150,000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Suspicious</w:t>
            </w:r>
          </w:p>
        </w:tc>
      </w:tr>
      <w:tr>
        <w:trPr>
          <w:trHeight w:hRule="exact" w:val="198"/>
        </w:trPr>
        <w:tc>
          <w:tcPr>
            <w:tcW w:type="dxa" w:w="743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416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  <w:tr>
        <w:trPr>
          <w:trHeight w:hRule="exact" w:val="214"/>
        </w:trPr>
        <w:tc>
          <w:tcPr>
            <w:tcW w:type="dxa" w:w="2086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Age of domain</w:t>
            </w:r>
          </w:p>
        </w:tc>
        <w:tc>
          <w:tcPr>
            <w:tcW w:type="dxa" w:w="535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Age</w:t>
            </w:r>
            <w:r>
              <w:rPr>
                <w:rFonts w:ascii="AdvPSMP4" w:hAnsi="AdvPSMP4" w:eastAsia="AdvPSMP4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6 months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Legit else</w:t>
            </w:r>
            <w:r>
              <w:rPr>
                <w:rFonts w:ascii="AdvPSSym" w:hAnsi="AdvPSSym" w:eastAsia="AdvPSSym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Phishy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48" w:right="774" w:bottom="580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building the classifier and reducing its usage in the prediction step is a definite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advantage.</w:t>
      </w:r>
    </w:p>
    <w:p>
      <w:pPr>
        <w:autoSpaceDN w:val="0"/>
        <w:autoSpaceDE w:val="0"/>
        <w:widowControl/>
        <w:spacing w:line="220" w:lineRule="exact" w:before="30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Experimental results</w:t>
      </w:r>
    </w:p>
    <w:p>
      <w:pPr>
        <w:autoSpaceDN w:val="0"/>
        <w:autoSpaceDE w:val="0"/>
        <w:widowControl/>
        <w:spacing w:line="258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this section, we conduct experimentations on a number classification data set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related to website phishing to evaluate the eMCAC algorithm performance.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main evaluation measures used in the experiments are prediction rate (Accuracy),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(label-weight, any label) (defined later in this section), and classifier size (number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rules). A number of algorithms have been contrasted with the proposed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rithm with respect to the above mentioned evaluation measures. A number of fea-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tures (16) related to the process of identifying the type of websites have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collected from different phishing sources, e.g. Phishtank (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8" w:history="1">
          <w:r>
            <w:rPr>
              <w:rStyle w:val="Hyperlink"/>
            </w:rPr>
            <w:t>www.phishtank.com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yahoo directory and Millersmiles archive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9" w:history="1">
          <w:r>
            <w:rPr>
              <w:rStyle w:val="Hyperlink"/>
            </w:rPr>
            <w:t>www.millersmiles.co.uk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different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features contributing to the classification of the type of the websites have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adopted from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Mohammad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reason for choosing these features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since the authors of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Mohammad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have applied frequency analysis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 over 5000 collected websites (training examples) containing over 27 features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 a feature selection metric and found out that 16 features have significant impact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 the process of phishing detection. We have collected 1350 websites, details 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data set features are displayed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One distinguishing difference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between the data we have collected and other scholars is that we have included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‘‘Suspicious’’ (Phishy or Legitimate) class label which converted the phishing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problem from binary classification to a multi-label classification. This made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problem harder and more realistic since we have considered the overlapping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among the class labels.</w:t>
      </w:r>
    </w:p>
    <w:p>
      <w:pPr>
        <w:autoSpaceDN w:val="0"/>
        <w:autoSpaceDE w:val="0"/>
        <w:widowControl/>
        <w:spacing w:line="218" w:lineRule="exact" w:before="30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5.1. Settings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all experiments, tenfold cross validation testing method has been employed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fair evaluation of the classifiers derived by the algorithms considered and to reduce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overfitting. Furthermore, six dissimilar classification algorithms which utilise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variety of rule learning methodologies have been considered for contrasting pur-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poses with the eMCAC. These algorithms are MMAC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 et al., 2004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CBA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Liu et al., 1998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PART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Frank and Witten, 1998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MCAR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Thabtah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et al., 2005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RIPPER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Cohen, 1995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and C4.5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Quinlan, 1993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experiments were conducted on an I3 machine with 2.3 Ghz. The experi-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ments of C4.5, PART and RIPPER were carried out in Weka software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Witten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and Frank, 2002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For AC algorithms, we have selected CBA, and MCAR for sin-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gle label classifier comparison and MMAC for multi-label classifier. CBA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MMAC source code has been obtained from their prospective authors and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proposed algorithm and MCAR were implemented in Java.</w:t>
      </w:r>
    </w:p>
    <w:p>
      <w:pPr>
        <w:sectPr>
          <w:pgSz w:w="9354" w:h="13606"/>
          <w:pgMar w:top="450" w:right="886" w:bottom="742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Finally, we have set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thresholds for the AC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rithms (CBA, MCAR, MMAC, eMCAC) to 2% and 50% respectively for all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experiments. The main reason for giving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2% is that previous research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works, e.g.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 et al., 2005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have suggested that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values ranging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between 2% and 5% may balance between the number of rules generated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predictive accuracy of the classifier. On the other hand and for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parameter, it has been set to 40% since it has minor effect on the performance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classifiers.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5.2. Data collection</w:t>
      </w:r>
    </w:p>
    <w:p>
      <w:pPr>
        <w:autoSpaceDN w:val="0"/>
        <w:autoSpaceDE w:val="0"/>
        <w:widowControl/>
        <w:spacing w:line="260" w:lineRule="exact" w:before="252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Phishing features can be extracted in a number of ways one of which is manual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extraction where users derive features and judge their legitimacy. In this method,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users have to spend a lot of time studying the up-to-date phishing collection tech-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niques which is an infeasible approach for the majority of the users. The second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method employed in extracting phishing features is the automatic extraction.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accomplished by examining the webpage and extracting a set of patterns related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phishing and legitimate type web pages. This involves examining the webpage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properties and all its features. Webpage properties are typically derived from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HTML tags, URL address and Javascript source code.</w:t>
      </w:r>
    </w:p>
    <w:p>
      <w:pPr>
        <w:autoSpaceDN w:val="0"/>
        <w:autoSpaceDE w:val="0"/>
        <w:widowControl/>
        <w:spacing w:line="28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conduct our experiments a set of phishing websites were collected from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Phishtank archive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8" w:history="1">
          <w:r>
            <w:rPr>
              <w:rStyle w:val="Hyperlink"/>
            </w:rPr>
            <w:t>www.phishtank.com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which is a free community site where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users can submit, verify, track and share phishing data. In addition, we utilised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Millersmiles archive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19" w:history="1">
          <w:r>
            <w:rPr>
              <w:rStyle w:val="Hyperlink"/>
            </w:rPr>
            <w:t>www.millersmiles.co.uk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which is considered a prime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source of information about spoof emails and phishing scams. The legitimate web-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sites were collected from the yahoo directory and starting point directory using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PHP script. The PHP script was plugged with a browser and it collected 548 legit-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imate websites out of 1353 websites. There is 702 phishing URLs, and 103 suspi-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cious URLs. Sample of the phishing data (10 examples) for all features is shown in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Table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Some of the collected features hold categorical values termed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‘‘Legitimate’’, ’’Suspicious’’ and ‘‘Phishy’’, these values have been replaced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numerical values 1, 0 and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instead of ‘‘Legitimate’’, ‘‘Suspicious’’ and ‘‘Phishy’’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respectively.</w:t>
      </w:r>
    </w:p>
    <w:p>
      <w:pPr>
        <w:autoSpaceDN w:val="0"/>
        <w:autoSpaceDE w:val="0"/>
        <w:widowControl/>
        <w:spacing w:line="218" w:lineRule="exact" w:before="30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5.3. Phishing results analysis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7FAD"/>
          <w:sz w:val="22"/>
        </w:rPr>
        <w:t>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summarises the prediction accuracy produced by the considered algorithms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 the phishing problem data. It is obvious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that the eMCAC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outperformed the other AC algorithms and the traditional one in predicting the type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the websites. In particular, the eMCAC algorithm outperformed RIPPER, C4.5,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PART, CBA, and MCAR by 1.86%, 1.24%, 4.46%, 2.56%, 0.8% respectively.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Overall, the prediction accuracy obtained from all algorithms is considered accept-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able and that reflects goodness of our features in predicting the website class. It</w:t>
      </w:r>
    </w:p>
    <w:p>
      <w:pPr>
        <w:sectPr>
          <w:pgSz w:w="9354" w:h="13606"/>
          <w:pgMar w:top="448" w:right="774" w:bottom="616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8.0" w:type="dxa"/>
      </w:tblPr>
      <w:tblGrid>
        <w:gridCol w:w="4234"/>
        <w:gridCol w:w="4234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42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79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should be noted that eMCAC accuracy was calculated using label-weight (defined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below) and only the largest frequency class is utilised for computing the accuracy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 the remaining algorithms since they are single label ones.</w:t>
      </w:r>
    </w:p>
    <w:p>
      <w:pPr>
        <w:autoSpaceDN w:val="0"/>
        <w:autoSpaceDE w:val="0"/>
        <w:widowControl/>
        <w:spacing w:line="258" w:lineRule="exact" w:before="2" w:after="0"/>
        <w:ind w:left="79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One main reason for achieving higher predictive accuracy by the eMCAC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 is its ability not only to extract one class per rule but also all possible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labels in the form of a disjunctive multiple label rule. This extra useful knowledge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usually missed by the majority of existing AC algorithms and can contribute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positively in predictive power as well as serve the need for the end-user.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can be clearly obvious in real world applications such as website phishing.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lists the number of rules generated by all algorithms against the phishing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set. The figure stresse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 the point that the AC algorithm especially MCAR still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generates alarge number o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 rules if contrasted to decision trees, rule induction or </w:t>
      </w:r>
      <w:r>
        <w:rPr>
          <w:shd w:val="clear" w:color="auto" w:fill="000000"/>
          <w:rFonts w:ascii="AdvTimes" w:hAnsi="AdvTimes" w:eastAsia="AdvTimes"/>
          <w:b w:val="0"/>
          <w:i w:val="0"/>
          <w:color w:val="000000"/>
          <w:sz w:val="22"/>
        </w:rPr>
        <w:t>hybrid classification.</w:t>
      </w:r>
    </w:p>
    <w:p>
      <w:pPr>
        <w:autoSpaceDN w:val="0"/>
        <w:autoSpaceDE w:val="0"/>
        <w:widowControl/>
        <w:spacing w:line="260" w:lineRule="exact" w:before="0" w:after="0"/>
        <w:ind w:left="79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the multi-label classifiers, we contrasted the proposed algorithm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MMAC multiple label AC algorithm.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illustrates the two measures values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derived by the eMCAC and the MMAC algorithms named ‘‘Label-weight’’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‘‘Any-label’’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Thabtah,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Hereunder are the equations for calculating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two evaluation measures:</w:t>
      </w:r>
    </w:p>
    <w:p>
      <w:pPr>
        <w:autoSpaceDN w:val="0"/>
        <w:autoSpaceDE w:val="0"/>
        <w:widowControl/>
        <w:spacing w:line="240" w:lineRule="auto" w:before="186" w:after="138"/>
        <w:ind w:left="11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29430" cy="15709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5709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234"/>
        <w:gridCol w:w="4234"/>
      </w:tblGrid>
      <w:tr>
        <w:trPr>
          <w:trHeight w:hRule="exact" w:val="2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1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1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classification accuracy (%) for the contrasted algorithms derived from the phishing data.</w:t>
            </w:r>
          </w:p>
        </w:tc>
      </w:tr>
    </w:tbl>
    <w:p>
      <w:pPr>
        <w:autoSpaceDN w:val="0"/>
        <w:autoSpaceDE w:val="0"/>
        <w:widowControl/>
        <w:spacing w:line="240" w:lineRule="auto" w:before="472" w:after="138"/>
        <w:ind w:left="11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29430" cy="15989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5989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234"/>
        <w:gridCol w:w="4234"/>
      </w:tblGrid>
      <w:tr>
        <w:trPr>
          <w:trHeight w:hRule="exact" w:val="2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10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2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1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Average number of rules generated by the contrasted algorithms derived from the phishing data</w:t>
            </w:r>
          </w:p>
        </w:tc>
      </w:tr>
    </w:tbl>
    <w:p>
      <w:pPr>
        <w:autoSpaceDN w:val="0"/>
        <w:autoSpaceDE w:val="0"/>
        <w:widowControl/>
        <w:spacing w:line="160" w:lineRule="exact" w:before="20" w:after="0"/>
        <w:ind w:left="7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problem.</w:t>
      </w:r>
    </w:p>
    <w:p>
      <w:pPr>
        <w:sectPr>
          <w:pgSz w:w="9354" w:h="13606"/>
          <w:pgMar w:top="450" w:right="886" w:bottom="536" w:left="0" w:header="720" w:footer="720" w:gutter="0"/>
          <w:cols w:space="720" w:num="1" w:equalWidth="0">
            <w:col w:w="846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15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8.0" w:type="dxa"/>
      </w:tblPr>
      <w:tblGrid>
        <w:gridCol w:w="4290"/>
        <w:gridCol w:w="4290"/>
      </w:tblGrid>
      <w:tr>
        <w:trPr>
          <w:trHeight w:hRule="exact" w:val="30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40" w:lineRule="auto" w:before="162" w:after="138"/>
        <w:ind w:left="13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29430" cy="15824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290"/>
        <w:gridCol w:w="4290"/>
      </w:tblGrid>
      <w:tr>
        <w:trPr>
          <w:trHeight w:hRule="exact" w:val="2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9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3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1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 % computed using Label weight and any label measures for eMCAC and MMAC</w:t>
            </w:r>
          </w:p>
        </w:tc>
      </w:tr>
    </w:tbl>
    <w:p>
      <w:pPr>
        <w:autoSpaceDN w:val="0"/>
        <w:autoSpaceDE w:val="0"/>
        <w:widowControl/>
        <w:spacing w:line="160" w:lineRule="exact" w:before="20" w:after="0"/>
        <w:ind w:left="90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algorithms.</w:t>
      </w:r>
    </w:p>
    <w:p>
      <w:pPr>
        <w:autoSpaceDN w:val="0"/>
        <w:tabs>
          <w:tab w:pos="1700" w:val="left"/>
          <w:tab w:pos="2012" w:val="left"/>
          <w:tab w:pos="2530" w:val="left"/>
          <w:tab w:pos="2810" w:val="left"/>
          <w:tab w:pos="3320" w:val="left"/>
          <w:tab w:pos="3662" w:val="left"/>
          <w:tab w:pos="4060" w:val="left"/>
          <w:tab w:pos="8280" w:val="left"/>
        </w:tabs>
        <w:autoSpaceDE w:val="0"/>
        <w:widowControl/>
        <w:spacing w:line="1052" w:lineRule="exact" w:before="14" w:after="0"/>
        <w:ind w:left="1386" w:right="0" w:firstLine="0"/>
        <w:jc w:val="left"/>
      </w:pP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X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f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9" w:hAnsi="AdvP4C4E59" w:eastAsia="AdvP4C4E59"/>
          <w:b w:val="0"/>
          <w:i w:val="0"/>
          <w:color w:val="000000"/>
          <w:sz w:val="14"/>
        </w:rPr>
        <w:t>: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h</w:t>
      </w:r>
      <w:r>
        <w:rPr>
          <w:rFonts w:ascii="AdvTimes" w:hAnsi="AdvTimes" w:eastAsia="AdvTimes"/>
          <w:b w:val="0"/>
          <w:i w:val="0"/>
          <w:color w:val="000000"/>
          <w:sz w:val="11"/>
        </w:rPr>
        <w:t>i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ð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d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Þ¼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c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ð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d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 xml:space="preserve">Þ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X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g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f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=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!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tabs>
          <w:tab w:pos="1386" w:val="left"/>
          <w:tab w:pos="1456" w:val="left"/>
          <w:tab w:pos="1582" w:val="left"/>
          <w:tab w:pos="4106" w:val="left"/>
          <w:tab w:pos="4232" w:val="left"/>
          <w:tab w:pos="8280" w:val="left"/>
        </w:tabs>
        <w:autoSpaceDE w:val="0"/>
        <w:widowControl/>
        <w:spacing w:line="220" w:lineRule="exact" w:before="0" w:after="0"/>
        <w:ind w:left="90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sents the set of class labels. Case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has class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in the test data set. A (possibly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designates a test data set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data cases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repre-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��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: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9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��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=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autoSpaceDE w:val="0"/>
        <w:widowControl/>
        <w:spacing w:line="256" w:lineRule="exact" w:before="28" w:after="0"/>
        <w:ind w:left="90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multi-label) classifier is a multifunction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2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C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 for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PSMPi1" w:hAnsi="AdvPSMPi1" w:eastAsia="AdvPSMPi1"/>
          <w:b w:val="0"/>
          <w:i w:val="0"/>
          <w:color w:val="000000"/>
          <w:sz w:val="22"/>
        </w:rPr>
        <w:t xml:space="preserve"> 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=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Æ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(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</w:t>
      </w:r>
      <w:r>
        <w:rPr>
          <w:rFonts w:ascii="AdvPSSym" w:hAnsi="AdvPSSym" w:eastAsia="AdvPSSym"/>
          <w:b w:val="0"/>
          <w:i w:val="0"/>
          <w:color w:val="000000"/>
          <w:sz w:val="22"/>
        </w:rPr>
        <w:t>æ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The number of times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h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(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in the training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set are given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k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(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d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respectively.</w:t>
      </w:r>
    </w:p>
    <w:p>
      <w:pPr>
        <w:autoSpaceDN w:val="0"/>
        <w:autoSpaceDE w:val="0"/>
        <w:widowControl/>
        <w:spacing w:line="258" w:lineRule="exact" w:before="0" w:after="0"/>
        <w:ind w:left="90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further clarify how the label-weight evaluation measure works, consider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case a rule R: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Y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fi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where attributes value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X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Y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is associated 30 and 20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times with class labels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 the training data respectively. This is why class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 xml:space="preserve">1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precedes class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 R. The label-weight technique assigns the predicted class weight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the test case if the predicted class matches the actual class of the test case. 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other hand, ‘‘Any-label’’ evaluation measure considers 100% correct classifica-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when any of the multi-label rule’s class matches the test case class. So for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rule R if the test case class is either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l</w:t>
      </w:r>
      <w:r>
        <w:rPr>
          <w:w w:val="103.31584294637044"/>
          <w:rFonts w:ascii="AdvTimes" w:hAnsi="AdvTimes" w:eastAsia="AdvTimes"/>
          <w:b w:val="0"/>
          <w:i w:val="0"/>
          <w:color w:val="000000"/>
          <w:sz w:val="15"/>
        </w:rPr>
        <w:t>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test case will be given as ‘‘1’’.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explains its higher rate within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In the same figure eMCAC algorithm outper-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formed the eMMAC algorithm in both label-weight and any-label evaluation mea-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sures for the phishing data.</w:t>
      </w:r>
    </w:p>
    <w:p>
      <w:pPr>
        <w:autoSpaceDN w:val="0"/>
        <w:autoSpaceDE w:val="0"/>
        <w:widowControl/>
        <w:spacing w:line="260" w:lineRule="exact" w:before="0" w:after="0"/>
        <w:ind w:left="90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increase of the predictive accuracy for both evaluation measures for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eMCAC algorithm is due to its ability to reduce the default class usage during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diction step in which if no rules are applicable to the test case the prediction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cedure of the eMCAC algorithm takes on the highest ranked partly matching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assigns it to the test case. Further, the rule discovery method of the proposed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algorithm extracts the multi-label rules early without the need to perform recursive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learning which necessitates learning from independent sets of the training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similar to rule induction and greedy approaches. Instead, our algorithm learns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multi-label rules from the whole training data set once by discovering single</w:t>
      </w:r>
    </w:p>
    <w:p>
      <w:pPr>
        <w:sectPr>
          <w:pgSz w:w="9354" w:h="13606"/>
          <w:pgMar w:top="0" w:right="774" w:bottom="576" w:left="0" w:header="720" w:footer="720" w:gutter="0"/>
          <w:cols w:space="720" w:num="1" w:equalWidth="0">
            <w:col w:w="8580" w:space="0"/>
            <w:col w:w="846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16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8.0" w:type="dxa"/>
      </w:tblPr>
      <w:tblGrid>
        <w:gridCol w:w="4234"/>
        <w:gridCol w:w="4234"/>
      </w:tblGrid>
      <w:tr>
        <w:trPr>
          <w:trHeight w:hRule="exact" w:val="30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44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40" w:lineRule="auto" w:before="162" w:after="138"/>
        <w:ind w:left="11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29430" cy="16167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6167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4234"/>
        <w:gridCol w:w="4234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4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Number of class labels per rule derived by the eMCAC algorithm from the phishing data.</w:t>
            </w:r>
          </w:p>
        </w:tc>
      </w:tr>
    </w:tbl>
    <w:p>
      <w:pPr>
        <w:autoSpaceDN w:val="0"/>
        <w:autoSpaceDE w:val="0"/>
        <w:widowControl/>
        <w:spacing w:line="260" w:lineRule="exact" w:before="310" w:after="0"/>
        <w:ind w:left="79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label rules that survive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MinSupp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MinConf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early and merge only those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share the antecedent (body) to generate the multi-label rules. This could cause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rules to overlap in their training cases but the eMCAC removes the overlapping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during constructing the classifier by storing only rules that have training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coverage.</w:t>
      </w:r>
    </w:p>
    <w:p>
      <w:pPr>
        <w:autoSpaceDN w:val="0"/>
        <w:autoSpaceDE w:val="0"/>
        <w:widowControl/>
        <w:spacing w:line="258" w:lineRule="exact" w:before="0" w:after="0"/>
        <w:ind w:left="79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To signify the importance of the additional knowledge produced by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posed algorithm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displays the number of multi-label rules with respect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their consequent part (class labels on the right hand side). The proposed algorithm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was able to extract multiple label rules from the phishing data set solving 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important problem in classification data mining regarding rules overlapping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labels. In particular, Figure 10 shows that the eMCAC algorithm generated 24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multiple label rules that represent ‘‘Legitimate OR Phishy’’ website class.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multi-label class is in fact websites that are suspicious and mainly classified by cur-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rent classification algorithms as ‘‘Phishy’’ since they do not account the class over-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lapping problem. In other words, the eMCAC algorithm was able to extract rules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that current AC algorithms and traditional classification algorithms ignore bring-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up interesting useful information for the end-user. The fact that the eMCAC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algorithm finds this additional knowledge is an indicator of the ability of the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 to discover new data insights most current AC algorithms are unable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detect.</w:t>
      </w:r>
    </w:p>
    <w:p>
      <w:pPr>
        <w:autoSpaceDN w:val="0"/>
        <w:autoSpaceDE w:val="0"/>
        <w:widowControl/>
        <w:spacing w:line="220" w:lineRule="exact" w:before="304" w:after="0"/>
        <w:ind w:left="80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6. Conclusions</w:t>
      </w:r>
    </w:p>
    <w:p>
      <w:pPr>
        <w:autoSpaceDN w:val="0"/>
        <w:autoSpaceDE w:val="0"/>
        <w:widowControl/>
        <w:spacing w:line="258" w:lineRule="exact" w:before="256" w:after="0"/>
        <w:ind w:left="798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this paper, a new multi-label rule-based classification algorithm based on AC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mining called eMCAC has been proposed. The originality of the proposed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 is its ability to generate rules with multiple class labels from single data sets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without recursive learning in current AC methods like MMAC. Experimental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results against crucial applications named website phishing have been conducted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evaluate the performance of the proposed algorithm in classifying websites.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measures of evaluation are label-weight, any-label, accuracy and number of</w:t>
      </w:r>
    </w:p>
    <w:p>
      <w:pPr>
        <w:sectPr>
          <w:pgSz w:w="9354" w:h="13606"/>
          <w:pgMar w:top="0" w:right="886" w:bottom="630" w:left="0" w:header="720" w:footer="720" w:gutter="0"/>
          <w:cols w:space="720" w:num="1" w:equalWidth="0">
            <w:col w:w="8468" w:space="0"/>
            <w:col w:w="8580" w:space="0"/>
            <w:col w:w="846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39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Multi-label rules for phishing classification</w:t>
            </w:r>
          </w:p>
        </w:tc>
        <w:tc>
          <w:tcPr>
            <w:tcW w:type="dxa" w:w="22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rules and the contrasted algorithms are CBA, MCAR, MMAC, PART, C4.5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RIPPER. The results of the experiments showed that the proposed algorithm out-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performed the considered algorithms on the real world phishing data with respect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accuracy. Further, the label-weight and any-label results of the proposed algo-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rithm are better than those of the MMAC algorithm for the same data.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eMCAC algorithm was able to produce multi-label rules from the phishing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where each training example is associated with one class. We have identified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smaller effective feature set for detecting the type of the website after applying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Chi-square feature selection method. The results of all considered algorithms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than eMCAC have been consistent in detecting the phishing website. In the near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future, we intend to apply the eMCAC algorithm on unstructured data related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text categorisation.</w:t>
      </w:r>
    </w:p>
    <w:p>
      <w:pPr>
        <w:autoSpaceDN w:val="0"/>
        <w:autoSpaceDE w:val="0"/>
        <w:widowControl/>
        <w:spacing w:line="218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1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 xml:space="preserve">Abdelhamid, N., Ayesh, A., Thabtah, F., Ahmadi, S., Hadi, W., 2012. MAC: A multiclass associative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>classification algorithm. J. Inf. Knowl. Manage. 11 (2), 1250011-1–1250011-10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Boutell, M., Shen, X., Luo, J., Brown, C., 2003. Multi-label semantic scene classification. Technical report 813,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Department of Computer Science, University of Rochester, Rochester, NY 14627 &amp; Electronic Imaging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Products R &amp; D, Eastern Kodak Company.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 xml:space="preserve">Chien, Y., Chen, Y., 2010. Mining associative classification rules with stock trading data – A GA-based method.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>Knowl. Based Syst. 23 (2010), 605–614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Cohen, W., 1995. Fast effective rule induction. Proceedings of the 12th International Conference on Machine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Learning, CA, USA, pp. 115–123.</w:t>
      </w:r>
    </w:p>
    <w:p>
      <w:pPr>
        <w:autoSpaceDN w:val="0"/>
        <w:autoSpaceDE w:val="0"/>
        <w:widowControl/>
        <w:spacing w:line="200" w:lineRule="exact" w:before="0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Frank, E., Witten, I., 1998. Generating accurate rule sets without global optimisation. In: Shavlik, J., (ed.),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Machine Learning. Proceedings of the Fifteenth International Conference, Madison, Wisconsin. Morgan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Kaufmann.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 xml:space="preserve">Jabbar, M.A., Deekshatulu, B.L., Chandra, P., 2013. Knowledge discovery using associative classification for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>heart disease prediction. Adv. Intel. Syst. Comput. 182 (2013), 29–39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>Jabez, C., 2011. A statistical approach for associative classification. Eur. J. Sci. Res. 58 (2), 140–147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Li, X., Qin, D., Yu, C., 2008. ACCF: Associative Classification Based on Closed Frequent Itemsets. Proceedings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of the Fifth International Conference on Fuzzy Systems and Knowledge Discovery – FSKD, pp. 380–384.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Li, W., Han, J., Pei, J., 2001. CMAR: Accurate and efficient classification based on multiple-class association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rule. Proceedings of the IEEE International Conference on Data Mining – ICDM, pp. 369–376.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Liu, B., Hsu, W., Ma, Y., 1998. Integrating classification and association rule mining. Proceedings of the KDD,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New York, NY, pp. 80–86.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 xml:space="preserve">Merz, C., Murphy, P., 1996. UCI Repository of Machine Learning Databases. University of California,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>Department of Information and Computer Science, Irvine, CA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 xml:space="preserve">Mohammad, R.M., Thabtah, F., McCluskey, L., 2012. An Assessment of Features Related to Phishing Websites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using an Automated Technique. ICITST, London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Quaresma, P., Rodrigues, I., 2003. PGR: Portuguese Attorney General’s Office decisions on the web. In: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Bartenstein, Geske, Hannebauer, Yoshie, (Eds.), Web Knowledge Management and Decision Support,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LNCS/LNAI 2543, Springer-Verlag, pp. 51–61.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Quinlan, J., 1993. C4.5: Programs for machine learning, Morgan Kaufmann, San Mateo, CA.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 xml:space="preserve">Schapire, R.E., Singer, Y., 2000. BoosTexter: a boosting-based system for text categorization. Mach. Learning 39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(2/3), 135–168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 xml:space="preserve">Thabtah, F., 2007. Review on Associative Classification Mining, Journal of Knowledge Engineering Review.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Cambridge Press 22:1, 37–65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Thabtah, F., Cowling, P., Peng, Y., 2005. MCAR: Multi-class classification based on association rule approach.</w:t>
      </w:r>
    </w:p>
    <w:p>
      <w:pPr>
        <w:autoSpaceDN w:val="0"/>
        <w:autoSpaceDE w:val="0"/>
        <w:widowControl/>
        <w:spacing w:line="198" w:lineRule="exact" w:before="2" w:after="0"/>
        <w:ind w:left="23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Proceeding of the 3rd IEEE International Conference on Computer Systems and Applications. Cairo, Egypt,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pp. 1–7.</w:t>
      </w:r>
    </w:p>
    <w:p>
      <w:pPr>
        <w:sectPr>
          <w:pgSz w:w="9354" w:h="13606"/>
          <w:pgMar w:top="448" w:right="774" w:bottom="670" w:left="908" w:header="720" w:footer="720" w:gutter="0"/>
          <w:cols w:space="720" w:num="1" w:equalWidth="0">
            <w:col w:w="7672" w:space="0"/>
            <w:col w:w="8468" w:space="0"/>
            <w:col w:w="8580" w:space="0"/>
            <w:col w:w="846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7670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33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46</w:t>
            </w:r>
          </w:p>
        </w:tc>
        <w:tc>
          <w:tcPr>
            <w:tcW w:type="dxa" w:w="43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N. Abdelhamid</w:t>
            </w:r>
          </w:p>
        </w:tc>
      </w:tr>
    </w:tbl>
    <w:p>
      <w:pPr>
        <w:autoSpaceDN w:val="0"/>
        <w:autoSpaceDE w:val="0"/>
        <w:widowControl/>
        <w:spacing w:line="200" w:lineRule="exact" w:before="106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Thabtah, F., Cowling, P., Peng, Y., 2004. MMAC: A new multi-class, multi-label associative classification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approach. Proceedings of the Fourth IEEE International Conference on Data Mining (ICDM ‘04). Brighton,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UK, pp. 217–224.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Thabtah, F., Hadi, W., Abdelhamid, N., Issa, A., 2011. Prediction phase in associative classification mining. Int.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J. Softw. Eng. Knowl. 21 (06), 855–876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Thabtah, F., Mahmood, Q., McCluskey, L., Abdel-Jaber, H., 2010. A new classification based on association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>algorithm. J. Inf. Knowl. Manage. 9 (01), 55–64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Tsoumakas, G., Katakis, I., 2007. Multi-label classification: an overview. In: David Taniar (Ed.), International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Journal of Data Warehousing and Mining, Idea Group Publishing, 3(3), pp. 1–13.</w:t>
      </w:r>
    </w:p>
    <w:p>
      <w:pPr>
        <w:autoSpaceDN w:val="0"/>
        <w:tabs>
          <w:tab w:pos="22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Veloso, A., Meira, W., Zaki, M., Goncalves, M., Mossri, H., 2011. Calibrated lazy associative classification. Inf.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Sci. Int. J. 13 (181), 2656–2670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Wang, X., Yue, K., Niu, W., Shi, Z., 2011. An approach for adaptive associative classification. Expert Syst. Appl.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Int. J. 38 (9), 11873–11883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Witten, I., Frank, E., 2002. Data Mining: Practical Machine Learning Tools and Techniques with Java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Implementations. Morgan Kaufmann, San Francisco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sectPr w:rsidR="00FC693F" w:rsidRPr="0006063C" w:rsidSect="00034616">
      <w:pgSz w:w="9354" w:h="13606"/>
      <w:pgMar w:top="450" w:right="884" w:bottom="1440" w:left="798" w:header="720" w:footer="720" w:gutter="0"/>
      <w:cols w:space="720" w:num="1" w:equalWidth="0">
        <w:col w:w="7672" w:space="0"/>
        <w:col w:w="7672" w:space="0"/>
        <w:col w:w="8468" w:space="0"/>
        <w:col w:w="8580" w:space="0"/>
        <w:col w:w="8468" w:space="0"/>
        <w:col w:w="7672" w:space="0"/>
        <w:col w:w="7670" w:space="0"/>
        <w:col w:w="7672" w:space="0"/>
        <w:col w:w="7670" w:space="0"/>
        <w:col w:w="7672" w:space="0"/>
        <w:col w:w="7670" w:space="0"/>
        <w:col w:w="7672" w:space="0"/>
        <w:col w:w="7672" w:space="0"/>
        <w:col w:w="7672" w:space="0"/>
        <w:col w:w="7670" w:space="0"/>
        <w:col w:w="7672" w:space="0"/>
        <w:col w:w="7670" w:space="0"/>
        <w:col w:w="83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4.07.002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mailto:P09050665@myemail.dmu.ac.uk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phishtank.com" TargetMode="External"/><Relationship Id="rId19" Type="http://schemas.openxmlformats.org/officeDocument/2006/relationships/hyperlink" Target="http://www.millersmiles.co.uk" TargetMode="External"/><Relationship Id="rId20" Type="http://schemas.openxmlformats.org/officeDocument/2006/relationships/hyperlink" Target="http://portal.acm.org/dl.cfm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refhub.elsevier.com/S2210-8327(14)00021-0/h0005" TargetMode="External"/><Relationship Id="rId26" Type="http://schemas.openxmlformats.org/officeDocument/2006/relationships/hyperlink" Target="http://refhub.elsevier.com/S2210-8327(14)00021-0/h0015" TargetMode="External"/><Relationship Id="rId27" Type="http://schemas.openxmlformats.org/officeDocument/2006/relationships/hyperlink" Target="http://refhub.elsevier.com/S2210-8327(14)00021-0/h0030" TargetMode="External"/><Relationship Id="rId28" Type="http://schemas.openxmlformats.org/officeDocument/2006/relationships/hyperlink" Target="http://refhub.elsevier.com/S2210-8327(14)00021-0/h0035" TargetMode="External"/><Relationship Id="rId29" Type="http://schemas.openxmlformats.org/officeDocument/2006/relationships/hyperlink" Target="http://refhub.elsevier.com/S2210-8327(14)00021-0/h0055" TargetMode="External"/><Relationship Id="rId30" Type="http://schemas.openxmlformats.org/officeDocument/2006/relationships/hyperlink" Target="http://refhub.elsevier.com/S2210-8327(14)00021-0/h0060" TargetMode="External"/><Relationship Id="rId31" Type="http://schemas.openxmlformats.org/officeDocument/2006/relationships/hyperlink" Target="http://refhub.elsevier.com/S2210-8327(14)00021-0/h0075" TargetMode="External"/><Relationship Id="rId32" Type="http://schemas.openxmlformats.org/officeDocument/2006/relationships/hyperlink" Target="http://refhub.elsevier.com/S2210-8327(14)00021-0/h0080" TargetMode="External"/><Relationship Id="rId33" Type="http://schemas.openxmlformats.org/officeDocument/2006/relationships/hyperlink" Target="http://refhub.elsevier.com/S2210-8327(14)00021-0/h9000" TargetMode="External"/><Relationship Id="rId34" Type="http://schemas.openxmlformats.org/officeDocument/2006/relationships/hyperlink" Target="http://refhub.elsevier.com/S2210-8327(14)00021-0/h9010" TargetMode="External"/><Relationship Id="rId35" Type="http://schemas.openxmlformats.org/officeDocument/2006/relationships/hyperlink" Target="http://refhub.elsevier.com/S2210-8327(14)00021-0/h0100" TargetMode="External"/><Relationship Id="rId36" Type="http://schemas.openxmlformats.org/officeDocument/2006/relationships/hyperlink" Target="http://refhub.elsevier.com/S2210-8327(14)00021-0/h0105" TargetMode="External"/><Relationship Id="rId37" Type="http://schemas.openxmlformats.org/officeDocument/2006/relationships/hyperlink" Target="http://refhub.elsevier.com/S2210-8327(14)00021-0/h0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