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0"/>
        <w:ind w:left="0" w:right="0"/>
      </w:pPr>
    </w:p>
    <w:p>
      <w:pPr>
        <w:autoSpaceDN w:val="0"/>
        <w:autoSpaceDE w:val="0"/>
        <w:widowControl/>
        <w:spacing w:line="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2424"/>
        <w:gridCol w:w="2424"/>
        <w:gridCol w:w="2424"/>
        <w:gridCol w:w="2424"/>
      </w:tblGrid>
      <w:tr>
        <w:trPr>
          <w:trHeight w:hRule="exact" w:val="258"/>
        </w:trPr>
        <w:tc>
          <w:tcPr>
            <w:tcW w:type="dxa" w:w="13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6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6400" cy="4191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400" cy="419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4" w:after="0"/>
              <w:ind w:left="22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>Available online at www.sciencedirect.com</w:t>
            </w:r>
          </w:p>
        </w:tc>
        <w:tc>
          <w:tcPr>
            <w:tcW w:type="dxa" w:w="28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6" w:after="0"/>
              <w:ind w:left="0" w:right="44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11910" cy="84708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1191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640"/>
        </w:trPr>
        <w:tc>
          <w:tcPr>
            <w:tcW w:type="dxa" w:w="2424"/>
            <w:vMerge/>
            <w:tcBorders/>
          </w:tcPr>
          <w:p/>
        </w:tc>
        <w:tc>
          <w:tcPr>
            <w:tcW w:type="dxa" w:w="2424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2" w:lineRule="exact" w:before="50" w:after="0"/>
              <w:ind w:left="936" w:right="0" w:firstLine="0"/>
              <w:jc w:val="left"/>
            </w:pPr>
            <w:r>
              <w:rPr>
                <w:rFonts w:ascii="VAGRoundedStd" w:hAnsi="VAGRoundedStd" w:eastAsia="VAGRoundedStd"/>
                <w:b/>
                <w:i w:val="0"/>
                <w:color w:val="221F1F"/>
                <w:sz w:val="33"/>
              </w:rPr>
              <w:t>ScienceDirect</w:t>
            </w:r>
          </w:p>
        </w:tc>
        <w:tc>
          <w:tcPr>
            <w:tcW w:type="dxa" w:w="2424"/>
            <w:vMerge/>
            <w:tcBorders/>
          </w:tcPr>
          <w:p/>
        </w:tc>
      </w:tr>
      <w:tr>
        <w:trPr>
          <w:trHeight w:hRule="exact" w:val="552"/>
        </w:trPr>
        <w:tc>
          <w:tcPr>
            <w:tcW w:type="dxa" w:w="2424"/>
            <w:vMerge/>
            <w:tcBorders/>
          </w:tcPr>
          <w:p/>
        </w:tc>
        <w:tc>
          <w:tcPr>
            <w:tcW w:type="dxa" w:w="2424"/>
            <w:vMerge/>
            <w:tcBorders/>
          </w:tcPr>
          <w:p/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14" w:after="0"/>
              <w:ind w:left="8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8 ( 2014 )  30 – 37 </w:t>
            </w:r>
          </w:p>
        </w:tc>
        <w:tc>
          <w:tcPr>
            <w:tcW w:type="dxa" w:w="242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82" w:lineRule="exact" w:before="432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5"/>
        </w:rPr>
        <w:t>2014 AASRI Conference on Sports Engineering and Computer Science (SECS 2014)</w:t>
      </w:r>
    </w:p>
    <w:p>
      <w:pPr>
        <w:autoSpaceDN w:val="0"/>
        <w:autoSpaceDE w:val="0"/>
        <w:widowControl/>
        <w:spacing w:line="402" w:lineRule="exact" w:before="27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36"/>
        </w:rPr>
        <w:t>Online Multi-player Tracking in Monocular Soccer Videos</w:t>
      </w:r>
    </w:p>
    <w:p>
      <w:pPr>
        <w:autoSpaceDN w:val="0"/>
        <w:autoSpaceDE w:val="0"/>
        <w:widowControl/>
        <w:spacing w:line="348" w:lineRule="exact" w:before="214" w:after="0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7"/>
        </w:rPr>
        <w:t>Michael Herrmann</w:t>
      </w:r>
      <w:r>
        <w:rPr>
          <w:w w:val="97.71722157796225"/>
          <w:rFonts w:ascii="TimesNewRomanPSMT" w:hAnsi="TimesNewRomanPSMT" w:eastAsia="TimesNewRomanPSMT"/>
          <w:b w:val="0"/>
          <w:i w:val="0"/>
          <w:color w:val="000000"/>
          <w:sz w:val="18"/>
        </w:rPr>
        <w:t>a,*</w:t>
      </w:r>
      <w:r>
        <w:rPr>
          <w:rFonts w:ascii="TimesNewRomanPSMT" w:hAnsi="TimesNewRomanPSMT" w:eastAsia="TimesNewRomanPSMT"/>
          <w:b w:val="0"/>
          <w:i w:val="0"/>
          <w:color w:val="000000"/>
          <w:sz w:val="27"/>
        </w:rPr>
        <w:t>, Martin Hoernig</w:t>
      </w:r>
      <w:r>
        <w:rPr>
          <w:w w:val="97.71722157796225"/>
          <w:rFonts w:ascii="TimesNewRomanPSMT" w:hAnsi="TimesNewRomanPSMT" w:eastAsia="TimesNewRomanPSMT"/>
          <w:b w:val="0"/>
          <w:i w:val="0"/>
          <w:color w:val="000000"/>
          <w:sz w:val="18"/>
        </w:rPr>
        <w:t>a</w:t>
      </w:r>
      <w:r>
        <w:rPr>
          <w:rFonts w:ascii="TimesNewRomanPSMT" w:hAnsi="TimesNewRomanPSMT" w:eastAsia="TimesNewRomanPSMT"/>
          <w:b w:val="0"/>
          <w:i w:val="0"/>
          <w:color w:val="000000"/>
          <w:sz w:val="27"/>
        </w:rPr>
        <w:t>, Bernd Radig</w:t>
      </w:r>
      <w:r>
        <w:rPr>
          <w:w w:val="97.71722157796225"/>
          <w:rFonts w:ascii="TimesNewRomanPSMT" w:hAnsi="TimesNewRomanPSMT" w:eastAsia="TimesNewRomanPSMT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08" w:lineRule="exact" w:before="162" w:after="0"/>
        <w:ind w:left="0" w:right="0" w:firstLine="0"/>
        <w:jc w:val="center"/>
      </w:pPr>
      <w:r>
        <w:rPr>
          <w:w w:val="95.9400003606623"/>
          <w:rFonts w:ascii="Times" w:hAnsi="Times" w:eastAsia="Times"/>
          <w:b w:val="0"/>
          <w:i/>
          <w:color w:val="000000"/>
          <w:sz w:val="11"/>
        </w:rPr>
        <w:t>a</w:t>
      </w:r>
      <w:r>
        <w:rPr>
          <w:w w:val="97.55295024198645"/>
          <w:rFonts w:ascii="Times" w:hAnsi="Times" w:eastAsia="Times"/>
          <w:b w:val="0"/>
          <w:i/>
          <w:color w:val="000000"/>
          <w:sz w:val="17"/>
        </w:rPr>
        <w:t>Technische Universität München, Image Understanding and Knowledge-Based Systems, Boltzmannstr. 3, D-85748 Garching, Germany</w:t>
      </w:r>
    </w:p>
    <w:p>
      <w:pPr>
        <w:autoSpaceDN w:val="0"/>
        <w:autoSpaceDE w:val="0"/>
        <w:widowControl/>
        <w:spacing w:line="218" w:lineRule="exact" w:before="984" w:after="0"/>
        <w:ind w:left="2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19"/>
        </w:rPr>
        <w:t>Abstract</w:t>
      </w:r>
    </w:p>
    <w:p>
      <w:pPr>
        <w:autoSpaceDN w:val="0"/>
        <w:autoSpaceDE w:val="0"/>
        <w:widowControl/>
        <w:spacing w:line="250" w:lineRule="exact" w:before="222" w:after="204"/>
        <w:ind w:left="240" w:right="192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The tracking of players in monocular soccer videos is a challenging task because of numerous difficulties that can occur 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especially in TV broadcasts, such as camera motions, severe occlusion of players, or inhomogeneous lightning conditions. 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We propose a new robust method for multi-player tracking, which is based on finding local maxima on a confidence map. 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This map represents an ensemble of visual evidences, such as colors of the team outfits, responses of a HOG human 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detector, and grass regions in images. This combination of features allows for a robust online tracking procedure that does 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 xml:space="preserve">not require any further information about the camera calibration or other user input. In the evaluation using four </w:t>
      </w:r>
      <w:r>
        <w:rPr>
          <w:rFonts w:ascii="TimesNewRomanPSMT" w:hAnsi="TimesNewRomanPSMT" w:eastAsia="TimesNewRomanPSMT"/>
          <w:b w:val="0"/>
          <w:i w:val="0"/>
          <w:color w:val="000000"/>
          <w:sz w:val="19"/>
        </w:rPr>
        <w:t>representative datasets, our algorithm shows remarkable accuracy and outperforms a state-of-the-art pedestrian tracker.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07.99999999999997" w:type="dxa"/>
      </w:tblPr>
      <w:tblGrid>
        <w:gridCol w:w="9697"/>
      </w:tblGrid>
      <w:tr>
        <w:trPr>
          <w:trHeight w:hRule="exact" w:val="710"/>
        </w:trPr>
        <w:tc>
          <w:tcPr>
            <w:tcW w:type="dxa" w:w="89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54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© 2014 Herrmann, Hoernig, Radig. Published by Elsevier B.V.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 xml:space="preserve">© 2014 The Authors. Published by Elsevier B. V. This is an open access article under the CC BY-NC-ND license </w:t>
            </w:r>
          </w:p>
          <w:p>
            <w:pPr>
              <w:autoSpaceDN w:val="0"/>
              <w:autoSpaceDE w:val="0"/>
              <w:widowControl/>
              <w:spacing w:line="238" w:lineRule="exact" w:before="0" w:after="0"/>
              <w:ind w:left="13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Selection and/or peer review under responsibility of American Applied Science Research Institute 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(</w:t>
            </w:r>
            <w:r>
              <w:rPr>
                <w:rFonts w:ascii="Times" w:hAnsi="Times" w:eastAsia="Times"/>
                <w:b w:val="0"/>
                <w:i w:val="0"/>
                <w:color w:val="363393"/>
                <w:sz w:val="17"/>
              </w:rPr>
              <w:t>http://creativecommons.org/licenses/by-nc-nd/3.0/</w:t>
            </w: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).</w:t>
            </w:r>
          </w:p>
          <w:p>
            <w:pPr>
              <w:autoSpaceDN w:val="0"/>
              <w:autoSpaceDE w:val="0"/>
              <w:widowControl/>
              <w:spacing w:line="19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7"/>
              </w:rPr>
              <w:t>Peer-review under responsibility of Scientific Committee of American Applied Science Research Institute</w:t>
            </w:r>
          </w:p>
        </w:tc>
      </w:tr>
    </w:tbl>
    <w:p>
      <w:pPr>
        <w:autoSpaceDN w:val="0"/>
        <w:autoSpaceDE w:val="0"/>
        <w:widowControl/>
        <w:spacing w:line="188" w:lineRule="exact" w:before="104" w:after="0"/>
        <w:ind w:left="240" w:right="0" w:firstLine="0"/>
        <w:jc w:val="left"/>
      </w:pPr>
      <w:r>
        <w:rPr>
          <w:w w:val="97.55295024198645"/>
          <w:rFonts w:ascii="Times" w:hAnsi="Times" w:eastAsia="Times"/>
          <w:b w:val="0"/>
          <w:i/>
          <w:color w:val="000000"/>
          <w:sz w:val="17"/>
        </w:rPr>
        <w:t>Keywords:</w:t>
      </w:r>
      <w:r>
        <w:rPr>
          <w:w w:val="97.55295024198645"/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computer vision, soccer analysis, player tracking</w:t>
      </w:r>
    </w:p>
    <w:p>
      <w:pPr>
        <w:autoSpaceDN w:val="0"/>
        <w:autoSpaceDE w:val="0"/>
        <w:widowControl/>
        <w:spacing w:line="240" w:lineRule="exact" w:before="474" w:after="0"/>
        <w:ind w:left="24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1"/>
        </w:rPr>
        <w:t>1. Introduction</w:t>
      </w:r>
    </w:p>
    <w:p>
      <w:pPr>
        <w:autoSpaceDN w:val="0"/>
        <w:autoSpaceDE w:val="0"/>
        <w:widowControl/>
        <w:spacing w:line="278" w:lineRule="exact" w:before="244" w:after="0"/>
        <w:ind w:left="240" w:right="190" w:firstLine="252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We aim to develop a system for an automatic analysis of soccer matches that extracts match statistics and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performs tactical analysis from monocular recordings, such as TV broadcasts, which usually exhibit numerous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difficulties. One important task of such a system is the 2D tracking of players in the video images. For this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purpose, we propose a new robust unsupervised online method that provides three main contributions:</w:t>
      </w:r>
    </w:p>
    <w:p>
      <w:pPr>
        <w:autoSpaceDN w:val="0"/>
        <w:autoSpaceDE w:val="0"/>
        <w:widowControl/>
        <w:spacing w:line="212" w:lineRule="exact" w:before="800" w:after="0"/>
        <w:ind w:left="492" w:right="4176" w:firstLine="0"/>
        <w:jc w:val="left"/>
      </w:pPr>
      <w:r>
        <w:rPr>
          <w:w w:val="95.9400003606623"/>
          <w:rFonts w:ascii="TimesNewRomanPSMT" w:hAnsi="TimesNewRomanPSMT" w:eastAsia="TimesNewRomanPSMT"/>
          <w:b w:val="0"/>
          <w:i w:val="0"/>
          <w:color w:val="000000"/>
          <w:sz w:val="11"/>
        </w:rPr>
        <w:t>*</w:t>
      </w:r>
      <w:r>
        <w:rPr>
          <w:w w:val="97.55295024198645"/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Corresponding author. Tel.: +49-89-289-17779; fax: +49-89-289-17757. </w:t>
      </w:r>
      <w:r>
        <w:rPr>
          <w:w w:val="97.55295024198645"/>
          <w:rFonts w:ascii="Times" w:hAnsi="Times" w:eastAsia="Times"/>
          <w:b w:val="0"/>
          <w:i/>
          <w:color w:val="000000"/>
          <w:sz w:val="17"/>
        </w:rPr>
        <w:t>E-mail address:</w:t>
      </w:r>
      <w:r>
        <w:rPr>
          <w:w w:val="97.55295024198645"/>
          <w:rFonts w:ascii="TimesNewRomanPSMT" w:hAnsi="TimesNewRomanPSMT" w:eastAsia="TimesNewRomanPSMT"/>
          <w:b w:val="0"/>
          <w:i w:val="0"/>
          <w:color w:val="000000"/>
          <w:sz w:val="17"/>
        </w:rPr>
        <w:t xml:space="preserve"> michael.herrmann@tum.de</w:t>
      </w:r>
    </w:p>
    <w:p>
      <w:pPr>
        <w:autoSpaceDN w:val="0"/>
        <w:autoSpaceDE w:val="0"/>
        <w:widowControl/>
        <w:spacing w:line="200" w:lineRule="exact" w:before="1540" w:after="0"/>
        <w:ind w:left="0" w:right="1584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2014 The Authors. Published by Elsevier B. V. This is an open access article under the CC BY-NC-ND license </w:t>
      </w:r>
      <w:r>
        <w:rPr>
          <w:rFonts w:ascii="Times" w:hAnsi="Times" w:eastAsia="Times"/>
          <w:b w:val="0"/>
          <w:i w:val="0"/>
          <w:color w:val="221F1F"/>
          <w:sz w:val="16"/>
        </w:rPr>
        <w:t>(</w:t>
      </w:r>
      <w:r>
        <w:rPr>
          <w:rFonts w:ascii="Times" w:hAnsi="Times" w:eastAsia="Times"/>
          <w:b w:val="0"/>
          <w:i w:val="0"/>
          <w:color w:val="363393"/>
          <w:sz w:val="16"/>
        </w:rPr>
        <w:t>http://creativecommons.org/licenses/by-nc-nd/3.0/</w:t>
      </w:r>
      <w:r>
        <w:rPr>
          <w:rFonts w:ascii="Times" w:hAnsi="Times" w:eastAsia="Times"/>
          <w:b w:val="0"/>
          <w:i w:val="0"/>
          <w:color w:val="221F1F"/>
          <w:sz w:val="16"/>
        </w:rPr>
        <w:t>).</w:t>
      </w:r>
    </w:p>
    <w:p>
      <w:pPr>
        <w:autoSpaceDN w:val="0"/>
        <w:autoSpaceDE w:val="0"/>
        <w:widowControl/>
        <w:spacing w:line="200" w:lineRule="exact" w:before="0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Peer-review under responsibility of Scientific Committee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10.1016/j.aasri.2014.08.006 </w:t>
      </w:r>
    </w:p>
    <w:p>
      <w:pPr>
        <w:sectPr>
          <w:pgSz w:w="10885" w:h="14854"/>
          <w:pgMar w:top="438" w:right="616" w:bottom="112" w:left="572" w:header="720" w:footer="720" w:gutter="0"/>
          <w:cols w:space="720" w:num="1" w:equalWidth="0">
            <w:col w:w="96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10.0" w:type="dxa"/>
      </w:tblPr>
      <w:tblGrid>
        <w:gridCol w:w="1899"/>
        <w:gridCol w:w="1899"/>
        <w:gridCol w:w="1899"/>
        <w:gridCol w:w="1899"/>
        <w:gridCol w:w="1899"/>
      </w:tblGrid>
      <w:tr>
        <w:trPr>
          <w:trHeight w:hRule="exact" w:val="346"/>
        </w:trPr>
        <w:tc>
          <w:tcPr>
            <w:tcW w:type="dxa" w:w="21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18870" cy="166624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666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32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Michael Herrmann et al. /  AASRI Procedia  8 ( 2014 )  30 – 37 </w:t>
            </w:r>
          </w:p>
        </w:tc>
        <w:tc>
          <w:tcPr>
            <w:tcW w:type="dxa" w:w="2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48" w:after="0"/>
              <w:ind w:left="11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118870" cy="166624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666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31</w:t>
            </w:r>
          </w:p>
        </w:tc>
      </w:tr>
      <w:tr>
        <w:trPr>
          <w:trHeight w:hRule="exact" w:val="2886"/>
        </w:trPr>
        <w:tc>
          <w:tcPr>
            <w:tcW w:type="dxa" w:w="1899"/>
            <w:vMerge/>
            <w:tcBorders/>
          </w:tcPr>
          <w:p/>
        </w:tc>
        <w:tc>
          <w:tcPr>
            <w:tcW w:type="dxa" w:w="21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18870" cy="166624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666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02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118870" cy="166624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18870" cy="166624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899"/>
            <w:vMerge/>
            <w:tcBorders/>
          </w:tcPr>
          <w:p/>
        </w:tc>
        <w:tc>
          <w:tcPr>
            <w:tcW w:type="dxa" w:w="189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78" w:lineRule="exact" w:before="72" w:after="0"/>
        <w:ind w:left="230" w:right="0" w:firstLine="0"/>
        <w:jc w:val="left"/>
      </w:pPr>
      <w:r>
        <w:rPr>
          <w:w w:val="98.65750074386597"/>
          <w:rFonts w:ascii="TimesNewRomanPSMT" w:hAnsi="TimesNewRomanPSMT" w:eastAsia="TimesNewRomanPSMT"/>
          <w:b w:val="0"/>
          <w:i w:val="0"/>
          <w:color w:val="000000"/>
          <w:sz w:val="16"/>
        </w:rPr>
        <w:t>Figure 1: From left to right: original image, segmentation results, confidence map, and detection results (with confidence values).</w:t>
      </w:r>
    </w:p>
    <w:p>
      <w:pPr>
        <w:autoSpaceDN w:val="0"/>
        <w:autoSpaceDE w:val="0"/>
        <w:widowControl/>
        <w:spacing w:line="266" w:lineRule="exact" w:before="430" w:after="0"/>
        <w:ind w:left="322" w:right="592" w:hanging="240"/>
        <w:jc w:val="both"/>
      </w:pP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 observation model that is based on a combination of soccer-specific features (grass color), match-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specific features (colors of team outfits), and universal features (HOG detector) resulting in a robust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confidence map for player positions (see sections 2 and 3 and Figure 1).</w:t>
      </w:r>
    </w:p>
    <w:p>
      <w:pPr>
        <w:autoSpaceDN w:val="0"/>
        <w:tabs>
          <w:tab w:pos="322" w:val="left"/>
        </w:tabs>
        <w:autoSpaceDE w:val="0"/>
        <w:widowControl/>
        <w:spacing w:line="264" w:lineRule="exact" w:before="14" w:after="0"/>
        <w:ind w:left="82" w:right="576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 efficient measurement model that finds optimal locations on a confidence map starting at predicted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positions of single-target Kalman filters [1] (see section 4).</w:t>
      </w:r>
    </w:p>
    <w:p>
      <w:pPr>
        <w:autoSpaceDN w:val="0"/>
        <w:autoSpaceDE w:val="0"/>
        <w:widowControl/>
        <w:spacing w:line="252" w:lineRule="exact" w:before="24" w:after="0"/>
        <w:ind w:left="82" w:right="0" w:firstLine="0"/>
        <w:jc w:val="left"/>
      </w:pP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 efficient player detection, avoiding time-consuming tracking-by-detection (see section 4).</w:t>
      </w:r>
    </w:p>
    <w:p>
      <w:pPr>
        <w:autoSpaceDN w:val="0"/>
        <w:autoSpaceDE w:val="0"/>
        <w:widowControl/>
        <w:spacing w:line="264" w:lineRule="exact" w:before="0" w:after="0"/>
        <w:ind w:left="82" w:right="59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human tracking, the tracking-by-detection approach is widely used for multi-target tracking (see i.e. [2],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[3]). Human detectors often show low accuracy and poor computational performance for small objects, while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soccer videos, especially in low-resolution records and wide-angle scenes, player heights of 40 pixels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less are quite common. In contrast, kernel-based approaches, such as the mean-shift tracking [4], often require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initialization of the templates and risk drifting away, due to object-specific template adaption.</w:t>
      </w:r>
    </w:p>
    <w:p>
      <w:pPr>
        <w:autoSpaceDN w:val="0"/>
        <w:tabs>
          <w:tab w:pos="322" w:val="left"/>
        </w:tabs>
        <w:autoSpaceDE w:val="0"/>
        <w:widowControl/>
        <w:spacing w:line="266" w:lineRule="exact" w:before="0" w:after="0"/>
        <w:ind w:left="82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Zhang et al. [5] proposed an online method with a combination of tracking-by-detection and kernel-based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tracking and achieved state-of-the-art results using standard pedestrian tracking data sets.</w:t>
      </w:r>
    </w:p>
    <w:p>
      <w:pPr>
        <w:autoSpaceDN w:val="0"/>
        <w:autoSpaceDE w:val="0"/>
        <w:widowControl/>
        <w:spacing w:line="262" w:lineRule="exact" w:before="0" w:after="0"/>
        <w:ind w:left="82" w:right="592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principle, our approach is similar, but we use soccer-specific knowledge to automatically detect players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without an exhaustive sliding-window approach. Our observation model is partially based on the ideas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ASPOGAMO [6], but incorporates more universal features, such as the HOG detector, and does not need any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human-guided initialization. It is similar to the method proposed by [7], which is, however, a stand-alone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player detection and does not incorporate tracking information over time.</w:t>
      </w:r>
    </w:p>
    <w:p>
      <w:pPr>
        <w:autoSpaceDN w:val="0"/>
        <w:autoSpaceDE w:val="0"/>
        <w:widowControl/>
        <w:spacing w:line="230" w:lineRule="exact" w:before="278" w:after="0"/>
        <w:ind w:left="82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2. Preliminaries</w:t>
      </w:r>
    </w:p>
    <w:p>
      <w:pPr>
        <w:autoSpaceDN w:val="0"/>
        <w:autoSpaceDE w:val="0"/>
        <w:widowControl/>
        <w:spacing w:line="270" w:lineRule="exact" w:before="276" w:after="0"/>
        <w:ind w:left="82" w:right="596" w:firstLine="240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>Player positions.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our approach, the position of a player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modeled within an image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time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using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an axis-aligned bounding box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{(�, �) ∈ ℕ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| (�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≤ � &lt;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+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) ∧ (�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≤ � &lt;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+ ℎ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)}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where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(�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,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)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is the upper-left corner and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ℎ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width and height, respectively. A bounding box describes the extent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a player in the image and in our method the aspect ratio is fixed to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0.41ℎ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(see [8]).</w:t>
      </w:r>
    </w:p>
    <w:p>
      <w:pPr>
        <w:autoSpaceDN w:val="0"/>
        <w:autoSpaceDE w:val="0"/>
        <w:widowControl/>
        <w:spacing w:line="258" w:lineRule="exact" w:before="0" w:after="0"/>
        <w:ind w:left="82" w:right="594" w:firstLine="240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>Player segmentation.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Our confidence map is based on segmented player regions in the image and we use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robust grass segmentation method following [9]. This procedure takes as input a RGB image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time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returns an image region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describing the enclosing hull of the playing field, and a foreground region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which, under ideal circumstances, covers the image region of all players in the visible part of the playing field</w:t>
      </w:r>
    </w:p>
    <w:p>
      <w:pPr>
        <w:sectPr>
          <w:pgSz w:w="10885" w:h="14854"/>
          <w:pgMar w:top="368" w:right="540" w:bottom="1100" w:left="850" w:header="720" w:footer="720" w:gutter="0"/>
          <w:cols w:space="720" w:num="1" w:equalWidth="0">
            <w:col w:w="9496" w:space="0"/>
            <w:col w:w="96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292" w:val="left"/>
        </w:tabs>
        <w:autoSpaceDE w:val="0"/>
        <w:widowControl/>
        <w:spacing w:line="180" w:lineRule="exact" w:before="0" w:after="0"/>
        <w:ind w:left="102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32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Michael Herrmann et al. /  AASRI Procedia  8 ( 2014 )  30 – 37 </w:t>
      </w:r>
    </w:p>
    <w:p>
      <w:pPr>
        <w:autoSpaceDN w:val="0"/>
        <w:autoSpaceDE w:val="0"/>
        <w:widowControl/>
        <w:spacing w:line="270" w:lineRule="exact" w:before="328" w:after="0"/>
        <w:ind w:left="340" w:right="288" w:firstLine="0"/>
        <w:jc w:val="left"/>
      </w:pP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(see Figure 1). Due to noise and movement artifacts usually not all players are segmented properly, whereas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parts of other foreground objects, such as field lines, can be included.</w:t>
      </w:r>
    </w:p>
    <w:p>
      <w:pPr>
        <w:autoSpaceDN w:val="0"/>
        <w:autoSpaceDE w:val="0"/>
        <w:widowControl/>
        <w:spacing w:line="270" w:lineRule="exact" w:before="0" w:after="0"/>
        <w:ind w:left="340" w:right="386" w:firstLine="246"/>
        <w:jc w:val="both"/>
      </w:pPr>
      <w:r>
        <w:rPr>
          <w:w w:val="97.86666688464936"/>
          <w:rFonts w:ascii="Times" w:hAnsi="Times" w:eastAsia="Times"/>
          <w:b/>
          <w:i w:val="0"/>
          <w:color w:val="000000"/>
          <w:sz w:val="21"/>
        </w:rPr>
        <w:t>Unsupervised generation of color templates.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According to the FIFA rules [10], the colors of the jerseys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have to be chosen so that the players from different teams, the referees, and the goal keepers are all pairwise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distinguishable. We make use of this fact by initially determining color templates for each type of outfit,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based on color histograms.</w:t>
      </w:r>
    </w:p>
    <w:p>
      <w:pPr>
        <w:autoSpaceDN w:val="0"/>
        <w:autoSpaceDE w:val="0"/>
        <w:widowControl/>
        <w:spacing w:line="236" w:lineRule="exact" w:before="44" w:after="4"/>
        <w:ind w:left="586" w:right="0" w:firstLine="0"/>
        <w:jc w:val="left"/>
      </w:pP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Given the first frame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of a video sequence, our automatic detection procedure (see section 5) returns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9747"/>
      </w:tblGrid>
      <w:tr>
        <w:trPr>
          <w:trHeight w:hRule="exact" w:val="1798"/>
        </w:trPr>
        <w:tc>
          <w:tcPr>
            <w:tcW w:type="dxa" w:w="93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player positions represented by a set of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bounding boxes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≔ 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, … ,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94499492645264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 We extract the set of RGB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color vectors of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for the pixels within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∪ … ∪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94499492645264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 ∩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and cluster this set by applying the k-means++</w:t>
            </w:r>
          </w:p>
          <w:p>
            <w:pPr>
              <w:autoSpaceDN w:val="0"/>
              <w:autoSpaceDE w:val="0"/>
              <w:widowControl/>
              <w:spacing w:line="276" w:lineRule="exact" w:before="24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algorithm [11] using the Euclidean distance. The cluster centers are the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dominant color vectors that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represent the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bins of our color histograms. A color vector is assigned to the bin that is represented by the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nearest dominant color. We divide each bounding box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to its equal-sized top, mid, and bottom parts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and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and calculate three histograms with respect to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∩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∩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and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∩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 This takes</w:t>
            </w:r>
          </w:p>
        </w:tc>
      </w:tr>
    </w:tbl>
    <w:p>
      <w:pPr>
        <w:autoSpaceDN w:val="0"/>
        <w:autoSpaceDE w:val="0"/>
        <w:widowControl/>
        <w:spacing w:line="232" w:lineRule="exact" w:before="6" w:after="20"/>
        <w:ind w:left="0" w:right="0" w:firstLine="0"/>
        <w:jc w:val="center"/>
      </w:pP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into account that a player’s outfit changes from top to bottom, regarding jersey, shorts and socks. Stacking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70.0" w:type="dxa"/>
      </w:tblPr>
      <w:tblGrid>
        <w:gridCol w:w="9747"/>
      </w:tblGrid>
      <w:tr>
        <w:trPr>
          <w:trHeight w:hRule="exact" w:val="894"/>
        </w:trPr>
        <w:tc>
          <w:tcPr>
            <w:tcW w:type="dxa" w:w="9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2" w:after="0"/>
              <w:ind w:left="170" w:right="0" w:firstLine="0"/>
              <w:jc w:val="left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and normalizing result in a feature unit vector with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3�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entries for each bounding box.</w:t>
            </w:r>
          </w:p>
          <w:p>
            <w:pPr>
              <w:autoSpaceDN w:val="0"/>
              <w:autoSpaceDE w:val="0"/>
              <w:widowControl/>
              <w:spacing w:line="276" w:lineRule="exact" w:before="0" w:after="0"/>
              <w:ind w:left="416" w:right="0" w:firstLine="0"/>
              <w:jc w:val="left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To calculate the distance of two normalized histogram vectors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and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we use the Hellinger distance as</w:t>
            </w:r>
          </w:p>
          <w:p>
            <w:pPr>
              <w:autoSpaceDN w:val="0"/>
              <w:autoSpaceDE w:val="0"/>
              <w:widowControl/>
              <w:spacing w:line="262" w:lineRule="exact" w:before="0" w:after="0"/>
              <w:ind w:left="170" w:right="0" w:firstLine="0"/>
              <w:jc w:val="left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proposed by [4] and define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(�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,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≔ 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(�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,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with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(�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,�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∶= 1 −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Σ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101.94499492645264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(�)�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(�)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76" w:lineRule="exact" w:before="0" w:after="0"/>
        <w:ind w:left="340" w:right="384" w:firstLine="246"/>
        <w:jc w:val="both"/>
      </w:pP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We try to estimate the number of different outfits among the given bounding boxes by clustering the set of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histogram vectors using k-means++ with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 = 1, … , 5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(there are five different possible outfits: 2 x players, 2 x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goalkeepers, 1 x referees) using the distance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. We choose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as the smallest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for which the result of the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clustering fulfills our decision criterion: for a given set of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histogram vectors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, … ,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and their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cluster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centers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, … ,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, each vector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is assigned to its cluster center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�(�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)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and we define the minimum distance as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∶= min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(�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, �(�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))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and the maximum distance as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∶= max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(�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,�(�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))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. With the threshold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parameters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and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, our decision criterion is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(�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≤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) ∧ (�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≤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>)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. During tracking each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tracked bounding box is assigned to the outfit class with nearest distance</w:t>
      </w:r>
      <w:r>
        <w:rPr>
          <w:w w:val="97.86666688464936"/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1.36213983808244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at the moment of detection.</w:t>
      </w:r>
    </w:p>
    <w:p>
      <w:pPr>
        <w:autoSpaceDN w:val="0"/>
        <w:autoSpaceDE w:val="0"/>
        <w:widowControl/>
        <w:spacing w:line="264" w:lineRule="exact" w:before="0" w:after="0"/>
        <w:ind w:left="340" w:right="382" w:firstLine="246"/>
        <w:jc w:val="both"/>
      </w:pPr>
      <w:r>
        <w:rPr>
          <w:w w:val="97.86666688464936"/>
          <w:rFonts w:ascii="Times" w:hAnsi="Times" w:eastAsia="Times"/>
          <w:b/>
          <w:i w:val="0"/>
          <w:color w:val="000000"/>
          <w:sz w:val="21"/>
        </w:rPr>
        <w:t>HOG-based human detection.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We trained a human detector based on histograms of oriented gradients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(HOG) according to [12] with some slight modifications to their default detector. We use a 64×128 pixels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detection window with a human size of 41×100 pixels (see [8]). To allow for an efficient calculation, we do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not apply a Gaussian spatial window during the accumulation of the histograms. To avoid soccer-specific </w:t>
      </w:r>
      <w:r>
        <w:rPr>
          <w:w w:val="97.86666688464936"/>
          <w:rFonts w:ascii="TimesNewRomanPSMT" w:hAnsi="TimesNewRomanPSMT" w:eastAsia="TimesNewRomanPSMT"/>
          <w:b w:val="0"/>
          <w:i w:val="0"/>
          <w:color w:val="000000"/>
          <w:sz w:val="21"/>
        </w:rPr>
        <w:t>overfitting, the classifier is trained using the INRIA pedestrian data set [12].</w:t>
      </w:r>
    </w:p>
    <w:p>
      <w:pPr>
        <w:autoSpaceDN w:val="0"/>
        <w:autoSpaceDE w:val="0"/>
        <w:widowControl/>
        <w:spacing w:line="234" w:lineRule="exact" w:before="284" w:after="220"/>
        <w:ind w:left="340" w:right="0" w:firstLine="0"/>
        <w:jc w:val="left"/>
      </w:pPr>
      <w:r>
        <w:rPr>
          <w:w w:val="97.86666688464936"/>
          <w:rFonts w:ascii="Times" w:hAnsi="Times" w:eastAsia="Times"/>
          <w:b/>
          <w:i w:val="0"/>
          <w:color w:val="000000"/>
          <w:sz w:val="21"/>
        </w:rPr>
        <w:t>3. Confidence map for player positions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0.0" w:type="dxa"/>
      </w:tblPr>
      <w:tblGrid>
        <w:gridCol w:w="9747"/>
      </w:tblGrid>
      <w:tr>
        <w:trPr>
          <w:trHeight w:hRule="exact" w:val="1870"/>
        </w:trPr>
        <w:tc>
          <w:tcPr>
            <w:tcW w:type="dxa" w:w="9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60" w:after="0"/>
              <w:ind w:left="436" w:right="0" w:firstLine="0"/>
              <w:jc w:val="left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We construct a function that describes a degree of quality of the image evidence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given a set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≔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94499492645264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of bounding boxes at time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 We assign each bounding box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∈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to the connected component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of the foreground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with the greatest overlap. If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∩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= ∅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we assign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to an empty region. Hence, the</w:t>
            </w:r>
          </w:p>
          <w:p>
            <w:pPr>
              <w:autoSpaceDN w:val="0"/>
              <w:autoSpaceDE w:val="0"/>
              <w:widowControl/>
              <w:spacing w:line="264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result is a set of image regions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≔ {�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94499492645264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}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where each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∈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has a set of assigned bounding boxes</w:t>
            </w:r>
          </w:p>
          <w:p>
            <w:pPr>
              <w:autoSpaceDN w:val="0"/>
              <w:autoSpaceDE w:val="0"/>
              <w:widowControl/>
              <w:spacing w:line="314" w:lineRule="exact" w:before="0" w:after="0"/>
              <w:ind w:left="0" w:right="0" w:firstLine="0"/>
              <w:jc w:val="center"/>
            </w:pP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≔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94499492645264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. In the following, fractions are only calculated if the denominator is not zero.</w:t>
            </w:r>
          </w:p>
          <w:p>
            <w:pPr>
              <w:autoSpaceDN w:val="0"/>
              <w:autoSpaceDE w:val="0"/>
              <w:widowControl/>
              <w:spacing w:line="260" w:lineRule="exact" w:before="0" w:after="0"/>
              <w:ind w:left="0" w:right="0" w:firstLine="0"/>
              <w:jc w:val="center"/>
            </w:pP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Otherwise, they are omitted. We perform all calculations for each region</w:t>
            </w:r>
            <w:r>
              <w:rPr>
                <w:w w:val="97.86666688464936"/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1.36213983808244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97.86666688464936"/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and its assigned bounding boxes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1036" w:left="550" w:header="720" w:footer="720" w:gutter="0"/>
          <w:cols w:space="720" w:num="1" w:equalWidth="0">
            <w:col w:w="9748" w:space="0"/>
            <w:col w:w="9496" w:space="0"/>
            <w:col w:w="96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460" w:val="left"/>
        </w:tabs>
        <w:autoSpaceDE w:val="0"/>
        <w:widowControl/>
        <w:spacing w:line="176" w:lineRule="exact" w:before="0" w:after="0"/>
        <w:ind w:left="2926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Michael Herrmann et al. /  AASRI Procedia  8 ( 2014 )  30 – 37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33</w:t>
      </w:r>
    </w:p>
    <w:p>
      <w:pPr>
        <w:autoSpaceDN w:val="0"/>
        <w:autoSpaceDE w:val="0"/>
        <w:widowControl/>
        <w:spacing w:line="284" w:lineRule="exact" w:before="340" w:after="0"/>
        <w:ind w:left="30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independently. For the purpose of clearness we omit the index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and set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≔ �(�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) ∈ ℕ ∖ {0}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. In most cases</w:t>
      </w:r>
    </w:p>
    <w:p>
      <w:pPr>
        <w:autoSpaceDN w:val="0"/>
        <w:autoSpaceDE w:val="0"/>
        <w:widowControl/>
        <w:spacing w:line="276" w:lineRule="exact" w:before="44" w:after="0"/>
        <w:ind w:left="0" w:right="0" w:firstLine="0"/>
        <w:jc w:val="center"/>
      </w:pPr>
      <w:r>
        <w:rPr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= 1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. Cases with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&gt; 1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occur for example if one player is partly occluded by another player in the image.</w:t>
      </w:r>
    </w:p>
    <w:p>
      <w:pPr>
        <w:autoSpaceDN w:val="0"/>
        <w:autoSpaceDE w:val="0"/>
        <w:widowControl/>
        <w:spacing w:line="268" w:lineRule="exact" w:before="0" w:after="190"/>
        <w:ind w:left="302" w:right="204" w:firstLine="248"/>
        <w:jc w:val="both"/>
      </w:pPr>
      <w:r>
        <w:rPr>
          <w:rFonts w:ascii="Times" w:hAnsi="Times" w:eastAsia="Times"/>
          <w:b/>
          <w:i w:val="0"/>
          <w:color w:val="000000"/>
          <w:sz w:val="21"/>
        </w:rPr>
        <w:t>Region-based evidence.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Our region-based features are inspired by the compactness constraint and the size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constraint of [6] and are based on the assumption that an image region of one or more players should be fully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covered by bounding boxes. The coverage feature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describes the degree of coverage of the connected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component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by the union of the bounding boxes and is defined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03" w:type="dxa"/>
      </w:tblPr>
      <w:tblGrid>
        <w:gridCol w:w="9709"/>
      </w:tblGrid>
      <w:tr>
        <w:trPr>
          <w:trHeight w:hRule="exact" w:val="2142"/>
        </w:trPr>
        <w:tc>
          <w:tcPr>
            <w:tcW w:type="dxa" w:w="94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0" w:right="0" w:firstLine="0"/>
              <w:jc w:val="center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≔ area�(��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∪ … ∪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) ∩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 /area(�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</w:t>
            </w:r>
          </w:p>
          <w:p>
            <w:pPr>
              <w:autoSpaceDN w:val="0"/>
              <w:autoSpaceDE w:val="0"/>
              <w:widowControl/>
              <w:spacing w:line="280" w:lineRule="exact" w:before="272" w:after="0"/>
              <w:ind w:left="4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The over-coverage feature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penalizes regions inside the bounding boxes that are not covered by the</w:t>
            </w:r>
          </w:p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foreground region. To favor positions where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is evenly spread along the horizontal axis, each bounding box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160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is divided to the upper half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and the lower half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and we define</w:t>
            </w:r>
          </w:p>
          <w:p>
            <w:pPr>
              <w:autoSpaceDN w:val="0"/>
              <w:autoSpaceDE w:val="0"/>
              <w:widowControl/>
              <w:spacing w:line="346" w:lineRule="exact" w:before="154" w:after="0"/>
              <w:ind w:left="2142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≔ 1 − max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max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�∈{�,�}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area(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\�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)/area(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30" w:lineRule="exact" w:before="264" w:after="184"/>
        <w:ind w:left="302" w:right="144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The overlap feature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takes into account that in general the bounding boxes of two players do not fully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overlap (except in the rare case of full occlusion). It is defined 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42.00000000000003" w:type="dxa"/>
      </w:tblPr>
      <w:tblGrid>
        <w:gridCol w:w="4854"/>
        <w:gridCol w:w="4854"/>
      </w:tblGrid>
      <w:tr>
        <w:trPr>
          <w:trHeight w:hRule="exact" w:val="1988"/>
        </w:trPr>
        <w:tc>
          <w:tcPr>
            <w:tcW w:type="dxa" w:w="9460"/>
            <w:gridSpan w:val="2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0" w:after="0"/>
              <w:ind w:left="2340" w:right="0" w:firstLine="0"/>
              <w:jc w:val="lef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≔ 1 − max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�,�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area(��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∩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)/area(��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∪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</w:t>
            </w:r>
          </w:p>
          <w:p>
            <w:pPr>
              <w:autoSpaceDN w:val="0"/>
              <w:autoSpaceDE w:val="0"/>
              <w:widowControl/>
              <w:spacing w:line="284" w:lineRule="exact" w:before="274" w:after="0"/>
              <w:ind w:left="408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1"/>
              </w:rPr>
              <w:t>Color-based evidence.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The color-based confidence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is based on the dominant colors and the outfit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classes (see section 2). The normalized color histogram vector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∈ ℝ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is calculated with respect to</w:t>
            </w:r>
          </w:p>
          <w:p>
            <w:pPr>
              <w:autoSpaceDN w:val="0"/>
              <w:autoSpaceDE w:val="0"/>
              <w:widowControl/>
              <w:spacing w:line="284" w:lineRule="exact" w:before="0" w:after="0"/>
              <w:ind w:left="0" w:right="0" w:firstLine="0"/>
              <w:jc w:val="center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∩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 We set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∶=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, if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area(�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&gt; 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 Otherwise,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is the largest axis-aligned inner ellipse of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 Each</w:t>
            </w:r>
          </w:p>
          <w:p>
            <w:pPr>
              <w:autoSpaceDN w:val="0"/>
              <w:autoSpaceDE w:val="0"/>
              <w:widowControl/>
              <w:spacing w:line="286" w:lineRule="exact" w:before="0" w:after="0"/>
              <w:ind w:left="16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bounding box has an assigned outfit class with histogram vector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∈ ℝ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 xml:space="preserve"> and we define</w:t>
            </w:r>
          </w:p>
        </w:tc>
      </w:tr>
      <w:tr>
        <w:trPr>
          <w:trHeight w:hRule="exact" w:val="150"/>
        </w:trPr>
        <w:tc>
          <w:tcPr>
            <w:tcW w:type="dxa" w:w="5020"/>
            <w:tcBorders>
              <w:bottom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/>
        </w:tc>
        <w:tc>
          <w:tcPr>
            <w:tcW w:type="dxa" w:w="4440"/>
            <w:vMerge w:val="restart"/>
            <w:tcBorders/>
            <w:shd w:fill="ffffff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2" w:val="left"/>
                <w:tab w:pos="470" w:val="left"/>
                <w:tab w:pos="1414" w:val="left"/>
                <w:tab w:pos="1998" w:val="left"/>
                <w:tab w:pos="2248" w:val="left"/>
              </w:tabs>
              <w:autoSpaceDE w:val="0"/>
              <w:widowControl/>
              <w:spacing w:line="208" w:lineRule="exact" w:before="132" w:after="0"/>
              <w:ind w:left="42" w:right="2016" w:firstLine="0"/>
              <w:jc w:val="left"/>
            </w:pP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��</w:t>
            </w:r>
            <w:r>
              <w:br/>
            </w:r>
            <w:r>
              <w:tab/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��(��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), �(��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</w:t>
            </w:r>
          </w:p>
        </w:tc>
      </w:tr>
      <w:tr>
        <w:trPr>
          <w:trHeight w:hRule="exact" w:val="458"/>
        </w:trPr>
        <w:tc>
          <w:tcPr>
            <w:tcW w:type="dxa" w:w="5020"/>
            <w:tcBorders>
              <w:top w:sz="5.599999999999909" w:val="single" w:color="#000000"/>
            </w:tcBorders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6" w:lineRule="auto" w:before="46" w:after="0"/>
              <w:ind w:left="0" w:right="22" w:firstLine="0"/>
              <w:jc w:val="righ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≔ 1 −</w:t>
            </w:r>
          </w:p>
        </w:tc>
        <w:tc>
          <w:tcPr>
            <w:tcW w:type="dxa" w:w="485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94" w:lineRule="exact" w:before="236" w:after="0"/>
        <w:ind w:left="302" w:right="206" w:firstLine="248"/>
        <w:jc w:val="both"/>
      </w:pPr>
      <w:r>
        <w:rPr>
          <w:rFonts w:ascii="Times" w:hAnsi="Times" w:eastAsia="Times"/>
          <w:b/>
          <w:i w:val="0"/>
          <w:color w:val="000000"/>
          <w:sz w:val="21"/>
        </w:rPr>
        <w:t>HOG-based evidence.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We use a human detector, trained as described in section 2. A resized sub-image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with size of 64×128 pixels is generated for each bounding box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, so that the height of the bounding box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corresponds to 100 pixels in the sub-image, the sub-image has the same center point as the bounding box, and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the aspect ratio of the pixels remains unchanged. This sub-image is used to perform a classification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human detector. The result of the classifier is a decision value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(�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) ∈ ℝ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, which is mapped using the</w:t>
      </w:r>
    </w:p>
    <w:p>
      <w:pPr>
        <w:autoSpaceDN w:val="0"/>
        <w:autoSpaceDE w:val="0"/>
        <w:widowControl/>
        <w:spacing w:line="296" w:lineRule="exact" w:before="0" w:after="304"/>
        <w:ind w:left="302" w:right="14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parameters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and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to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���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|�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,�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� ≔ (�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(��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) −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)/(�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− 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. The confidence is defined by the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geometric mean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22.0" w:type="dxa"/>
      </w:tblPr>
      <w:tblGrid>
        <w:gridCol w:w="4854"/>
        <w:gridCol w:w="4854"/>
      </w:tblGrid>
      <w:tr>
        <w:trPr>
          <w:trHeight w:hRule="exact" w:val="477"/>
        </w:trPr>
        <w:tc>
          <w:tcPr>
            <w:tcW w:type="dxa" w:w="3600"/>
            <w:tcBorders>
              <w:top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8" w:lineRule="auto" w:before="62" w:after="0"/>
              <w:ind w:left="0" w:right="26" w:firstLine="0"/>
              <w:jc w:val="righ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… , 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) ≔</w:t>
            </w:r>
          </w:p>
        </w:tc>
        <w:tc>
          <w:tcPr>
            <w:tcW w:type="dxa" w:w="4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68" w:val="left"/>
                <w:tab w:pos="482" w:val="left"/>
                <w:tab w:pos="2164" w:val="left"/>
                <w:tab w:pos="2524" w:val="left"/>
                <w:tab w:pos="3372" w:val="left"/>
              </w:tabs>
              <w:autoSpaceDE w:val="0"/>
              <w:widowControl/>
              <w:spacing w:line="208" w:lineRule="exact" w:before="0" w:after="0"/>
              <w:ind w:left="48" w:right="720" w:firstLine="0"/>
              <w:jc w:val="left"/>
            </w:pP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��</w:t>
            </w:r>
            <w:r>
              <w:br/>
            </w:r>
            <w:r>
              <w:tab/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99833520253499"/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max (1, min(0,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Times" w:hAnsi="Times" w:eastAsia="Times"/>
                <w:b w:val="0"/>
                <w:i/>
                <w:color w:val="000000"/>
                <w:sz w:val="14"/>
              </w:rPr>
              <w:t>′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 ���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|�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>, �</w:t>
            </w:r>
            <w:r>
              <w:rPr>
                <w:w w:val="103.40356826782227"/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1"/>
              </w:rPr>
              <w:t xml:space="preserve">�)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1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310" w:lineRule="exact" w:before="210" w:after="0"/>
        <w:ind w:left="302" w:right="204" w:firstLine="248"/>
        <w:jc w:val="both"/>
      </w:pPr>
      <w:r>
        <w:rPr>
          <w:rFonts w:ascii="Times" w:hAnsi="Times" w:eastAsia="Times"/>
          <w:b/>
          <w:i w:val="0"/>
          <w:color w:val="000000"/>
          <w:sz w:val="21"/>
        </w:rPr>
        <w:t>Gating.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 During tracking we additionally incorporate a gating term, based on the distance to the predicted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location of the tracker (if available). For each bounding box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, we calculate the Euclidean distance of its 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center point to the center point of the corresponding predicted bounding box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21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w w:val="103.40356826782227"/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1"/>
        </w:rPr>
        <w:t>, normalized by the length of</w:t>
      </w:r>
    </w:p>
    <w:p>
      <w:pPr>
        <w:sectPr>
          <w:pgSz w:w="10885" w:h="14854"/>
          <w:pgMar w:top="368" w:right="578" w:bottom="636" w:left="598" w:header="720" w:footer="720" w:gutter="0"/>
          <w:cols w:space="720" w:num="1" w:equalWidth="0">
            <w:col w:w="9710" w:space="0"/>
            <w:col w:w="9748" w:space="0"/>
            <w:col w:w="9496" w:space="0"/>
            <w:col w:w="96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50.0" w:type="dxa"/>
      </w:tblPr>
      <w:tblGrid>
        <w:gridCol w:w="4873"/>
        <w:gridCol w:w="4873"/>
      </w:tblGrid>
      <w:tr>
        <w:trPr>
          <w:trHeight w:hRule="exact" w:val="1736"/>
        </w:trPr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34</w:t>
            </w:r>
          </w:p>
        </w:tc>
        <w:tc>
          <w:tcPr>
            <w:tcW w:type="dxa" w:w="9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27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Michael Herrmann et al. /  AASRI Procedia  8 ( 2014 )  30 – 37 </w:t>
            </w:r>
          </w:p>
          <w:p>
            <w:pPr>
              <w:autoSpaceDN w:val="0"/>
              <w:autoSpaceDE w:val="0"/>
              <w:widowControl/>
              <w:spacing w:line="346" w:lineRule="exact" w:before="274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diagonal of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 trimmed to a maximum value of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The gating confidence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defined by one minus</w:t>
            </w:r>
          </w:p>
          <w:p>
            <w:pPr>
              <w:autoSpaceDN w:val="0"/>
              <w:autoSpaceDE w:val="0"/>
              <w:widowControl/>
              <w:spacing w:line="272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mean distance of the bounding boxes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… , 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their corresponding predictions.</w:t>
            </w:r>
          </w:p>
          <w:p>
            <w:pPr>
              <w:autoSpaceDN w:val="0"/>
              <w:autoSpaceDE w:val="0"/>
              <w:widowControl/>
              <w:spacing w:line="25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Ensemble averaging.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The single features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, � ∈ {1, … 6}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are combined by weighted ensemble averaging</w:t>
            </w:r>
          </w:p>
          <w:p>
            <w:pPr>
              <w:autoSpaceDN w:val="0"/>
              <w:autoSpaceDE w:val="0"/>
              <w:widowControl/>
              <w:spacing w:line="274" w:lineRule="exact" w:before="0" w:after="0"/>
              <w:ind w:left="7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using the weights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, � ∈ {1, … 6}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resulting in the overall confidence function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… , 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which we</w:t>
            </w:r>
          </w:p>
        </w:tc>
      </w:tr>
    </w:tbl>
    <w:p>
      <w:pPr>
        <w:autoSpaceDN w:val="0"/>
        <w:autoSpaceDE w:val="0"/>
        <w:widowControl/>
        <w:spacing w:line="226" w:lineRule="exact" w:before="8" w:after="174"/>
        <w:ind w:left="38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define as follows: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90.0" w:type="dxa"/>
      </w:tblPr>
      <w:tblGrid>
        <w:gridCol w:w="9747"/>
      </w:tblGrid>
      <w:tr>
        <w:trPr>
          <w:trHeight w:hRule="exact" w:val="950"/>
        </w:trPr>
        <w:tc>
          <w:tcPr>
            <w:tcW w:type="dxa" w:w="928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0" w:lineRule="exact" w:before="4" w:after="0"/>
              <w:ind w:left="0" w:right="2380" w:firstLine="0"/>
              <w:jc w:val="right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… , 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) ≔ 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(��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… , 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)/��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</w:t>
            </w:r>
          </w:p>
          <w:p>
            <w:pPr>
              <w:autoSpaceDN w:val="0"/>
              <w:autoSpaceDE w:val="0"/>
              <w:widowControl/>
              <w:spacing w:line="330" w:lineRule="exact" w:before="16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Note that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… , 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) ∈ [0;1]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because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∀�:�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… , ��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2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,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 ∈ [0;1]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. For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= ∅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we set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≔ 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and</w:t>
            </w:r>
          </w:p>
        </w:tc>
      </w:tr>
    </w:tbl>
    <w:p>
      <w:pPr>
        <w:autoSpaceDN w:val="0"/>
        <w:autoSpaceDE w:val="0"/>
        <w:widowControl/>
        <w:spacing w:line="264" w:lineRule="exact" w:before="12" w:after="0"/>
        <w:ind w:left="386" w:right="0" w:firstLine="0"/>
        <w:jc w:val="left"/>
      </w:pPr>
      <w:r>
        <w:rPr>
          <w:rFonts w:ascii="CambriaMath" w:hAnsi="CambriaMath" w:eastAsia="CambriaMath"/>
          <w:b w:val="0"/>
          <w:i w:val="0"/>
          <w:color w:val="000000"/>
          <w:sz w:val="20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 if there is only one object (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= 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), we omit the overlap feature and set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0" w:after="0"/>
        <w:ind w:left="386" w:right="548" w:firstLine="240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>Maximization of the confidence.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every new time step, we search for positions with a local maximum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on the confidence map near the Kalman predictions. To keep the number of calculations low, we propose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simple greedy heuristic: we iteratively optimize the confidence with respect to the positions of the bounding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boxes, while their sizes and the region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remain fixed, thus for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bounding boxes, we have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2�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variables. In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each iteration of the maximization procedure, we evaluate the confidence map at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2�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+ 1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positions near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current position and determine the position with the highest confidence value. If this value is higher than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value at the current position, the iteration continues, starting at the best position. Otherwise, the iteration stops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the current position as the result. Usually, our efficient greedy approach stops after 2-3 iterations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shows, however, satisfactory results.</w:t>
      </w:r>
    </w:p>
    <w:p>
      <w:pPr>
        <w:autoSpaceDN w:val="0"/>
        <w:autoSpaceDE w:val="0"/>
        <w:widowControl/>
        <w:spacing w:line="256" w:lineRule="exact" w:before="48" w:after="0"/>
        <w:ind w:left="386" w:right="55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2�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+ 1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positions in the neighborhood arise as follows: first the gradient of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approximated using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finite forward difference (with step size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Δ� ≔ 8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), which results in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2�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evaluations of the confidence map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(instead of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4�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using central difference). Then one step (likewise with step size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Δ�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in the direction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gradient is taken for the remaining evaluation.</w:t>
      </w:r>
    </w:p>
    <w:p>
      <w:pPr>
        <w:autoSpaceDN w:val="0"/>
        <w:autoSpaceDE w:val="0"/>
        <w:widowControl/>
        <w:spacing w:line="264" w:lineRule="exact" w:before="0" w:after="0"/>
        <w:ind w:left="386" w:right="548" w:firstLine="240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>Measurement of object size.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Mainly due to perspective projection the size of a player in the image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depends on the image position. To enforce consistency, we normalize the sizes of the predicted bounding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boxes before the maximization step. For this purpose, we fit a linear model using a least-squares approach,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where the height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ℎ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dependent and the coordinate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 the independent variable. Afterwards, the height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of each bounding box is adapted according to this model and the width is determined by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 ≔ 0.41ℎ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(see [8]).</w:t>
      </w:r>
    </w:p>
    <w:p>
      <w:pPr>
        <w:autoSpaceDN w:val="0"/>
        <w:autoSpaceDE w:val="0"/>
        <w:widowControl/>
        <w:spacing w:line="296" w:lineRule="exact" w:before="0" w:after="0"/>
        <w:ind w:left="386" w:right="55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After the maximization step, for each bounding box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we iterate several steps of scale with respect to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original size and take the size with the best confidence value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 a resulting measurement, which results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the final measurement quality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���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� ≔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28" w:lineRule="exact" w:before="274" w:after="0"/>
        <w:ind w:left="386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4. Player tracking</w:t>
      </w:r>
    </w:p>
    <w:p>
      <w:pPr>
        <w:autoSpaceDN w:val="0"/>
        <w:autoSpaceDE w:val="0"/>
        <w:widowControl/>
        <w:spacing w:line="262" w:lineRule="exact" w:before="236" w:after="20"/>
        <w:ind w:left="386" w:right="550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We perform multi-target tracking by applying a single-target Kalman filter [1] for each tracked bounding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box. A new measurement is generated by an optimization step with respect to the confidence map using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Kalman prediction as the starting position. The detection of new and lost targets is performed with the help of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deterministic heuristics, which are guided by the confidence map.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10.0" w:type="dxa"/>
      </w:tblPr>
      <w:tblGrid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  <w:gridCol w:w="696"/>
      </w:tblGrid>
      <w:tr>
        <w:trPr>
          <w:trHeight w:hRule="exact" w:val="27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90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and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measurement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model.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state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player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0" w:firstLine="0"/>
              <w:jc w:val="center"/>
            </w:pP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is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represented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by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6" w:lineRule="exact" w:before="22" w:after="0"/>
              <w:ind w:left="10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six-tuple</w:t>
            </w:r>
          </w:p>
        </w:tc>
      </w:tr>
    </w:tbl>
    <w:p>
      <w:pPr>
        <w:autoSpaceDN w:val="0"/>
        <w:autoSpaceDE w:val="0"/>
        <w:widowControl/>
        <w:spacing w:line="230" w:lineRule="exact" w:before="50" w:after="0"/>
        <w:ind w:left="386" w:right="432" w:firstLine="0"/>
        <w:jc w:val="left"/>
      </w:pPr>
      <w:r>
        <w:rPr>
          <w:rFonts w:ascii="CambriaMath" w:hAnsi="CambriaMath" w:eastAsia="CambriaMath"/>
          <w:b w:val="0"/>
          <w:i w:val="0"/>
          <w:color w:val="000000"/>
          <w:sz w:val="20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(�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�̇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�̇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ℎ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)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where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and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ℎ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the parameters of the bounding box, and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�̇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�̇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the velocity in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and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respectively. We apply a constant size and constant velocity model. Thus, the changes</w:t>
      </w:r>
    </w:p>
    <w:p>
      <w:pPr>
        <w:sectPr>
          <w:pgSz w:w="10885" w:h="14854"/>
          <w:pgMar w:top="368" w:right="588" w:bottom="970" w:left="550" w:header="720" w:footer="720" w:gutter="0"/>
          <w:cols w:space="720" w:num="1" w:equalWidth="0">
            <w:col w:w="9748" w:space="0"/>
            <w:col w:w="9710" w:space="0"/>
            <w:col w:w="9748" w:space="0"/>
            <w:col w:w="9496" w:space="0"/>
            <w:col w:w="96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378" w:val="left"/>
        </w:tabs>
        <w:autoSpaceDE w:val="0"/>
        <w:widowControl/>
        <w:spacing w:line="176" w:lineRule="exact" w:before="0" w:after="0"/>
        <w:ind w:left="2844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Michael Herrmann et al. /  AASRI Procedia  8 ( 2014 )  30 – 37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35</w:t>
      </w:r>
    </w:p>
    <w:p>
      <w:pPr>
        <w:autoSpaceDN w:val="0"/>
        <w:autoSpaceDE w:val="0"/>
        <w:widowControl/>
        <w:spacing w:line="228" w:lineRule="exact" w:before="360" w:after="18"/>
        <w:ind w:left="0" w:right="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size and the acceleration of the objects are implicitly modeled by the process noise. Measurements are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00.0" w:type="dxa"/>
      </w:tblPr>
      <w:tblGrid>
        <w:gridCol w:w="9665"/>
      </w:tblGrid>
      <w:tr>
        <w:trPr>
          <w:trHeight w:hRule="exact" w:val="1080"/>
        </w:trPr>
        <w:tc>
          <w:tcPr>
            <w:tcW w:type="dxa" w:w="92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8" w:after="0"/>
              <w:ind w:left="23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performed for the position and the size variables.</w:t>
            </w:r>
          </w:p>
          <w:p>
            <w:pPr>
              <w:autoSpaceDN w:val="0"/>
              <w:autoSpaceDE w:val="0"/>
              <w:widowControl/>
              <w:spacing w:line="282" w:lineRule="exact" w:before="0" w:after="0"/>
              <w:ind w:left="230" w:right="174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Loss and detection of players during tracking.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During tracking a tracked bounding box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removed if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its measurement quality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�(�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is below a threshold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20"/>
              </w:rPr>
              <w:t xml:space="preserve"> �</w:t>
            </w:r>
            <w:r>
              <w:rPr>
                <w:rFonts w:ascii="CambriaMath" w:hAnsi="CambriaMath" w:eastAsia="CambriaMath"/>
                <w:b w:val="0"/>
                <w:i w:val="0"/>
                <w:color w:val="000000"/>
                <w:sz w:val="14"/>
              </w:rPr>
              <w:t>����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in two frames in a row or if it has a significant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overlap with another tracked bounding box (with higher measurement quality) in more than four frames in a</w:t>
            </w:r>
          </w:p>
        </w:tc>
      </w:tr>
    </w:tbl>
    <w:p>
      <w:pPr>
        <w:autoSpaceDN w:val="0"/>
        <w:autoSpaceDE w:val="0"/>
        <w:widowControl/>
        <w:spacing w:line="228" w:lineRule="exact" w:before="20" w:after="0"/>
        <w:ind w:left="43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row.</w:t>
      </w:r>
    </w:p>
    <w:p>
      <w:pPr>
        <w:autoSpaceDN w:val="0"/>
        <w:autoSpaceDE w:val="0"/>
        <w:widowControl/>
        <w:spacing w:line="280" w:lineRule="exact" w:before="0" w:after="0"/>
        <w:ind w:left="430" w:right="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In return, connected components that fulfill some size constraints according to the linear size model are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considered as single player candidates and for these positions the confidence map is evaluated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maximized. Single player candidates that have a measurement quality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�(�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)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greater than or equal to a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threshold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������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in two frames in a row are added to the tracked bounding boxes.</w:t>
      </w:r>
    </w:p>
    <w:p>
      <w:pPr>
        <w:autoSpaceDN w:val="0"/>
        <w:autoSpaceDE w:val="0"/>
        <w:widowControl/>
        <w:spacing w:line="264" w:lineRule="exact" w:before="0" w:after="0"/>
        <w:ind w:left="430" w:right="376" w:firstLine="240"/>
        <w:jc w:val="both"/>
      </w:pPr>
      <w:r>
        <w:rPr>
          <w:rFonts w:ascii="Times" w:hAnsi="Times" w:eastAsia="Times"/>
          <w:b/>
          <w:i w:val="0"/>
          <w:color w:val="000000"/>
          <w:sz w:val="20"/>
        </w:rPr>
        <w:t>Initial player detection.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For the initial player detection, we select connected components of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foreground region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an appropriate orientation and aspect ratio as single player candidates. In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neighborhood of each candidate, we perform a sliding-window human detection with a scale space which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depends on the size of the candidate region. The positive detections are used to fit our linear size model.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human detection is repeated in the neighborhood of all connected components of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with a restricted scale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space depending on the position of the region in the image. Again, the positive detections are used to fit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size model and to estimate the team histograms (see section 2). These detections are the starting point for the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first maximization step resulting in the initial player positions.</w:t>
      </w:r>
    </w:p>
    <w:p>
      <w:pPr>
        <w:autoSpaceDN w:val="0"/>
        <w:autoSpaceDE w:val="0"/>
        <w:widowControl/>
        <w:spacing w:line="230" w:lineRule="exact" w:before="280" w:after="0"/>
        <w:ind w:left="43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0"/>
        </w:rPr>
        <w:t>5. Implementation details and evaluation results</w:t>
      </w:r>
    </w:p>
    <w:p>
      <w:pPr>
        <w:autoSpaceDN w:val="0"/>
        <w:tabs>
          <w:tab w:pos="670" w:val="left"/>
        </w:tabs>
        <w:autoSpaceDE w:val="0"/>
        <w:widowControl/>
        <w:spacing w:line="268" w:lineRule="exact" w:before="274" w:after="0"/>
        <w:ind w:left="430" w:right="288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In our implementation we set the number of dominant colors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64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as an estimated upper bound for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five outfits with each three four-colored parts (jersey, short, socks). The other parameters are determined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empirically and set as follows: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0.1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���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0.25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−4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0.5,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0.75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0.4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0.05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1.0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0.05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����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≔ 0.35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, and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������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∶= 0.7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. We evaluate our system with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the help of MOTA and MOTP [13] and use manually annotated ground truth of the following video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sequences: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German – Holland, TV broadcast, SD, 37s, 925 frames (</w:t>
      </w:r>
      <w:r>
        <w:rPr>
          <w:rFonts w:ascii="Times" w:hAnsi="Times" w:eastAsia="Times"/>
          <w:b/>
          <w:i w:val="0"/>
          <w:color w:val="000000"/>
          <w:sz w:val="20"/>
        </w:rPr>
        <w:t>GH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Bayern Munich – OSC Lille, TV broadcast, HD, 15s, 752 frames (</w:t>
      </w:r>
      <w:r>
        <w:rPr>
          <w:rFonts w:ascii="Times" w:hAnsi="Times" w:eastAsia="Times"/>
          <w:b/>
          <w:i w:val="0"/>
          <w:color w:val="000000"/>
          <w:sz w:val="20"/>
        </w:rPr>
        <w:t>BL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br/>
      </w: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ISSIA-CNR Camera 3, static camera, Full-HD, 120s, 3000 frames, online available [14] (</w:t>
      </w:r>
      <w:r>
        <w:rPr>
          <w:rFonts w:ascii="Times" w:hAnsi="Times" w:eastAsia="Times"/>
          <w:b/>
          <w:i w:val="0"/>
          <w:color w:val="000000"/>
          <w:sz w:val="20"/>
        </w:rPr>
        <w:t>ISSIA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)</w:t>
      </w:r>
      <w:r>
        <w:rPr>
          <w:rFonts w:ascii="SymbolMT" w:hAnsi="SymbolMT" w:eastAsia="SymbolMT"/>
          <w:b w:val="0"/>
          <w:i w:val="0"/>
          <w:color w:val="000000"/>
          <w:sz w:val="20"/>
        </w:rPr>
        <w:t>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 VS-PETS Camera 3 Test, static camera, 720×576, 100s, 2500 frames, online available [15] (</w:t>
      </w:r>
      <w:r>
        <w:rPr>
          <w:rFonts w:ascii="Times" w:hAnsi="Times" w:eastAsia="Times"/>
          <w:b/>
          <w:i w:val="0"/>
          <w:color w:val="000000"/>
          <w:sz w:val="20"/>
        </w:rPr>
        <w:t>VS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Ground-truth and tracked bounding boxes are fixed to an aspect ratio 0.41:1 as proposed in [8]. Some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annotated targets that are outside the field (like coaches and linesman), as well as ground-truth bounding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boxes that are cropped by the image boundaries, are added to an ignore list, i.e. they don’t need to be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matched, but it is not an error if they are matched.</w:t>
      </w:r>
    </w:p>
    <w:p>
      <w:pPr>
        <w:autoSpaceDN w:val="0"/>
        <w:autoSpaceDE w:val="0"/>
        <w:widowControl/>
        <w:spacing w:line="266" w:lineRule="exact" w:before="0" w:after="0"/>
        <w:ind w:left="430" w:right="376" w:firstLine="24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Our baseline is the publicly available tracker of Zhang et al. [5], which achieves state-of-the-art tracking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results on pedestrian tracking datasets. We used the standard parameter values which come with the source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code, except the HOG_DETECT_FRAME_RATIO, which we set to 2 for BL and ISSIA, and to 3 for GH and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VS allowing to detect small players. As the detector of this tracking procedure generates a lot of false positive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detections in the audience area, we ignore all its tracked objects outside our field hull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CambriaMath" w:hAnsi="CambriaMath" w:eastAsia="CambriaMath"/>
          <w:b w:val="0"/>
          <w:i w:val="0"/>
          <w:color w:val="000000"/>
          <w:sz w:val="14"/>
        </w:rPr>
        <w:t>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at time</w:t>
      </w:r>
      <w:r>
        <w:rPr>
          <w:rFonts w:ascii="CambriaMath" w:hAnsi="CambriaMath" w:eastAsia="CambriaMath"/>
          <w:b w:val="0"/>
          <w:i w:val="0"/>
          <w:color w:val="000000"/>
          <w:sz w:val="20"/>
        </w:rPr>
        <w:t xml:space="preserve"> �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.</w:t>
      </w:r>
    </w:p>
    <w:p>
      <w:pPr>
        <w:sectPr>
          <w:pgSz w:w="10885" w:h="14854"/>
          <w:pgMar w:top="368" w:right="540" w:bottom="1160" w:left="680" w:header="720" w:footer="720" w:gutter="0"/>
          <w:cols w:space="720" w:num="1" w:equalWidth="0">
            <w:col w:w="9666" w:space="0"/>
            <w:col w:w="9748" w:space="0"/>
            <w:col w:w="9710" w:space="0"/>
            <w:col w:w="9748" w:space="0"/>
            <w:col w:w="9496" w:space="0"/>
            <w:col w:w="96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929"/>
        <w:gridCol w:w="1929"/>
        <w:gridCol w:w="1929"/>
        <w:gridCol w:w="1929"/>
        <w:gridCol w:w="1929"/>
      </w:tblGrid>
      <w:tr>
        <w:trPr>
          <w:trHeight w:hRule="exact" w:val="366"/>
        </w:trPr>
        <w:tc>
          <w:tcPr>
            <w:tcW w:type="dxa" w:w="24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0" w:lineRule="exact" w:before="0" w:after="0"/>
              <w:ind w:left="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36</w:t>
            </w:r>
          </w:p>
        </w:tc>
        <w:tc>
          <w:tcPr>
            <w:tcW w:type="dxa" w:w="22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55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94130" cy="189738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897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6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702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Michael Herrmann et al. /  AASRI Procedia  8 ( 2014 )  30 – 37 </w:t>
            </w:r>
          </w:p>
        </w:tc>
      </w:tr>
      <w:tr>
        <w:trPr>
          <w:trHeight w:hRule="exact" w:val="3236"/>
        </w:trPr>
        <w:tc>
          <w:tcPr>
            <w:tcW w:type="dxa" w:w="1929"/>
            <w:vMerge/>
            <w:tcBorders/>
          </w:tcPr>
          <w:p/>
        </w:tc>
        <w:tc>
          <w:tcPr>
            <w:tcW w:type="dxa" w:w="1929"/>
            <w:vMerge/>
            <w:tcBorders/>
          </w:tcPr>
          <w:p/>
        </w:tc>
        <w:tc>
          <w:tcPr>
            <w:tcW w:type="dxa" w:w="2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94129" cy="189738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29" cy="1897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24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292860" cy="189738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2860" cy="1897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4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90" w:after="0"/>
              <w:ind w:left="9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1294130" cy="1897380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94130" cy="18973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222" w:lineRule="exact" w:before="18" w:after="0"/>
        <w:ind w:left="234" w:right="288" w:firstLine="0"/>
        <w:jc w:val="left"/>
      </w:pPr>
      <w:r>
        <w:rPr>
          <w:w w:val="101.89374685287476"/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Figure 2: MOTA (top row) and MOTP (bottom row) results (in dependence of the overlap threshold) of the proposed tracking procedure </w:t>
      </w:r>
      <w:r>
        <w:rPr>
          <w:w w:val="101.89374685287476"/>
          <w:rFonts w:ascii="TimesNewRomanPSMT" w:hAnsi="TimesNewRomanPSMT" w:eastAsia="TimesNewRomanPSMT"/>
          <w:b w:val="0"/>
          <w:i w:val="0"/>
          <w:color w:val="000000"/>
          <w:sz w:val="16"/>
        </w:rPr>
        <w:t>in comparison with the procedure of Zhang et al. [5]. Results are given for each data set (GH, BL, ISSIA, VS) from left to right.</w:t>
      </w:r>
    </w:p>
    <w:p>
      <w:pPr>
        <w:autoSpaceDN w:val="0"/>
        <w:autoSpaceDE w:val="0"/>
        <w:widowControl/>
        <w:spacing w:line="272" w:lineRule="exact" w:before="506" w:after="0"/>
        <w:ind w:left="194" w:right="342" w:firstLine="248"/>
        <w:jc w:val="both"/>
      </w:pP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Figure 2 shows the comparison of the MOTA / MOTP of our proposed tracking procedure and the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procedure of Zhang et al. depending on the overlap threshold for the assignment of the tracked bounding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boxes to the ground truth. Our system achieves satisfactory MOTA scores for the standard overlap threshold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of 0.5. With increasing overlap threshold, the accuracy becomes remarkable (up to 0.9 and more). In all cases,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our results outperform the results of the baseline. Our non-optimized implementation processes about 1-2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frames per second on an Intel Core2 Quad Q9650. Because of its highly parallel structure, we believe that a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near real-time performance could be possible. In contrast, the method of Zhang et al. processes 0.1 frames per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>second.</w:t>
      </w:r>
    </w:p>
    <w:p>
      <w:pPr>
        <w:autoSpaceDN w:val="0"/>
        <w:autoSpaceDE w:val="0"/>
        <w:widowControl/>
        <w:spacing w:line="234" w:lineRule="exact" w:before="38" w:after="0"/>
        <w:ind w:left="0" w:right="0" w:firstLine="0"/>
        <w:jc w:val="center"/>
      </w:pP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>We provide a publicly available visualization of our tracking results for ISSIA and VS (see [16] and [17]).</w:t>
      </w:r>
    </w:p>
    <w:p>
      <w:pPr>
        <w:autoSpaceDN w:val="0"/>
        <w:autoSpaceDE w:val="0"/>
        <w:widowControl/>
        <w:spacing w:line="236" w:lineRule="exact" w:before="288" w:after="0"/>
        <w:ind w:left="194" w:right="0" w:firstLine="0"/>
        <w:jc w:val="left"/>
      </w:pPr>
      <w:r>
        <w:rPr>
          <w:w w:val="98.80571819487072"/>
          <w:rFonts w:ascii="Times" w:hAnsi="Times" w:eastAsia="Times"/>
          <w:b/>
          <w:i w:val="0"/>
          <w:color w:val="000000"/>
          <w:sz w:val="21"/>
        </w:rPr>
        <w:t>6. Conclusion</w:t>
      </w:r>
    </w:p>
    <w:p>
      <w:pPr>
        <w:autoSpaceDN w:val="0"/>
        <w:autoSpaceDE w:val="0"/>
        <w:widowControl/>
        <w:spacing w:line="272" w:lineRule="exact" w:before="242" w:after="0"/>
        <w:ind w:left="194" w:right="342" w:firstLine="248"/>
        <w:jc w:val="both"/>
      </w:pP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We proposed an unsupervised online 2D tracking procedure for players in monocular soccer videos that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applies an efficient determination of local maxima in a confidence map. This map is based on a robust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combination of soccer-specific (grass color), match-specific (team outfit colors) and general (HOG detector)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image features. Avoiding a time-consuming sliding-window approach our system allows for a fast player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tracking that in addition does not require any further input, such as user input or camera parameters. Our 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>tracking results achieve high accuracy and outperform a state-of-the-art pedestrian tracker.</w:t>
      </w:r>
    </w:p>
    <w:p>
      <w:pPr>
        <w:autoSpaceDN w:val="0"/>
        <w:autoSpaceDE w:val="0"/>
        <w:widowControl/>
        <w:spacing w:line="236" w:lineRule="exact" w:before="534" w:after="0"/>
        <w:ind w:left="194" w:right="0" w:firstLine="0"/>
        <w:jc w:val="left"/>
      </w:pPr>
      <w:r>
        <w:rPr>
          <w:w w:val="98.80571819487072"/>
          <w:rFonts w:ascii="Times" w:hAnsi="Times" w:eastAsia="Times"/>
          <w:b/>
          <w:i w:val="0"/>
          <w:color w:val="000000"/>
          <w:sz w:val="21"/>
        </w:rPr>
        <w:t>Acknowledgements</w:t>
      </w:r>
    </w:p>
    <w:p>
      <w:pPr>
        <w:autoSpaceDN w:val="0"/>
        <w:autoSpaceDE w:val="0"/>
        <w:widowControl/>
        <w:spacing w:line="234" w:lineRule="exact" w:before="280" w:after="0"/>
        <w:ind w:left="0" w:right="0" w:firstLine="0"/>
        <w:jc w:val="center"/>
      </w:pP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>The funding for this research was provided by German Research Foundation (DFG) grant no. RA359/12-1.</w:t>
      </w:r>
    </w:p>
    <w:p>
      <w:pPr>
        <w:autoSpaceDN w:val="0"/>
        <w:autoSpaceDE w:val="0"/>
        <w:widowControl/>
        <w:spacing w:line="236" w:lineRule="exact" w:before="294" w:after="0"/>
        <w:ind w:left="194" w:right="0" w:firstLine="0"/>
        <w:jc w:val="left"/>
      </w:pPr>
      <w:r>
        <w:rPr>
          <w:w w:val="98.80571819487072"/>
          <w:rFonts w:ascii="Times" w:hAnsi="Times" w:eastAsia="Times"/>
          <w:b/>
          <w:i w:val="0"/>
          <w:color w:val="000000"/>
          <w:sz w:val="21"/>
        </w:rPr>
        <w:t>References</w:t>
      </w:r>
    </w:p>
    <w:p>
      <w:pPr>
        <w:autoSpaceDN w:val="0"/>
        <w:tabs>
          <w:tab w:pos="714" w:val="left"/>
        </w:tabs>
        <w:autoSpaceDE w:val="0"/>
        <w:widowControl/>
        <w:spacing w:line="270" w:lineRule="exact" w:before="244" w:after="0"/>
        <w:ind w:left="194" w:right="576" w:firstLine="0"/>
        <w:jc w:val="left"/>
      </w:pP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 xml:space="preserve">[1] </w:t>
      </w:r>
      <w:r>
        <w:tab/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>R. E. Kalman, “A New Approach to Linear Filtering and Prediction Problems.,”</w:t>
      </w:r>
      <w:r>
        <w:rPr>
          <w:w w:val="98.80571819487072"/>
          <w:rFonts w:ascii="Times" w:hAnsi="Times" w:eastAsia="Times"/>
          <w:b w:val="0"/>
          <w:i/>
          <w:color w:val="000000"/>
          <w:sz w:val="21"/>
        </w:rPr>
        <w:t xml:space="preserve"> Transactions of the </w:t>
      </w:r>
      <w:r>
        <w:rPr>
          <w:w w:val="98.80571819487072"/>
          <w:rFonts w:ascii="Times" w:hAnsi="Times" w:eastAsia="Times"/>
          <w:b w:val="0"/>
          <w:i/>
          <w:color w:val="000000"/>
          <w:sz w:val="21"/>
        </w:rPr>
        <w:t>ASME - Journal of Basic Engineering</w:t>
      </w:r>
      <w:r>
        <w:rPr>
          <w:w w:val="98.80571819487072"/>
          <w:rFonts w:ascii="TimesNewRomanPSMT" w:hAnsi="TimesNewRomanPSMT" w:eastAsia="TimesNewRomanPSMT"/>
          <w:b w:val="0"/>
          <w:i w:val="0"/>
          <w:color w:val="000000"/>
          <w:sz w:val="21"/>
        </w:rPr>
        <w:t>, vol. 82, no. 1, pp. 35–45, Mar. 1960.</w:t>
      </w:r>
    </w:p>
    <w:p>
      <w:pPr>
        <w:sectPr>
          <w:pgSz w:w="10885" w:h="14854"/>
          <w:pgMar w:top="368" w:right="588" w:bottom="1034" w:left="652" w:header="720" w:footer="720" w:gutter="0"/>
          <w:cols w:space="720" w:num="1" w:equalWidth="0">
            <w:col w:w="9646" w:space="0"/>
            <w:col w:w="9666" w:space="0"/>
            <w:col w:w="9748" w:space="0"/>
            <w:col w:w="9710" w:space="0"/>
            <w:col w:w="9748" w:space="0"/>
            <w:col w:w="9496" w:space="0"/>
            <w:col w:w="969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7.99999999999997" w:type="dxa"/>
      </w:tblPr>
      <w:tblGrid>
        <w:gridCol w:w="3112"/>
        <w:gridCol w:w="3112"/>
        <w:gridCol w:w="3112"/>
      </w:tblGrid>
      <w:tr>
        <w:trPr>
          <w:trHeight w:hRule="exact" w:val="326"/>
        </w:trPr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494" w:after="0"/>
              <w:ind w:left="38" w:right="0" w:firstLine="0"/>
              <w:jc w:val="left"/>
            </w:pPr>
            <w:r>
              <w:rPr>
                <w:w w:val="102.3035049438476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[2]</w:t>
            </w:r>
          </w:p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2" w:after="0"/>
              <w:ind w:left="0" w:right="231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221F1F"/>
                <w:sz w:val="16"/>
              </w:rPr>
              <w:t xml:space="preserve"> Michael Herrmann et al. /  AASRI Procedia  8 ( 2014 )  30 – 37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0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>37</w:t>
            </w:r>
          </w:p>
        </w:tc>
      </w:tr>
      <w:tr>
        <w:trPr>
          <w:trHeight w:hRule="exact" w:val="416"/>
        </w:trPr>
        <w:tc>
          <w:tcPr>
            <w:tcW w:type="dxa" w:w="3112"/>
            <w:vMerge/>
            <w:tcBorders/>
          </w:tcPr>
          <w:p/>
        </w:tc>
        <w:tc>
          <w:tcPr>
            <w:tcW w:type="dxa" w:w="8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168" w:after="0"/>
              <w:ind w:left="150" w:right="0" w:firstLine="0"/>
              <w:jc w:val="left"/>
            </w:pPr>
            <w:r>
              <w:rPr>
                <w:w w:val="102.30350494384766"/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M. D. Breitenstein, F. Reichlin, B. Leibe, E. Koller-Meier, and L. Van Gool, “Online Multiperson</w:t>
            </w:r>
          </w:p>
        </w:tc>
        <w:tc>
          <w:tcPr>
            <w:tcW w:type="dxa" w:w="311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0" w:lineRule="exact" w:before="0" w:after="0"/>
        <w:ind w:left="76" w:right="576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Tracking-by-Detection from a Single, Uncalibrated Camera,”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IEEE Transactions on Pattern Analysis and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Machine Intelligence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vol. 33, no. 9, pp. 1820–1833, Sep. 2011.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720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[3]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H. Izadinia, I. Saleemi, W. Li, and M. Shah, “(MP)2T: Multiple People Multiple Parts Tracker,” in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Computer Vision – ECCV 2012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vol. 7577, Berlin, Heidelberg: Springer, 2012, pp. 100–114.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4" w:after="0"/>
        <w:ind w:left="76" w:right="864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[4]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D. Comaniciu, V. Ramesh, and P. Meer, “Kernel-based Object Tracking,”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IEEE Transactions on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Pattern Analysis and Machine Intelligence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vol. 25, no. 5, pp. 564–577, May 2003.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432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[5]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J. Zhang, L. L. Presti, and S. Sclaroff, “Online Multi-person Tracking by Tracker Hierarchy,” in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IEEE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9th International Conference on Advanced Video and Signal-Based Surveillance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2012, pp. 379–385.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432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[6]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M. Beetz, S. Gedikli, J. Bandouch, B. Kirchlechner, N. von Hoyningen-Huene, and A. C. P. Perzylo,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“Visually Tracking Football Games Based on TV Broadcasts,” in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20th International Joint Conference on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Artificial Intelligence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2007, pp. 2066–2071.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576" w:firstLine="0"/>
        <w:jc w:val="left"/>
      </w:pP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S. Gerke, S. Singh, A. Linnemann, and P. Ndjiki-Nya, “Unsupervised Color Classifier Training for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[7] </w:t>
      </w:r>
      <w:r>
        <w:br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Soccer Player Detection,” in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Visual Communications and Image Processing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2013, pp. 1–5.</w:t>
      </w:r>
    </w:p>
    <w:p>
      <w:pPr>
        <w:autoSpaceDN w:val="0"/>
        <w:tabs>
          <w:tab w:pos="588" w:val="left"/>
        </w:tabs>
        <w:autoSpaceDE w:val="0"/>
        <w:widowControl/>
        <w:spacing w:line="270" w:lineRule="exact" w:before="0" w:after="0"/>
        <w:ind w:left="76" w:right="288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[8]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P. Dollar, C. Wojek, B. Schiele, and P. Perona, “Pedestrian Detection: An Evaluation of the State of the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Art,”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IEEE Transactions on Pattern Analysis and Machine Intelligence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vol. 34, no. 4, pp. 743–761, Apr.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2012.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288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[9]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M. Hoernig, M. Herrmann, and B. Radig, “Real Time Soccer Field Analysis from Monocular TV Video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Data,” in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11th International Conference on Pattern Recognition and Image Analysis (PRIA-11-2013)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Samara, 2013, vol. 2, pp. 567–570.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1152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[10]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FIFA, “Laws of the Game,” 2014. [Online]. Available: </w:t>
      </w:r>
      <w:r>
        <w:br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http://www.fifa.com/aboutfifa/footballdevelopment/technicalsupport/refereeing/laws-of-the-game/.</w:t>
      </w:r>
    </w:p>
    <w:p>
      <w:pPr>
        <w:autoSpaceDN w:val="0"/>
        <w:autoSpaceDE w:val="0"/>
        <w:widowControl/>
        <w:spacing w:line="230" w:lineRule="exact" w:before="38" w:after="0"/>
        <w:ind w:left="76" w:right="0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[Accessed: 30-Apr-2014].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288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[11]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D. Arthur and S. Vassilvitskii, “k-means++: the Advantages of Careful Seeding,” in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18th annual ACM-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SIAM symposium on Discrete algorithms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Philadelphia, PA, USA, 2007, pp. 1027–1035.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6" w:after="0"/>
        <w:ind w:left="76" w:right="288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[12]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N. Dalal and B. Triggs, “Histograms of Oriented Gradients for Human Detection,” in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IEEE Conference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on Computer Vision and Pattern Recognition (CVPR 2005)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2005, vol. 1, pp. 886–893.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576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[13]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K. Bernardin and R. Stiefelhagen, “Evaluating Multiple Object Tracking Performance: The CLEAR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MOT Metrics,”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EURASIP Journal on Image and Video Processing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vol. 2008, pp. 1–10, May 2008.</w:t>
      </w:r>
    </w:p>
    <w:p>
      <w:pPr>
        <w:autoSpaceDN w:val="0"/>
        <w:autoSpaceDE w:val="0"/>
        <w:widowControl/>
        <w:spacing w:line="268" w:lineRule="exact" w:before="0" w:after="0"/>
        <w:ind w:left="76" w:right="432" w:firstLine="512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T. D’Orazio, M. Leo, N. Mosca, P. Spagnolo, and P. L. Mazzeo, “A Semi-automatic System for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[14] </w:t>
      </w:r>
      <w:r>
        <w:br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Ground Truth Generation of Soccer Video Sequences,” in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6th IEEE International Conference on Advanced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Video and Signal Based Surveillance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, 2009, pp. 559–564.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576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[15]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University of Reading, “VS-PETS Football Dataset,”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 xml:space="preserve"> Third IEEE International Workshop on Visual </w:t>
      </w:r>
      <w:r>
        <w:rPr>
          <w:w w:val="102.30350494384766"/>
          <w:rFonts w:ascii="Times" w:hAnsi="Times" w:eastAsia="Times"/>
          <w:b w:val="0"/>
          <w:i/>
          <w:color w:val="000000"/>
          <w:sz w:val="20"/>
        </w:rPr>
        <w:t>Surveillance and Performance Evaluation of Tracking and Surveillance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, 2002. [Online]. Available: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http://www.cvg.reading.ac.uk/VSPETS/vspets-db.html. [Accessed: 30-Apr-2014].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6" w:after="0"/>
        <w:ind w:left="76" w:right="720" w:firstLine="0"/>
        <w:jc w:val="left"/>
      </w:pP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M. Herrmann, M. Hoernig, and B. Radig, “Player Tracking Results ISSIA-CNR,” 2014. [Online].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[16] </w:t>
      </w:r>
      <w:r>
        <w:br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Available: http://www.youtube.com/watch?v=L9t7ei6gAjk. [Accessed: 30-Apr-2014].</w:t>
      </w:r>
    </w:p>
    <w:p>
      <w:pPr>
        <w:autoSpaceDN w:val="0"/>
        <w:tabs>
          <w:tab w:pos="588" w:val="left"/>
        </w:tabs>
        <w:autoSpaceDE w:val="0"/>
        <w:widowControl/>
        <w:spacing w:line="268" w:lineRule="exact" w:before="0" w:after="0"/>
        <w:ind w:left="76" w:right="864" w:firstLine="0"/>
        <w:jc w:val="left"/>
      </w:pP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[17] </w:t>
      </w:r>
      <w:r>
        <w:tab/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M. Herrmann, M. Hoernig, and B. Radig, “Player Tracking Results VS-PETS,” 2014. [Online]. </w:t>
      </w:r>
      <w:r>
        <w:rPr>
          <w:w w:val="102.30350494384766"/>
          <w:rFonts w:ascii="TimesNewRomanPSMT" w:hAnsi="TimesNewRomanPSMT" w:eastAsia="TimesNewRomanPSMT"/>
          <w:b w:val="0"/>
          <w:i w:val="0"/>
          <w:color w:val="000000"/>
          <w:sz w:val="20"/>
        </w:rPr>
        <w:t>Available: http://www.youtube.com/watch?v=SL1LjRAbPgI. [Accessed: 30-Apr-2014].</w:t>
      </w:r>
    </w:p>
    <w:sectPr w:rsidR="00FC693F" w:rsidRPr="0006063C" w:rsidSect="00034616">
      <w:pgSz w:w="10885" w:h="14854"/>
      <w:pgMar w:top="368" w:right="648" w:bottom="1440" w:left="902" w:header="720" w:footer="720" w:gutter="0"/>
      <w:cols w:space="720" w:num="1" w:equalWidth="0">
        <w:col w:w="9336" w:space="0"/>
        <w:col w:w="9646" w:space="0"/>
        <w:col w:w="9666" w:space="0"/>
        <w:col w:w="9748" w:space="0"/>
        <w:col w:w="9710" w:space="0"/>
        <w:col w:w="9748" w:space="0"/>
        <w:col w:w="9496" w:space="0"/>
        <w:col w:w="969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