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26"/>
        <w:gridCol w:w="3226"/>
        <w:gridCol w:w="3226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3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26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6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26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445 – 450 </w:t>
            </w:r>
          </w:p>
        </w:tc>
        <w:tc>
          <w:tcPr>
            <w:tcW w:type="dxa" w:w="32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128" w:after="0"/>
        <w:ind w:left="14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autoSpaceDE w:val="0"/>
        <w:widowControl/>
        <w:spacing w:line="376" w:lineRule="exact" w:before="260" w:after="0"/>
        <w:ind w:left="6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Research on Location Technology in Building Fire Rescue </w:t>
      </w:r>
    </w:p>
    <w:p>
      <w:pPr>
        <w:autoSpaceDN w:val="0"/>
        <w:autoSpaceDE w:val="0"/>
        <w:widowControl/>
        <w:spacing w:line="288" w:lineRule="exact" w:before="256" w:after="0"/>
        <w:ind w:left="0" w:right="28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Xiaoping Zhou*, Hantao Zhang, Lei Sun </w:t>
      </w:r>
    </w:p>
    <w:p>
      <w:pPr>
        <w:autoSpaceDN w:val="0"/>
        <w:autoSpaceDE w:val="0"/>
        <w:widowControl/>
        <w:spacing w:line="200" w:lineRule="exact" w:before="158" w:after="0"/>
        <w:ind w:left="288" w:right="576" w:firstLine="0"/>
        <w:jc w:val="center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Beijing Engineering Research Center of Monitoring for Construction Safety, Beijing University of Civil Engineering and Architecture,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Beijing, China </w:t>
      </w:r>
    </w:p>
    <w:p>
      <w:pPr>
        <w:autoSpaceDN w:val="0"/>
        <w:autoSpaceDE w:val="0"/>
        <w:widowControl/>
        <w:spacing w:line="198" w:lineRule="exact" w:before="115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190" w:right="59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Based on the study of the security risks in fire rescue of buildings and the application of location technology in building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fire rescue, a more reliable location service system in building fire rescue is given. The system makes use of long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waveform, which has higher penetration factor and longer distant transmit ability, to transmit the signal. IEEE standard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supported in the system’s wireless network. The Fire Command Center or headquarter can view all the firemen’s location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the design drawings of the building through a Monitoring Terminal. To be convenient to view the current status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fire rescue, Monitoring Terminal can be a pad or mobile device. It validly ensures the quick and reasonable response for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fireman in a predicament, and put out the fire efficiently. However, to be more reliable, the system should pre-installed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lots of Positioning-Assistant Device, which costs a great deal in both finance and time. </w:t>
      </w:r>
    </w:p>
    <w:p>
      <w:pPr>
        <w:autoSpaceDN w:val="0"/>
        <w:autoSpaceDE w:val="0"/>
        <w:widowControl/>
        <w:spacing w:line="242" w:lineRule="exact" w:before="22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© 2012 Xiaoping Zhou.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22" w:lineRule="exact" w:before="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176" w:lineRule="exact" w:before="252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Keywords: Location Technology, Building, Fire Rescue, Wireless Network; </w:t>
      </w:r>
    </w:p>
    <w:p>
      <w:pPr>
        <w:autoSpaceDN w:val="0"/>
        <w:autoSpaceDE w:val="0"/>
        <w:widowControl/>
        <w:spacing w:line="222" w:lineRule="exact" w:before="46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0" w:lineRule="exact" w:before="240" w:after="0"/>
        <w:ind w:left="192" w:right="432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development of the economy, a growing number of large-scale buildings with sundry structures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emerging in the cities in China. And the more complex building architecture brings the higher security </w:t>
      </w:r>
    </w:p>
    <w:p>
      <w:pPr>
        <w:autoSpaceDN w:val="0"/>
        <w:autoSpaceDE w:val="0"/>
        <w:widowControl/>
        <w:spacing w:line="200" w:lineRule="exact" w:before="866" w:after="0"/>
        <w:ind w:left="430" w:right="60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+86 10 6832 2509. </w:t>
      </w:r>
      <w:r>
        <w:br/>
      </w:r>
      <w:r>
        <w:rPr>
          <w:rFonts w:ascii="Times" w:hAnsi="Times" w:eastAsia="Time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zhouxiaoping@bucea.edu.cn. </w:t>
      </w:r>
    </w:p>
    <w:p>
      <w:pPr>
        <w:autoSpaceDN w:val="0"/>
        <w:autoSpaceDE w:val="0"/>
        <w:widowControl/>
        <w:spacing w:line="200" w:lineRule="exact" w:before="126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10.1016/j.aasri.2012.11.070 </w:t>
      </w:r>
    </w:p>
    <w:p>
      <w:pPr>
        <w:sectPr>
          <w:pgSz w:w="10885" w:h="14854"/>
          <w:pgMar w:top="438" w:right="582" w:bottom="218" w:left="624" w:header="720" w:footer="720" w:gutter="0"/>
          <w:cols w:space="720" w:num="1" w:equalWidth="0"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446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Xiaoping Zhou et al. /  AASRI Procedia  3 ( 2012 )  445 – 450 </w:t>
      </w:r>
    </w:p>
    <w:p>
      <w:pPr>
        <w:autoSpaceDN w:val="0"/>
        <w:autoSpaceDE w:val="0"/>
        <w:widowControl/>
        <w:spacing w:line="240" w:lineRule="exact" w:before="37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risks in fire rescue. The unknown fire rescue environment and intricacy of the building put of paramount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danger for the firemen. As the fire command center (FCC) or headquarter can’t exactly get the location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fireman who stuck in the fire and the distribution of the nearby firemen, it is embarrassing that FCC can’t do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quick rescue response to the SOS-needed fireman. If there were some practical method to know the real-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time location of all the firemen, combination with the design drawings of the building, the FCC or headquarter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could do the reaction to any fireman in a short time and quickly redeploy the firemen reasonable to put out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 efficiently. In a word, location technology plays an important role in fire rescue, especially in a complex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 fighting rescue environment. </w:t>
      </w:r>
    </w:p>
    <w:p>
      <w:pPr>
        <w:autoSpaceDN w:val="0"/>
        <w:autoSpaceDE w:val="0"/>
        <w:widowControl/>
        <w:spacing w:line="240" w:lineRule="exact" w:before="2" w:after="0"/>
        <w:ind w:left="190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Global navigation satellite systems (GPS or GNSS) are the most widely applied technology in location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service. It allows small electronic receivers to determine their location (longitude, latitude, and altitude) within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few meters using time signals transmitted along a line-of-sight by radio from satellites. Trilateration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exploited to calculate the precise position of the devices. However, since microwaves will be attenuated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scattered by roofs, walls and other objects, GPS (GNSS) are generally not suitable to establish indoor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locations. </w:t>
      </w:r>
    </w:p>
    <w:p>
      <w:pPr>
        <w:autoSpaceDN w:val="0"/>
        <w:autoSpaceDE w:val="0"/>
        <w:widowControl/>
        <w:spacing w:line="240" w:lineRule="exact" w:before="0" w:after="0"/>
        <w:ind w:left="190" w:right="44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Besides, A-GPS, which uses data available from a network, depends too much on the mobile stations.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magnify the signals of mobile devices, micro mobile stations are set in large-scale buildings. However, once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 emergency happened, the power supply of the building would be closed, and the unemployed micro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mobile stations would result in the fragmentary signals inside the buildings. Thus, A-GPS is also not suitable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location service in fire rescue. </w:t>
      </w:r>
    </w:p>
    <w:p>
      <w:pPr>
        <w:autoSpaceDN w:val="0"/>
        <w:autoSpaceDE w:val="0"/>
        <w:widowControl/>
        <w:spacing w:line="240" w:lineRule="exact" w:before="0" w:after="0"/>
        <w:ind w:left="190" w:right="44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Currently, many other wireless technologies are also used in indoor positioning services, such as ZigBee,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Wifi. And almost all of them use high frequent waveforms with a lower penetration factor. Thus, a great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of hotspot should be installed inside and outside the building to insure the correct positioning. It costs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lot and the positioning service would not work once the hotspots are destroyed or stopped in the fire. </w:t>
      </w:r>
    </w:p>
    <w:p>
      <w:pPr>
        <w:autoSpaceDN w:val="0"/>
        <w:autoSpaceDE w:val="0"/>
        <w:widowControl/>
        <w:spacing w:line="240" w:lineRule="exact" w:before="0" w:after="0"/>
        <w:ind w:left="190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Some research on utility of location technology in building fire rescue has done. [1] set up a fire ground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 rescue system based on Ituran in Shanghai. As Shanghai is the only city equipped with Ituran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 system, it is not able to promote in China. A location technology system of fire area was discussed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ZigBee network and UWB in [2]. However, it’s not stable when fire happened because of the short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transmitted wareforms, and lots of ZigBee hotspot should be placed. [3] discussed the possible application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wireless sensor network in fire rescue, and GPS was used in the architecture. </w:t>
      </w:r>
    </w:p>
    <w:p>
      <w:pPr>
        <w:autoSpaceDN w:val="0"/>
        <w:autoSpaceDE w:val="0"/>
        <w:widowControl/>
        <w:spacing w:line="240" w:lineRule="exact" w:before="0" w:after="0"/>
        <w:ind w:left="190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presents an indoor positioning solution for building fire secure, where long waveform is used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transfer the signal, Trilateration is used to calculate the location. It has excellent penetration factor and long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distant transmit ability, which ensures the location services in building fire rescue. </w:t>
      </w:r>
    </w:p>
    <w:p>
      <w:pPr>
        <w:autoSpaceDN w:val="0"/>
        <w:autoSpaceDE w:val="0"/>
        <w:widowControl/>
        <w:spacing w:line="222" w:lineRule="exact" w:before="25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Architecture </w:t>
      </w:r>
    </w:p>
    <w:p>
      <w:pPr>
        <w:autoSpaceDN w:val="0"/>
        <w:autoSpaceDE w:val="0"/>
        <w:widowControl/>
        <w:spacing w:line="240" w:lineRule="exact" w:before="240" w:after="0"/>
        <w:ind w:left="192" w:right="44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the study of the issues on location service in fire rescue, the architecture of a fire rescue location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 is designed. As showed in Fig 1, the system mainly consists of five modules: mobile positioning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device, positioning-assistant terminal, wireless data gateway, data center, and monitoring terminal. </w:t>
      </w:r>
    </w:p>
    <w:p>
      <w:pPr>
        <w:autoSpaceDN w:val="0"/>
        <w:autoSpaceDE w:val="0"/>
        <w:widowControl/>
        <w:spacing w:line="240" w:lineRule="exact" w:before="0" w:after="0"/>
        <w:ind w:left="192" w:right="44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 wireless network, called Positioning-Assistant Terminal Network, is setup automatically during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Positioning-Assistant Terminals. It’s the transmission medium for the Mobile Positioning Device. Mobile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 Device sends its raw location information to the Wireless Data Gateway through the set-up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Positioning-Assistant Terminal Network. Wireless Data Gateway receives the original data and converts it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accurate location. The location data is sent to and stored in Data Center. Data Center stores the data in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database, and provides accessing interface for Monitoring Terminals. Monitoring Terminal gets the locations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the Data Center, draws the each Mobile Positioning Device on the design drawings and shows in graphic </w:t>
      </w:r>
    </w:p>
    <w:p>
      <w:pPr>
        <w:sectPr>
          <w:pgSz w:w="10885" w:h="14854"/>
          <w:pgMar w:top="368" w:right="696" w:bottom="1352" w:left="624" w:header="720" w:footer="720" w:gutter="0"/>
          <w:cols w:space="720" w:num="1" w:equalWidth="0">
            <w:col w:w="9566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3581400</wp:posOffset>
            </wp:positionV>
            <wp:extent cx="238760" cy="26937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693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2279650</wp:posOffset>
            </wp:positionH>
            <wp:positionV relativeFrom="page">
              <wp:posOffset>4541520</wp:posOffset>
            </wp:positionV>
            <wp:extent cx="238760" cy="26937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693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2794000</wp:posOffset>
            </wp:positionV>
            <wp:extent cx="4114800" cy="2489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4349750</wp:posOffset>
            </wp:positionH>
            <wp:positionV relativeFrom="page">
              <wp:posOffset>4538980</wp:posOffset>
            </wp:positionV>
            <wp:extent cx="238760" cy="275492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754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3255010</wp:posOffset>
            </wp:positionH>
            <wp:positionV relativeFrom="page">
              <wp:posOffset>2797810</wp:posOffset>
            </wp:positionV>
            <wp:extent cx="275589" cy="257216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589" cy="2572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9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Xiaoping Zhou et al. /  AASRI Procedia  3 ( 2012 )  445 – 450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447</w:t>
      </w:r>
    </w:p>
    <w:p>
      <w:pPr>
        <w:autoSpaceDN w:val="0"/>
        <w:autoSpaceDE w:val="0"/>
        <w:widowControl/>
        <w:spacing w:line="240" w:lineRule="exact" w:before="380" w:after="258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views for the headquarters. Besides traditional computer server, Monitoring Terminal supports Mobile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Devices, such as pad and mobile.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4.0" w:type="dxa"/>
      </w:tblPr>
      <w:tblGrid>
        <w:gridCol w:w="9673"/>
      </w:tblGrid>
      <w:tr>
        <w:trPr>
          <w:trHeight w:hRule="exact" w:val="1238"/>
        </w:trPr>
        <w:tc>
          <w:tcPr>
            <w:tcW w:type="dxa" w:w="6462"/>
            <w:tcBorders>
              <w:start w:sz="3.6480000019073486" w:val="single" w:color="#000000"/>
              <w:top w:sz="3.6480000019073486" w:val="single" w:color="#000000"/>
              <w:end w:sz="3.6480000019073486" w:val="single" w:color="#000000"/>
              <w:bottom w:sz="3.64800000190734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" w:after="5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Monitoring Terminals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1.9999999999999" w:type="dxa"/>
            </w:tblPr>
            <w:tblGrid>
              <w:gridCol w:w="2154"/>
              <w:gridCol w:w="2154"/>
              <w:gridCol w:w="2154"/>
            </w:tblGrid>
            <w:tr>
              <w:trPr>
                <w:trHeight w:hRule="exact" w:val="912"/>
              </w:trPr>
              <w:tc>
                <w:tcPr>
                  <w:tcW w:type="dxa" w:w="3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8" w:after="0"/>
                    <w:ind w:left="28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36700" cy="5588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6700" cy="55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2" w:after="0"/>
                    <w:ind w:left="0" w:right="16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49579" cy="398779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579" cy="3987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2" w:after="0"/>
                    <w:ind w:left="202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2119" cy="367029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119" cy="36702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836"/>
        <w:gridCol w:w="4836"/>
      </w:tblGrid>
      <w:tr>
        <w:trPr>
          <w:trHeight w:hRule="exact" w:val="548"/>
        </w:trPr>
        <w:tc>
          <w:tcPr>
            <w:tcW w:type="dxa" w:w="3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2717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71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6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8120" cy="1841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84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2.0" w:type="dxa"/>
      </w:tblPr>
      <w:tblGrid>
        <w:gridCol w:w="9673"/>
      </w:tblGrid>
      <w:tr>
        <w:trPr>
          <w:trHeight w:hRule="exact" w:val="512"/>
        </w:trPr>
        <w:tc>
          <w:tcPr>
            <w:tcW w:type="dxa" w:w="5492"/>
            <w:tcBorders>
              <w:start w:sz="3.6480000019073486" w:val="single" w:color="#000000"/>
              <w:top w:sz="3.6480000019073486" w:val="single" w:color="#000000"/>
              <w:end w:sz="3.6480000019073486" w:val="single" w:color="#000000"/>
              <w:bottom w:sz="3.6480000019073486" w:val="single" w:color="#000000"/>
            </w:tcBorders>
            <w:shd w:fill="e8ed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Data Center</w:t>
            </w:r>
          </w:p>
        </w:tc>
      </w:tr>
    </w:tbl>
    <w:p>
      <w:pPr>
        <w:autoSpaceDN w:val="0"/>
        <w:autoSpaceDE w:val="0"/>
        <w:widowControl/>
        <w:spacing w:line="210" w:lineRule="exact" w:before="412" w:after="0"/>
        <w:ind w:left="14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>Wireless Network</w:t>
      </w:r>
    </w:p>
    <w:p>
      <w:pPr>
        <w:autoSpaceDN w:val="0"/>
        <w:autoSpaceDE w:val="0"/>
        <w:widowControl/>
        <w:spacing w:line="210" w:lineRule="exact" w:before="298" w:after="0"/>
        <w:ind w:left="0" w:right="41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>Wireless Data Gateway</w:t>
      </w:r>
    </w:p>
    <w:p>
      <w:pPr>
        <w:autoSpaceDN w:val="0"/>
        <w:autoSpaceDE w:val="0"/>
        <w:widowControl/>
        <w:spacing w:line="210" w:lineRule="exact" w:before="736" w:after="358"/>
        <w:ind w:left="19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>Positioning-Assistant Terminal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418"/>
        <w:gridCol w:w="2418"/>
        <w:gridCol w:w="2418"/>
        <w:gridCol w:w="2418"/>
      </w:tblGrid>
      <w:tr>
        <w:trPr>
          <w:trHeight w:hRule="exact" w:val="280"/>
        </w:trPr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0" w:after="0"/>
              <w:ind w:left="0" w:right="1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Terminal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Terminal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1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Terminal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Terminal</w:t>
            </w:r>
          </w:p>
        </w:tc>
      </w:tr>
      <w:tr>
        <w:trPr>
          <w:trHeight w:hRule="exact" w:val="1174"/>
        </w:trPr>
        <w:tc>
          <w:tcPr>
            <w:tcW w:type="dxa" w:w="3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58" w:after="0"/>
              <w:ind w:left="1152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Mobile Positioning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Device</w:t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58" w:after="0"/>
              <w:ind w:left="864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Mobile Positioning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Device</w:t>
            </w:r>
          </w:p>
        </w:tc>
      </w:tr>
    </w:tbl>
    <w:p>
      <w:pPr>
        <w:autoSpaceDN w:val="0"/>
        <w:autoSpaceDE w:val="0"/>
        <w:widowControl/>
        <w:spacing w:line="178" w:lineRule="exact" w:before="524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Architecture of the System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Mobile Positioning Device </w:t>
      </w:r>
    </w:p>
    <w:p>
      <w:pPr>
        <w:autoSpaceDN w:val="0"/>
        <w:autoSpaceDE w:val="0"/>
        <w:widowControl/>
        <w:spacing w:line="240" w:lineRule="exact" w:before="240" w:after="0"/>
        <w:ind w:left="192" w:right="5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Mobile Positioning Device can be treated as a location sensor in the system. It radiates its timestamp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approachable Positioning-Assistant Terminals in a short cycle. The Positioning-Assistant Terminals receive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data, and sends it with its own timestamp and location to the Wireless Data Gateway. Usually, Mobile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 Device is encapsulated in a small box and carried by the fireman. And the system locates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fireman’s location by calculates the longitude and latitude of the Mobile Positioning Device.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Positioning-Assistant Terminal </w:t>
      </w:r>
    </w:p>
    <w:p>
      <w:pPr>
        <w:autoSpaceDN w:val="0"/>
        <w:autoSpaceDE w:val="0"/>
        <w:widowControl/>
        <w:spacing w:line="242" w:lineRule="exact" w:before="236" w:after="0"/>
        <w:ind w:left="192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Positioning-Assistant Terminal is a key facility in the system. They are pre-installed according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building. In order to ensure a reliable location service, Positioning-Assistant Terminals are expected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placed outside the building and around every floor to avoid being destroyed or unemployed in the fire. It’s </w:t>
      </w:r>
    </w:p>
    <w:p>
      <w:pPr>
        <w:sectPr>
          <w:pgSz w:w="10885" w:h="14854"/>
          <w:pgMar w:top="368" w:right="532" w:bottom="1300" w:left="680" w:header="720" w:footer="720" w:gutter="0"/>
          <w:cols w:space="720" w:num="1" w:equalWidth="0">
            <w:col w:w="9674" w:space="0"/>
            <w:col w:w="9566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7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448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Xiaoping Zhou et al. /  AASRI Procedia  3 ( 2012 )  445 – 450 </w:t>
      </w:r>
    </w:p>
    <w:p>
      <w:pPr>
        <w:autoSpaceDN w:val="0"/>
        <w:autoSpaceDE w:val="0"/>
        <w:widowControl/>
        <w:spacing w:line="240" w:lineRule="exact" w:before="37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battery-supported. When it receives the timestamp from the Mobile Positioning Device, it attaches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receiving timestamp and its location information to the raw data, sends to the Wireless Data Gateway. </w:t>
      </w:r>
    </w:p>
    <w:p>
      <w:pPr>
        <w:autoSpaceDN w:val="0"/>
        <w:autoSpaceDE w:val="0"/>
        <w:widowControl/>
        <w:spacing w:line="222" w:lineRule="exact" w:before="258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Wireless Data Gateway </w:t>
      </w:r>
    </w:p>
    <w:p>
      <w:pPr>
        <w:autoSpaceDN w:val="0"/>
        <w:autoSpaceDE w:val="0"/>
        <w:widowControl/>
        <w:spacing w:line="240" w:lineRule="exact" w:before="240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Wireless Data Gateway collects the raw data from Positioning-Assistant Terminals. It analysis the data,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calculates the location of the Mobile Positioning Device and sends the result to the Data Center. To calculate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detail location of the Mobile Positioning Device, DTOA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[4]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(Different Time of Arrival) is used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Trilateration is applied. And each time when the Wireless Data Gateway receives packets through four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more than four Positioning-Assistant Terminals from the same Mobile Positioning Device with the same sent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timestamp, the location of the Mobile Positioning Device is worked out, and stores to the Data Center.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avouch the location service, each Mobile Positioning Device should approach to at least four Positioning-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Assistant Terminals. </w:t>
      </w:r>
    </w:p>
    <w:p>
      <w:pPr>
        <w:autoSpaceDN w:val="0"/>
        <w:autoSpaceDE w:val="0"/>
        <w:widowControl/>
        <w:spacing w:line="222" w:lineRule="exact" w:before="258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2.4.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Data Center </w:t>
      </w:r>
    </w:p>
    <w:p>
      <w:pPr>
        <w:autoSpaceDN w:val="0"/>
        <w:autoSpaceDE w:val="0"/>
        <w:widowControl/>
        <w:spacing w:line="240" w:lineRule="exact" w:before="240" w:after="0"/>
        <w:ind w:left="192" w:right="45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 Center receives the location data from Wireless Data Gateway through a wired cable. It uses relevant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database and supports Oracle, SQL Server and DB2. Data Center provides web services interfaces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Monitoring Terminals. In order to be compatible with varied of Monitoring Terminals, Data Center provides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specific interfaces in web service. Standard three-layer architecture is exploited to develop the web service.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2.5.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Monitoring Terminal </w:t>
      </w:r>
    </w:p>
    <w:p>
      <w:pPr>
        <w:autoSpaceDN w:val="0"/>
        <w:autoSpaceDE w:val="0"/>
        <w:widowControl/>
        <w:spacing w:line="240" w:lineRule="exact" w:before="240" w:after="0"/>
        <w:ind w:left="192" w:right="44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Monitoring Terminal displays the structure of the building in the fire, and shows the location of all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firemen in the structure drawings. It helps the FCC or headquarter scheme out the rescue actions. Taking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advantage of the location technology, graphic technology, database technology, and software application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technology, Monitoring Terminal provides real-time positioning service, emergency alarm service, and history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moving trace service. </w:t>
      </w:r>
    </w:p>
    <w:p>
      <w:pPr>
        <w:autoSpaceDN w:val="0"/>
        <w:tabs>
          <w:tab w:pos="428" w:val="left"/>
        </w:tabs>
        <w:autoSpaceDE w:val="0"/>
        <w:widowControl/>
        <w:spacing w:line="240" w:lineRule="exact" w:before="240" w:after="0"/>
        <w:ind w:left="192" w:right="432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2.5.1.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Real-time Positioning Service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Monitoring Terminal pulls the real-time location data of all the firemen in the monitoring area from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 Center, and draws the location on the building design drawings. When a firemen moves,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corresponding point changes in the Monitoring Terminal. </w:t>
      </w:r>
    </w:p>
    <w:p>
      <w:pPr>
        <w:autoSpaceDN w:val="0"/>
        <w:tabs>
          <w:tab w:pos="428" w:val="left"/>
        </w:tabs>
        <w:autoSpaceDE w:val="0"/>
        <w:widowControl/>
        <w:spacing w:line="240" w:lineRule="exact" w:before="240" w:after="0"/>
        <w:ind w:left="190" w:right="432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2.5.2.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Emergency Alarm Service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When fireman encounters emergency, a SOS signal, which would finally receive by the Wireless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Gateway, is sent out through the Mobile Positioning Device. Once the Data Center gets an alarm packet, it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pushes the alarm to all the connected Monitoring Terminals. The FCC or headquarter can be aware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emergency, and do the prompt response. Also, if a Mobile Positioning Device stay steady for some setting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time, an alarm would still be triggered. </w:t>
      </w:r>
    </w:p>
    <w:p>
      <w:pPr>
        <w:autoSpaceDN w:val="0"/>
        <w:tabs>
          <w:tab w:pos="428" w:val="left"/>
        </w:tabs>
        <w:autoSpaceDE w:val="0"/>
        <w:widowControl/>
        <w:spacing w:line="240" w:lineRule="exact" w:before="240" w:after="0"/>
        <w:ind w:left="190" w:right="432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2.5.3.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History Moving Trace Service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all the location information is stored in the database, the history moving trace of each Mobile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 Device can be replayed. And the status of all the firemen of any history time can recur. </w:t>
      </w:r>
    </w:p>
    <w:p>
      <w:pPr>
        <w:sectPr>
          <w:pgSz w:w="10885" w:h="14854"/>
          <w:pgMar w:top="368" w:right="696" w:bottom="1440" w:left="624" w:header="720" w:footer="720" w:gutter="0"/>
          <w:cols w:space="720" w:num="1" w:equalWidth="0">
            <w:col w:w="9566" w:space="0"/>
            <w:col w:w="9674" w:space="0"/>
            <w:col w:w="9566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9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Xiaoping Zhou et al. /  AASRI Procedia  3 ( 2012 )  445 – 450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449</w:t>
      </w:r>
    </w:p>
    <w:p>
      <w:pPr>
        <w:autoSpaceDN w:val="0"/>
        <w:autoSpaceDE w:val="0"/>
        <w:widowControl/>
        <w:spacing w:line="222" w:lineRule="exact" w:before="39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Deployment </w:t>
      </w:r>
    </w:p>
    <w:p>
      <w:pPr>
        <w:autoSpaceDN w:val="0"/>
        <w:autoSpaceDE w:val="0"/>
        <w:widowControl/>
        <w:spacing w:line="240" w:lineRule="auto" w:before="244" w:after="0"/>
        <w:ind w:left="1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32579" cy="29438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579" cy="294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332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2. Typical Deployment of the System </w:t>
      </w:r>
    </w:p>
    <w:p>
      <w:pPr>
        <w:autoSpaceDN w:val="0"/>
        <w:autoSpaceDE w:val="0"/>
        <w:widowControl/>
        <w:spacing w:line="240" w:lineRule="exact" w:before="240" w:after="0"/>
        <w:ind w:left="192" w:right="5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Positioning-Assistant Terminals are installed around the building. Often, they are set up outdoor, such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 truck. When the fireman enters the fire rescue area, a Mobile Positioning Device is carried to help locates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his location. The Positioning-Assistant Terminals will setup a Wireless Positioning-Assistant Network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automatically. And the raw location information of the fireman (with Mobile Positioning Device) will be sent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the Data Gateway which installing in the fire truck through Wireless Positioning-Assistant Network.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 Gateway processes the raw data and stores the real location information in the Data Center through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cable. FCC or headquarter can monitor all the firemen’s location in graph through Monitoring Terminal.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Monitoring Terminal can connect to Data Center through cable or wireless network. Recommend,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Monitoring Terminal and Data Center are deployed in a same computer server. Mobile Monitoring Terminals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connects to the Data Center through existed wireless network, such as WIFI and 3G network. A typical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deployment of the system sees in Fig 2. </w:t>
      </w:r>
    </w:p>
    <w:p>
      <w:pPr>
        <w:autoSpaceDN w:val="0"/>
        <w:autoSpaceDE w:val="0"/>
        <w:widowControl/>
        <w:spacing w:line="240" w:lineRule="exact" w:before="0" w:after="0"/>
        <w:ind w:left="192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system helps to locate the fireman. It reduces the risks of the fireman in a fire rescue activity. Once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fireman became bogged down, headquarter can quickly do the rescue with the help of the location service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provided by the system.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0" w:lineRule="exact" w:before="240" w:after="0"/>
        <w:ind w:left="192" w:right="5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increasing scale of the buildings and the more complicated of their structure, more security risks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have been imposed on the firemen. Once fireman was in a predicament, the traditional fire rescue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couldn’t get where the fireman he was, it’s impossible to provide assistance. On this point, it’s senseful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introduce location technology to the fire rescue system. It provides all the firemen’s location details, and helps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FCC or headquarters to scheme the fire rescue. </w:t>
      </w:r>
    </w:p>
    <w:p>
      <w:pPr>
        <w:sectPr>
          <w:pgSz w:w="10885" w:h="14854"/>
          <w:pgMar w:top="368" w:right="532" w:bottom="1176" w:left="680" w:header="720" w:footer="720" w:gutter="0"/>
          <w:cols w:space="720" w:num="1" w:equalWidth="0">
            <w:col w:w="9674" w:space="0"/>
            <w:col w:w="9566" w:space="0"/>
            <w:col w:w="9674" w:space="0"/>
            <w:col w:w="9566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450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Xiaoping Zhou et al. /  AASRI Procedia  3 ( 2012 )  445 – 450 </w:t>
      </w:r>
    </w:p>
    <w:p>
      <w:pPr>
        <w:autoSpaceDN w:val="0"/>
        <w:autoSpaceDE w:val="0"/>
        <w:widowControl/>
        <w:spacing w:line="240" w:lineRule="exact" w:before="378" w:after="0"/>
        <w:ind w:left="106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the study of the current location technology and its application in building fire rescue, this paper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presents a reliable location scenario. It mainly contains five parts: mobile positioning device, positioning-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assistant terminal, wireless data gateway, data center, and monitoring terminal. Mobile Positioning Device,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Positioning-Assistant Terminal and Wireless Data Gateway compose of a wireless network, which uses short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waveforms to transmit the signal, exploits IEEE standard to transfer the data.  Data Center and Monitoring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Terminal can be installed in a same computer server. </w:t>
      </w:r>
    </w:p>
    <w:p>
      <w:pPr>
        <w:autoSpaceDN w:val="0"/>
        <w:autoSpaceDE w:val="0"/>
        <w:widowControl/>
        <w:spacing w:line="240" w:lineRule="exact" w:before="0" w:after="0"/>
        <w:ind w:left="106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the system uses the short waveforms, it has high penetration factor and long distant transmit ability,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ensures the location services in building fire rescue. However, to make the location more reliable, more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Positioning-Assistant Terminal should be pre-installed, which makes the project costs a lot more both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finance and time. </w:t>
      </w:r>
    </w:p>
    <w:p>
      <w:pPr>
        <w:autoSpaceDN w:val="0"/>
        <w:autoSpaceDE w:val="0"/>
        <w:widowControl/>
        <w:spacing w:line="222" w:lineRule="exact" w:before="482" w:after="0"/>
        <w:ind w:left="10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Acknowledgement </w:t>
      </w:r>
    </w:p>
    <w:p>
      <w:pPr>
        <w:autoSpaceDN w:val="0"/>
        <w:autoSpaceDE w:val="0"/>
        <w:widowControl/>
        <w:spacing w:line="240" w:lineRule="exact" w:before="196" w:after="0"/>
        <w:ind w:left="106" w:right="4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work was supported by Science Fund of BUCEA (Beijing University of Civil Engineering &amp;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Architecture) (Grant No. 101202915) and Foundation for Beijing municipal Talents (Grant No.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2011D005017000002). </w:t>
      </w:r>
    </w:p>
    <w:p>
      <w:pPr>
        <w:autoSpaceDN w:val="0"/>
        <w:autoSpaceDE w:val="0"/>
        <w:widowControl/>
        <w:spacing w:line="222" w:lineRule="exact" w:before="482" w:after="0"/>
        <w:ind w:left="10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2" w:lineRule="exact" w:before="194" w:after="0"/>
        <w:ind w:left="10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Hou Zhonghui, The Fire Ground Positioning Rescue System Construction based on Wireless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Measurement and Control Network. Computer Security, 2010; 09:67-9. </w:t>
      </w:r>
    </w:p>
    <w:p>
      <w:pPr>
        <w:autoSpaceDN w:val="0"/>
        <w:autoSpaceDE w:val="0"/>
        <w:widowControl/>
        <w:spacing w:line="230" w:lineRule="exact" w:before="0" w:after="12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Zhang Yuanxiang, Ning Yu, The Application of Space Location Technology in Fire Fighting Rescue. Fire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Science and Technology, 2009; 28:62-6.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3017"/>
        <w:gridCol w:w="3017"/>
        <w:gridCol w:w="3017"/>
      </w:tblGrid>
      <w:tr>
        <w:trPr>
          <w:trHeight w:hRule="exact" w:val="24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[3] Kewei Sha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Weisong Shi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Orlando Watkins, Using Wireless Sensor Networks for Fire Rescue </w:t>
            </w:r>
          </w:p>
        </w:tc>
      </w:tr>
    </w:tbl>
    <w:p>
      <w:pPr>
        <w:autoSpaceDN w:val="0"/>
        <w:autoSpaceDE w:val="0"/>
        <w:widowControl/>
        <w:spacing w:line="230" w:lineRule="exact" w:before="2" w:after="14"/>
        <w:ind w:left="10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Applications: Requirements and Challenges. 2006 IEEE International Conference on Electro/information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Technology, 2006; 239-244.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2263"/>
        <w:gridCol w:w="2263"/>
        <w:gridCol w:w="2263"/>
        <w:gridCol w:w="2263"/>
      </w:tblGrid>
      <w:tr>
        <w:trPr>
          <w:trHeight w:hRule="exact" w:val="24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[4] Yu Lina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Zeng Liansun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Jin Zhihua, Research of Wireless Location Algorithm and Accuracy Analysis </w:t>
            </w:r>
          </w:p>
        </w:tc>
      </w:tr>
    </w:tbl>
    <w:p>
      <w:pPr>
        <w:autoSpaceDN w:val="0"/>
        <w:autoSpaceDE w:val="0"/>
        <w:widowControl/>
        <w:spacing w:line="222" w:lineRule="exact" w:before="10" w:after="0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DTOA. Computer Measurement &amp; Control, 2006; 14:1247-9. </w:t>
      </w:r>
    </w:p>
    <w:sectPr w:rsidR="00FC693F" w:rsidRPr="0006063C" w:rsidSect="00034616">
      <w:pgSz w:w="10885" w:h="14854"/>
      <w:pgMar w:top="368" w:right="1182" w:bottom="1440" w:left="652" w:header="720" w:footer="720" w:gutter="0"/>
      <w:cols w:space="720" w:num="1" w:equalWidth="0">
        <w:col w:w="9052" w:space="0"/>
        <w:col w:w="9674" w:space="0"/>
        <w:col w:w="9566" w:space="0"/>
        <w:col w:w="9674" w:space="0"/>
        <w:col w:w="9566" w:space="0"/>
        <w:col w:w="96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