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.000000000000014" w:type="dxa"/>
      </w:tblPr>
      <w:tblGrid>
        <w:gridCol w:w="3207"/>
        <w:gridCol w:w="3207"/>
        <w:gridCol w:w="3207"/>
      </w:tblGrid>
      <w:tr>
        <w:trPr>
          <w:trHeight w:hRule="exact" w:val="264"/>
        </w:trPr>
        <w:tc>
          <w:tcPr>
            <w:tcW w:type="dxa" w:w="1860"/>
            <w:vMerge w:val="restart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4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453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53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76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 xml:space="preserve">Available online at </w:t>
            </w:r>
            <w:r>
              <w:rPr>
                <w:rFonts w:ascii="ArialMT" w:hAnsi="ArialMT" w:eastAsia="ArialMT"/>
                <w:b w:val="0"/>
                <w:i w:val="0"/>
                <w:color w:val="202060"/>
                <w:sz w:val="18"/>
              </w:rPr>
              <w:t>www.sciencedirect.com</w:t>
            </w:r>
          </w:p>
        </w:tc>
        <w:tc>
          <w:tcPr>
            <w:tcW w:type="dxa" w:w="205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2" w:lineRule="exact" w:before="1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36"/>
              </w:rPr>
              <w:t>AASRI</w:t>
            </w:r>
          </w:p>
        </w:tc>
      </w:tr>
      <w:tr>
        <w:trPr>
          <w:trHeight w:hRule="exact" w:val="340"/>
        </w:trPr>
        <w:tc>
          <w:tcPr>
            <w:tcW w:type="dxa" w:w="3207"/>
            <w:vMerge/>
            <w:tcBorders>
              <w:bottom w:sz="7.2000000000000455" w:val="single" w:color="#221F1F"/>
            </w:tcBorders>
          </w:tcPr>
          <w:p/>
        </w:tc>
        <w:tc>
          <w:tcPr>
            <w:tcW w:type="dxa" w:w="5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77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157729" cy="16890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729" cy="1689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07"/>
            <w:vMerge/>
            <w:tcBorders/>
          </w:tcPr>
          <w:p/>
        </w:tc>
      </w:tr>
      <w:tr>
        <w:trPr>
          <w:trHeight w:hRule="exact" w:val="550"/>
        </w:trPr>
        <w:tc>
          <w:tcPr>
            <w:tcW w:type="dxa" w:w="3207"/>
            <w:vMerge/>
            <w:tcBorders>
              <w:bottom w:sz="7.2000000000000455" w:val="single" w:color="#221F1F"/>
            </w:tcBorders>
          </w:tcPr>
          <w:p/>
        </w:tc>
        <w:tc>
          <w:tcPr>
            <w:tcW w:type="dxa" w:w="5648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58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34"/>
              </w:rPr>
              <w:t>Procedia</w:t>
            </w:r>
          </w:p>
        </w:tc>
      </w:tr>
      <w:tr>
        <w:trPr>
          <w:trHeight w:hRule="exact" w:val="264"/>
        </w:trPr>
        <w:tc>
          <w:tcPr>
            <w:tcW w:type="dxa" w:w="1860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48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13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1 ( 2012 )  87 – 91 </w:t>
            </w:r>
          </w:p>
        </w:tc>
        <w:tc>
          <w:tcPr>
            <w:tcW w:type="dxa" w:w="2058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2"/>
              </w:rPr>
              <w:t>www.elsevier.com/locate/procedia</w:t>
            </w:r>
          </w:p>
        </w:tc>
      </w:tr>
    </w:tbl>
    <w:p>
      <w:pPr>
        <w:autoSpaceDN w:val="0"/>
        <w:autoSpaceDE w:val="0"/>
        <w:widowControl/>
        <w:spacing w:line="230" w:lineRule="auto" w:before="1068" w:after="0"/>
        <w:ind w:left="95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2012 AASRI Conference on Computational Intelligence and Bioinformatics </w:t>
      </w:r>
    </w:p>
    <w:p>
      <w:pPr>
        <w:autoSpaceDN w:val="0"/>
        <w:autoSpaceDE w:val="0"/>
        <w:widowControl/>
        <w:spacing w:line="230" w:lineRule="auto" w:before="264" w:after="0"/>
        <w:ind w:left="83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34"/>
        </w:rPr>
        <w:t xml:space="preserve">Research on the Semantic Web Reasoning Technology </w:t>
      </w:r>
    </w:p>
    <w:p>
      <w:pPr>
        <w:autoSpaceDN w:val="0"/>
        <w:autoSpaceDE w:val="0"/>
        <w:widowControl/>
        <w:spacing w:line="262" w:lineRule="auto" w:before="216" w:after="0"/>
        <w:ind w:left="0" w:right="4032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6"/>
        </w:rPr>
        <w:t>Zhu ChuangLu</w:t>
      </w:r>
      <w:r>
        <w:rPr>
          <w:rFonts w:ascii="TimesNewRoman" w:hAnsi="TimesNewRoman" w:eastAsia="TimesNewRoman"/>
          <w:b w:val="0"/>
          <w:i w:val="0"/>
          <w:color w:val="000000"/>
          <w:sz w:val="17"/>
        </w:rPr>
        <w:t xml:space="preserve"> a</w:t>
      </w:r>
      <w:r>
        <w:rPr>
          <w:rFonts w:ascii="TimesNewRoman" w:hAnsi="TimesNewRoman" w:eastAsia="TimesNewRoman"/>
          <w:b w:val="0"/>
          <w:i w:val="0"/>
          <w:color w:val="000000"/>
          <w:sz w:val="26"/>
        </w:rPr>
        <w:t xml:space="preserve">* </w:t>
      </w:r>
    </w:p>
    <w:p>
      <w:pPr>
        <w:autoSpaceDN w:val="0"/>
        <w:autoSpaceDE w:val="0"/>
        <w:widowControl/>
        <w:spacing w:line="252" w:lineRule="auto" w:before="168" w:after="0"/>
        <w:ind w:left="1248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10"/>
        </w:rPr>
        <w:t>a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 xml:space="preserve">Department of Mathematics and information science, Weinan Teachers College Weinan, 714000, China </w:t>
      </w:r>
    </w:p>
    <w:p>
      <w:pPr>
        <w:autoSpaceDN w:val="0"/>
        <w:autoSpaceDE w:val="0"/>
        <w:widowControl/>
        <w:spacing w:line="233" w:lineRule="auto" w:before="948" w:after="0"/>
        <w:ind w:left="19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Abstract </w:t>
      </w:r>
    </w:p>
    <w:p>
      <w:pPr>
        <w:autoSpaceDN w:val="0"/>
        <w:autoSpaceDE w:val="0"/>
        <w:widowControl/>
        <w:spacing w:line="252" w:lineRule="auto" w:before="242" w:after="0"/>
        <w:ind w:left="19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With the increase of Internet information, information processing requirements have more intelligent. The semantic Web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is based on description logic, so it can be intelligent handling information with the logic. This paper mainly research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Description Logic and inference machine and other parts from the semantic Web reasoning technology. It researches the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relative technologies of existing ontology reasoning and analyzes the transforming relationship between different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reasoning. Ontology reasoning service system which focuses on Description Logic is achieved. This system is combined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with the semantic Web based on the DL inference machine. That can improve the traditional rule-based reasoning system.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© 2012 Published by Elsevier B.V. Selection and/or peer review under responsibility of American Applied Science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Research Institute </w:t>
      </w:r>
    </w:p>
    <w:p>
      <w:pPr>
        <w:autoSpaceDN w:val="0"/>
        <w:autoSpaceDE w:val="0"/>
        <w:widowControl/>
        <w:spacing w:line="224" w:lineRule="exact" w:before="236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© 2012 Published by Elsevier B.V.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1" w:history="1">
          <w:r>
            <w:rPr>
              <w:rStyle w:val="Hyperlink"/>
            </w:rPr>
            <w:t>CC BY-NC-ND license.</w:t>
          </w:r>
        </w:hyperlink>
      </w:r>
    </w:p>
    <w:p>
      <w:pPr>
        <w:autoSpaceDN w:val="0"/>
        <w:autoSpaceDE w:val="0"/>
        <w:widowControl/>
        <w:spacing w:line="233" w:lineRule="auto" w:before="6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Selection and/or peer review under responsibility of American Applied Science Research Institute </w:t>
      </w:r>
    </w:p>
    <w:p>
      <w:pPr>
        <w:autoSpaceDN w:val="0"/>
        <w:autoSpaceDE w:val="0"/>
        <w:widowControl/>
        <w:spacing w:line="230" w:lineRule="auto" w:before="254" w:after="0"/>
        <w:ind w:left="19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 xml:space="preserve">Keywords: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Semantic Web; OWL DL; Reasoner; Description Logic ; </w:t>
      </w:r>
    </w:p>
    <w:p>
      <w:pPr>
        <w:autoSpaceDN w:val="0"/>
        <w:autoSpaceDE w:val="0"/>
        <w:widowControl/>
        <w:spacing w:line="233" w:lineRule="auto" w:before="464" w:after="0"/>
        <w:ind w:left="19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1.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Introduction </w:t>
      </w:r>
    </w:p>
    <w:p>
      <w:pPr>
        <w:autoSpaceDN w:val="0"/>
        <w:autoSpaceDE w:val="0"/>
        <w:widowControl/>
        <w:spacing w:line="247" w:lineRule="auto" w:before="262" w:after="0"/>
        <w:ind w:left="190" w:right="508" w:firstLine="23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Semantic Web helps to give supporting materials of semantic feature to web; it is an innovation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extension of the World-Wide-Web. Its aim is to make all web resources have semanteme [1]. And it helps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computers to know the semanteme to a certain extent in which makes sharing resources and computers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cooperative intelligence more efficient. These information above shows that the research priorities of the </w:t>
      </w:r>
    </w:p>
    <w:p>
      <w:pPr>
        <w:autoSpaceDN w:val="0"/>
        <w:autoSpaceDE w:val="0"/>
        <w:widowControl/>
        <w:spacing w:line="245" w:lineRule="auto" w:before="810" w:after="0"/>
        <w:ind w:left="430" w:right="590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* Corresponding author. Tel.: +86 132 8141 5370 </w:t>
      </w:r>
      <w:r>
        <w:br/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E-mail address: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wnsyzcl@126.com. </w:t>
      </w:r>
    </w:p>
    <w:p>
      <w:pPr>
        <w:autoSpaceDN w:val="0"/>
        <w:autoSpaceDE w:val="0"/>
        <w:widowControl/>
        <w:spacing w:line="200" w:lineRule="exact" w:before="1318" w:after="0"/>
        <w:ind w:left="0" w:right="374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2012 Published by Elsevier Ltd.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1" w:history="1">
          <w:r>
            <w:rPr>
              <w:rStyle w:val="Hyperlink"/>
            </w:rPr>
            <w:t xml:space="preserve">CC BY-NC-ND license. </w:t>
          </w:r>
        </w:hyperlink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10.1016/j.aasri.2012.06.016 </w:t>
      </w:r>
    </w:p>
    <w:p>
      <w:pPr>
        <w:sectPr>
          <w:pgSz w:w="10885" w:h="14854"/>
          <w:pgMar w:top="438" w:right="640" w:bottom="318" w:left="624" w:header="720" w:footer="720" w:gutter="0"/>
          <w:cols w:space="720" w:num="1" w:equalWidth="0"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586" w:val="left"/>
        </w:tabs>
        <w:autoSpaceDE w:val="0"/>
        <w:widowControl/>
        <w:spacing w:line="180" w:lineRule="exact" w:before="0" w:after="0"/>
        <w:ind w:left="8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88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Zhu ChuangLu /  AASRI Procedia  1 ( 2012 )  87 – 91 </w:t>
      </w:r>
    </w:p>
    <w:p>
      <w:pPr>
        <w:autoSpaceDN w:val="0"/>
        <w:autoSpaceDE w:val="0"/>
        <w:widowControl/>
        <w:spacing w:line="245" w:lineRule="auto" w:before="342" w:after="0"/>
        <w:ind w:left="188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Semantic Web is how to make information have semanteme so that the computer can understand and process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it. </w:t>
      </w:r>
    </w:p>
    <w:p>
      <w:pPr>
        <w:autoSpaceDN w:val="0"/>
        <w:autoSpaceDE w:val="0"/>
        <w:widowControl/>
        <w:spacing w:line="230" w:lineRule="auto" w:before="260" w:after="0"/>
        <w:ind w:left="188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2.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The Semantic Web and the Description Logic </w:t>
      </w:r>
    </w:p>
    <w:p>
      <w:pPr>
        <w:autoSpaceDN w:val="0"/>
        <w:autoSpaceDE w:val="0"/>
        <w:widowControl/>
        <w:spacing w:line="247" w:lineRule="auto" w:before="260" w:after="0"/>
        <w:ind w:left="188" w:right="464" w:firstLine="23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Description Logic is a decidable subset of the first-order-predication logic. It is based on logic and its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function on knowledge expressing is powerful. Meanwhile, the Description Logic is the logical foundation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Semantic Web [2,3]. It is established based on the concept and role. Concept is defined as a collection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objects; role is defined as the binary relationship between objects. </w:t>
      </w:r>
    </w:p>
    <w:p>
      <w:pPr>
        <w:autoSpaceDN w:val="0"/>
        <w:autoSpaceDE w:val="0"/>
        <w:widowControl/>
        <w:spacing w:line="245" w:lineRule="auto" w:before="20" w:after="0"/>
        <w:ind w:left="188" w:right="462" w:firstLine="23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Compare the axiom of the OWL DL with the syntax of the Description Logic(DL) [4,5], we can easily find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out the corresponding relationship between the OWL DL and the Description Logic. Table 1 and 2 show us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comparing result [6]. </w:t>
      </w:r>
    </w:p>
    <w:p>
      <w:pPr>
        <w:autoSpaceDN w:val="0"/>
        <w:autoSpaceDE w:val="0"/>
        <w:widowControl/>
        <w:spacing w:line="230" w:lineRule="auto" w:before="222" w:after="244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Table 1. OWL DL construction operator and DL syntax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0.0" w:type="dxa"/>
      </w:tblPr>
      <w:tblGrid>
        <w:gridCol w:w="4773"/>
        <w:gridCol w:w="4773"/>
      </w:tblGrid>
      <w:tr>
        <w:trPr>
          <w:trHeight w:hRule="exact" w:val="296"/>
        </w:trPr>
        <w:tc>
          <w:tcPr>
            <w:tcW w:type="dxa" w:w="4830"/>
            <w:tcBorders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Construction operator </w:t>
            </w:r>
          </w:p>
        </w:tc>
        <w:tc>
          <w:tcPr>
            <w:tcW w:type="dxa" w:w="4080"/>
            <w:tcBorders>
              <w:start w:sz="4.0" w:val="single" w:color="#000000"/>
              <w:top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DL syntax </w:t>
            </w:r>
          </w:p>
        </w:tc>
      </w:tr>
      <w:tr>
        <w:trPr>
          <w:trHeight w:hRule="exact" w:val="296"/>
        </w:trPr>
        <w:tc>
          <w:tcPr>
            <w:tcW w:type="dxa" w:w="4830"/>
            <w:tcBorders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intersectionOf </w:t>
            </w:r>
          </w:p>
        </w:tc>
        <w:tc>
          <w:tcPr>
            <w:tcW w:type="dxa" w:w="4080"/>
            <w:tcBorders>
              <w:start w:sz="4.0" w:val="single" w:color="#000000"/>
              <w:top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C1</w:t>
            </w:r>
            <w:r>
              <w:rPr>
                <w:w w:val="98.44655488666734"/>
                <w:rFonts w:ascii="MTExtra" w:hAnsi="MTExtra" w:eastAsia="MTExtra"/>
                <w:b w:val="0"/>
                <w:i w:val="0"/>
                <w:color w:val="000000"/>
                <w:sz w:val="19"/>
              </w:rPr>
              <w:t xml:space="preserve">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…</w:t>
            </w:r>
            <w:r>
              <w:rPr>
                <w:w w:val="98.69537353515625"/>
                <w:rFonts w:ascii="MTExtra" w:hAnsi="MTExtra" w:eastAsia="MTExtra"/>
                <w:b w:val="0"/>
                <w:i w:val="0"/>
                <w:color w:val="000000"/>
                <w:sz w:val="19"/>
              </w:rPr>
              <w:t xml:space="preserve">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C n </w:t>
            </w:r>
          </w:p>
        </w:tc>
      </w:tr>
      <w:tr>
        <w:trPr>
          <w:trHeight w:hRule="exact" w:val="294"/>
        </w:trPr>
        <w:tc>
          <w:tcPr>
            <w:tcW w:type="dxa" w:w="483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unionOf </w:t>
            </w:r>
          </w:p>
        </w:tc>
        <w:tc>
          <w:tcPr>
            <w:tcW w:type="dxa" w:w="408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C1</w:t>
            </w:r>
            <w:r>
              <w:rPr>
                <w:w w:val="98.44655488666734"/>
                <w:rFonts w:ascii="MTExtra" w:hAnsi="MTExtra" w:eastAsia="MTExtra"/>
                <w:b w:val="0"/>
                <w:i w:val="0"/>
                <w:color w:val="000000"/>
                <w:sz w:val="19"/>
              </w:rPr>
              <w:t xml:space="preserve">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…</w:t>
            </w:r>
            <w:r>
              <w:rPr>
                <w:w w:val="98.69537353515625"/>
                <w:rFonts w:ascii="MTExtra" w:hAnsi="MTExtra" w:eastAsia="MTExtra"/>
                <w:b w:val="0"/>
                <w:i w:val="0"/>
                <w:color w:val="000000"/>
                <w:sz w:val="19"/>
              </w:rPr>
              <w:t xml:space="preserve">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C n </w:t>
            </w:r>
          </w:p>
        </w:tc>
      </w:tr>
      <w:tr>
        <w:trPr>
          <w:trHeight w:hRule="exact" w:val="292"/>
        </w:trPr>
        <w:tc>
          <w:tcPr>
            <w:tcW w:type="dxa" w:w="483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complementOf </w:t>
            </w:r>
          </w:p>
        </w:tc>
        <w:tc>
          <w:tcPr>
            <w:tcW w:type="dxa" w:w="408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w w:val="97.58474349975586"/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C </w:t>
            </w:r>
          </w:p>
        </w:tc>
      </w:tr>
      <w:tr>
        <w:trPr>
          <w:trHeight w:hRule="exact" w:val="298"/>
        </w:trPr>
        <w:tc>
          <w:tcPr>
            <w:tcW w:type="dxa" w:w="483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one of </w:t>
            </w:r>
          </w:p>
        </w:tc>
        <w:tc>
          <w:tcPr>
            <w:tcW w:type="dxa" w:w="408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{x1…xn } </w:t>
            </w:r>
          </w:p>
        </w:tc>
      </w:tr>
      <w:tr>
        <w:trPr>
          <w:trHeight w:hRule="exact" w:val="294"/>
        </w:trPr>
        <w:tc>
          <w:tcPr>
            <w:tcW w:type="dxa" w:w="4830"/>
            <w:tcBorders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hasValue </w:t>
            </w:r>
          </w:p>
        </w:tc>
        <w:tc>
          <w:tcPr>
            <w:tcW w:type="dxa" w:w="4080"/>
            <w:tcBorders>
              <w:start w:sz="4.0" w:val="single" w:color="#000000"/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P.C </w:t>
            </w:r>
          </w:p>
        </w:tc>
      </w:tr>
      <w:tr>
        <w:trPr>
          <w:trHeight w:hRule="exact" w:val="296"/>
        </w:trPr>
        <w:tc>
          <w:tcPr>
            <w:tcW w:type="dxa" w:w="4830"/>
            <w:tcBorders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allValuesFrom </w:t>
            </w:r>
          </w:p>
        </w:tc>
        <w:tc>
          <w:tcPr>
            <w:tcW w:type="dxa" w:w="4080"/>
            <w:tcBorders>
              <w:start w:sz="4.0" w:val="single" w:color="#000000"/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P.C </w:t>
            </w:r>
          </w:p>
        </w:tc>
      </w:tr>
      <w:tr>
        <w:trPr>
          <w:trHeight w:hRule="exact" w:val="296"/>
        </w:trPr>
        <w:tc>
          <w:tcPr>
            <w:tcW w:type="dxa" w:w="483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someValuesFrom </w:t>
            </w:r>
          </w:p>
        </w:tc>
        <w:tc>
          <w:tcPr>
            <w:tcW w:type="dxa" w:w="408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w w:val="98.20568084716797"/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P.C </w:t>
            </w:r>
          </w:p>
        </w:tc>
      </w:tr>
      <w:tr>
        <w:trPr>
          <w:trHeight w:hRule="exact" w:val="294"/>
        </w:trPr>
        <w:tc>
          <w:tcPr>
            <w:tcW w:type="dxa" w:w="4830"/>
            <w:tcBorders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maxCardinality </w:t>
            </w:r>
          </w:p>
        </w:tc>
        <w:tc>
          <w:tcPr>
            <w:tcW w:type="dxa" w:w="4080"/>
            <w:tcBorders>
              <w:start w:sz="4.0" w:val="single" w:color="#000000"/>
              <w:top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nP </w:t>
            </w:r>
          </w:p>
        </w:tc>
      </w:tr>
      <w:tr>
        <w:trPr>
          <w:trHeight w:hRule="exact" w:val="296"/>
        </w:trPr>
        <w:tc>
          <w:tcPr>
            <w:tcW w:type="dxa" w:w="4830"/>
            <w:tcBorders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minCardinality </w:t>
            </w:r>
          </w:p>
        </w:tc>
        <w:tc>
          <w:tcPr>
            <w:tcW w:type="dxa" w:w="4080"/>
            <w:tcBorders>
              <w:start w:sz="4.0" w:val="single" w:color="#000000"/>
              <w:top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0" w:right="0" w:firstLine="0"/>
              <w:jc w:val="center"/>
            </w:pPr>
            <w:r>
              <w:rPr>
                <w:w w:val="98.4272289276123"/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nP </w:t>
            </w:r>
          </w:p>
        </w:tc>
      </w:tr>
    </w:tbl>
    <w:p>
      <w:pPr>
        <w:autoSpaceDN w:val="0"/>
        <w:autoSpaceDE w:val="0"/>
        <w:widowControl/>
        <w:spacing w:line="230" w:lineRule="auto" w:before="216" w:after="246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Table 2.  OWL DL axiom and DL syntax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0.0" w:type="dxa"/>
      </w:tblPr>
      <w:tblGrid>
        <w:gridCol w:w="4773"/>
        <w:gridCol w:w="4773"/>
      </w:tblGrid>
      <w:tr>
        <w:trPr>
          <w:trHeight w:hRule="exact" w:val="294"/>
        </w:trPr>
        <w:tc>
          <w:tcPr>
            <w:tcW w:type="dxa" w:w="486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Axiom </w:t>
            </w:r>
          </w:p>
        </w:tc>
        <w:tc>
          <w:tcPr>
            <w:tcW w:type="dxa" w:w="4044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DL syntax </w:t>
            </w:r>
          </w:p>
        </w:tc>
      </w:tr>
      <w:tr>
        <w:trPr>
          <w:trHeight w:hRule="exact" w:val="296"/>
        </w:trPr>
        <w:tc>
          <w:tcPr>
            <w:tcW w:type="dxa" w:w="486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subClassOf </w:t>
            </w:r>
          </w:p>
        </w:tc>
        <w:tc>
          <w:tcPr>
            <w:tcW w:type="dxa" w:w="4044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C1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 xml:space="preserve">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C2 </w:t>
            </w:r>
          </w:p>
        </w:tc>
      </w:tr>
      <w:tr>
        <w:trPr>
          <w:trHeight w:hRule="exact" w:val="294"/>
        </w:trPr>
        <w:tc>
          <w:tcPr>
            <w:tcW w:type="dxa" w:w="486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equivalentClass </w:t>
            </w:r>
          </w:p>
        </w:tc>
        <w:tc>
          <w:tcPr>
            <w:tcW w:type="dxa" w:w="4044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C1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 xml:space="preserve">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 C2 </w:t>
            </w:r>
          </w:p>
        </w:tc>
      </w:tr>
      <w:tr>
        <w:trPr>
          <w:trHeight w:hRule="exact" w:val="294"/>
        </w:trPr>
        <w:tc>
          <w:tcPr>
            <w:tcW w:type="dxa" w:w="4866"/>
            <w:tcBorders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disjoinWith </w:t>
            </w:r>
          </w:p>
        </w:tc>
        <w:tc>
          <w:tcPr>
            <w:tcW w:type="dxa" w:w="4044"/>
            <w:tcBorders>
              <w:start w:sz="4.0" w:val="single" w:color="#000000"/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C1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 xml:space="preserve"> �</w:t>
            </w:r>
            <w:r>
              <w:rPr>
                <w:w w:val="98.15628051757812"/>
                <w:rFonts w:ascii="Symbol" w:hAnsi="Symbol" w:eastAsia="Symbol"/>
                <w:b w:val="0"/>
                <w:i w:val="0"/>
                <w:color w:val="000000"/>
                <w:sz w:val="20"/>
              </w:rPr>
              <w:t xml:space="preserve">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C2 </w:t>
            </w:r>
          </w:p>
        </w:tc>
      </w:tr>
      <w:tr>
        <w:trPr>
          <w:trHeight w:hRule="exact" w:val="296"/>
        </w:trPr>
        <w:tc>
          <w:tcPr>
            <w:tcW w:type="dxa" w:w="4866"/>
            <w:tcBorders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sameIndividualAs </w:t>
            </w:r>
          </w:p>
        </w:tc>
        <w:tc>
          <w:tcPr>
            <w:tcW w:type="dxa" w:w="4044"/>
            <w:tcBorders>
              <w:start w:sz="4.0" w:val="single" w:color="#000000"/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{x1}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 xml:space="preserve">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{x2} </w:t>
            </w:r>
          </w:p>
        </w:tc>
      </w:tr>
      <w:tr>
        <w:trPr>
          <w:trHeight w:hRule="exact" w:val="296"/>
        </w:trPr>
        <w:tc>
          <w:tcPr>
            <w:tcW w:type="dxa" w:w="486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differentFrom </w:t>
            </w:r>
          </w:p>
        </w:tc>
        <w:tc>
          <w:tcPr>
            <w:tcW w:type="dxa" w:w="4044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{x1}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 xml:space="preserve"> �</w:t>
            </w:r>
            <w:r>
              <w:rPr>
                <w:w w:val="97.80506134033203"/>
                <w:rFonts w:ascii="Symbol" w:hAnsi="Symbol" w:eastAsia="Symbol"/>
                <w:b w:val="0"/>
                <w:i w:val="0"/>
                <w:color w:val="000000"/>
                <w:sz w:val="20"/>
              </w:rPr>
              <w:t xml:space="preserve">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{x2} </w:t>
            </w:r>
          </w:p>
        </w:tc>
      </w:tr>
      <w:tr>
        <w:trPr>
          <w:trHeight w:hRule="exact" w:val="294"/>
        </w:trPr>
        <w:tc>
          <w:tcPr>
            <w:tcW w:type="dxa" w:w="4866"/>
            <w:tcBorders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subPropertyOf </w:t>
            </w:r>
          </w:p>
        </w:tc>
        <w:tc>
          <w:tcPr>
            <w:tcW w:type="dxa" w:w="4044"/>
            <w:tcBorders>
              <w:start w:sz="4.0" w:val="single" w:color="#000000"/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P1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 xml:space="preserve">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P2 </w:t>
            </w:r>
          </w:p>
        </w:tc>
      </w:tr>
      <w:tr>
        <w:trPr>
          <w:trHeight w:hRule="exact" w:val="296"/>
        </w:trPr>
        <w:tc>
          <w:tcPr>
            <w:tcW w:type="dxa" w:w="4866"/>
            <w:tcBorders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equivalentProperty </w:t>
            </w:r>
          </w:p>
        </w:tc>
        <w:tc>
          <w:tcPr>
            <w:tcW w:type="dxa" w:w="4044"/>
            <w:tcBorders>
              <w:start w:sz="4.0" w:val="single" w:color="#000000"/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P1</w:t>
            </w:r>
            <w:r>
              <w:rPr>
                <w:w w:val="101.06829071044923"/>
                <w:rFonts w:ascii="Symbol" w:hAnsi="Symbol" w:eastAsia="Symbol"/>
                <w:b w:val="0"/>
                <w:i w:val="0"/>
                <w:color w:val="000000"/>
                <w:sz w:val="25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P2 </w:t>
            </w:r>
          </w:p>
        </w:tc>
      </w:tr>
      <w:tr>
        <w:trPr>
          <w:trHeight w:hRule="exact" w:val="294"/>
        </w:trPr>
        <w:tc>
          <w:tcPr>
            <w:tcW w:type="dxa" w:w="486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inverseOf(P1) </w:t>
            </w:r>
          </w:p>
        </w:tc>
        <w:tc>
          <w:tcPr>
            <w:tcW w:type="dxa" w:w="4044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</w:t>
            </w:r>
            <w:r>
              <w:rPr>
                <w:w w:val="101.32373046875"/>
                <w:rFonts w:ascii="Symbol" w:hAnsi="Symbol" w:eastAsia="Symbol"/>
                <w:b w:val="0"/>
                <w:i w:val="0"/>
                <w:color w:val="000000"/>
                <w:sz w:val="25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P1- </w:t>
            </w:r>
          </w:p>
        </w:tc>
      </w:tr>
      <w:tr>
        <w:trPr>
          <w:trHeight w:hRule="exact" w:val="296"/>
        </w:trPr>
        <w:tc>
          <w:tcPr>
            <w:tcW w:type="dxa" w:w="486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transitiveProperty </w:t>
            </w:r>
          </w:p>
        </w:tc>
        <w:tc>
          <w:tcPr>
            <w:tcW w:type="dxa" w:w="4044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P+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 xml:space="preserve">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P </w:t>
            </w:r>
          </w:p>
        </w:tc>
      </w:tr>
      <w:tr>
        <w:trPr>
          <w:trHeight w:hRule="exact" w:val="294"/>
        </w:trPr>
        <w:tc>
          <w:tcPr>
            <w:tcW w:type="dxa" w:w="486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functionalProperty </w:t>
            </w:r>
          </w:p>
        </w:tc>
        <w:tc>
          <w:tcPr>
            <w:tcW w:type="dxa" w:w="4044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 xml:space="preserve"> 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 xml:space="preserve">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1P </w:t>
            </w:r>
          </w:p>
        </w:tc>
      </w:tr>
      <w:tr>
        <w:trPr>
          <w:trHeight w:hRule="exact" w:val="296"/>
        </w:trPr>
        <w:tc>
          <w:tcPr>
            <w:tcW w:type="dxa" w:w="4866"/>
            <w:tcBorders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Inverse- FunctionalProperty </w:t>
            </w:r>
          </w:p>
        </w:tc>
        <w:tc>
          <w:tcPr>
            <w:tcW w:type="dxa" w:w="4044"/>
            <w:tcBorders>
              <w:start w:sz="4.0" w:val="single" w:color="#000000"/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 xml:space="preserve"> 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 xml:space="preserve">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1P- </w:t>
            </w:r>
          </w:p>
        </w:tc>
      </w:tr>
      <w:tr>
        <w:trPr>
          <w:trHeight w:hRule="exact" w:val="274"/>
        </w:trPr>
        <w:tc>
          <w:tcPr>
            <w:tcW w:type="dxa" w:w="4866"/>
            <w:tcBorders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Symmetric </w:t>
            </w:r>
          </w:p>
        </w:tc>
        <w:tc>
          <w:tcPr>
            <w:tcW w:type="dxa" w:w="4044"/>
            <w:tcBorders>
              <w:start w:sz="4.0" w:val="single" w:color="#000000"/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 xml:space="preserve">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P-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770" w:bottom="812" w:left="568" w:header="720" w:footer="720" w:gutter="0"/>
          <w:cols w:space="720" w:num="1" w:equalWidth="0">
            <w:col w:w="9548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1511300</wp:posOffset>
            </wp:positionH>
            <wp:positionV relativeFrom="page">
              <wp:posOffset>2628900</wp:posOffset>
            </wp:positionV>
            <wp:extent cx="3619500" cy="21336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1336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9244" w:val="left"/>
        </w:tabs>
        <w:autoSpaceDE w:val="0"/>
        <w:widowControl/>
        <w:spacing w:line="176" w:lineRule="exact" w:before="0" w:after="0"/>
        <w:ind w:left="30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Zhu ChuangLu /  AASRI Procedia  1 ( 2012 )  87 – 91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89</w:t>
      </w:r>
    </w:p>
    <w:p>
      <w:pPr>
        <w:autoSpaceDN w:val="0"/>
        <w:autoSpaceDE w:val="0"/>
        <w:widowControl/>
        <w:spacing w:line="250" w:lineRule="auto" w:before="344" w:after="0"/>
        <w:ind w:left="0" w:right="528" w:firstLine="23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From the two Tables, we can find that the construction operator and axiom of the OWL DL have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corresponding relationship with the Description Logic to a certain extent. Table 1 and Table 2 are listed by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combining the intension of the Description Logic based on the function of DWL DL [7]. We can see that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ontology is described in the description logic way. While the corresponding relationship between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Description Logic and OWL DL exactly demonstrates this point[8]. That’s to say, we can apply the theories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the Description Logic to build a knowledge base KB, that is KB= (T, B) [9]. Then reason the KB according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the reasoning method of the Description Logic and rearrange the knowledge base to find out the conflicts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implicit information. </w:t>
      </w:r>
    </w:p>
    <w:p>
      <w:pPr>
        <w:autoSpaceDN w:val="0"/>
        <w:autoSpaceDE w:val="0"/>
        <w:widowControl/>
        <w:spacing w:line="230" w:lineRule="auto" w:before="260" w:after="0"/>
        <w:ind w:left="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3.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The Design of the Reasoning system of the Semantic Web </w:t>
      </w:r>
    </w:p>
    <w:p>
      <w:pPr>
        <w:autoSpaceDN w:val="0"/>
        <w:autoSpaceDE w:val="0"/>
        <w:widowControl/>
        <w:spacing w:line="182" w:lineRule="auto" w:before="536" w:after="558"/>
        <w:ind w:left="0" w:right="4442" w:firstLine="0"/>
        <w:jc w:val="right"/>
      </w:pPr>
      <w:r>
        <w:rPr>
          <w:rFonts w:ascii="ËÎÌå" w:hAnsi="ËÎÌå" w:eastAsia="ËÎÌå"/>
          <w:b w:val="0"/>
          <w:i w:val="0"/>
          <w:color w:val="000000"/>
          <w:sz w:val="16"/>
        </w:rPr>
        <w:t>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6.0" w:type="dxa"/>
      </w:tblPr>
      <w:tblGrid>
        <w:gridCol w:w="2356"/>
        <w:gridCol w:w="2356"/>
        <w:gridCol w:w="2356"/>
        <w:gridCol w:w="2356"/>
      </w:tblGrid>
      <w:tr>
        <w:trPr>
          <w:trHeight w:hRule="exact" w:val="272"/>
        </w:trPr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14" w:after="0"/>
              <w:ind w:left="0" w:right="632" w:firstLine="0"/>
              <w:jc w:val="righ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16"/>
              </w:rPr>
              <w:t>�������</w:t>
            </w:r>
          </w:p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254" w:after="0"/>
              <w:ind w:left="0" w:right="24" w:firstLine="0"/>
              <w:jc w:val="righ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16"/>
              </w:rPr>
              <w:t>��������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12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SWRL</w:t>
            </w:r>
          </w:p>
        </w:tc>
      </w:tr>
      <w:tr>
        <w:trPr>
          <w:trHeight w:hRule="exact" w:val="220"/>
        </w:trPr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6" w:after="0"/>
              <w:ind w:left="0" w:right="592" w:firstLine="0"/>
              <w:jc w:val="righ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16"/>
              </w:rPr>
              <w:t>���������</w:t>
            </w:r>
          </w:p>
        </w:tc>
        <w:tc>
          <w:tcPr>
            <w:tcW w:type="dxa" w:w="2356"/>
            <w:vMerge/>
            <w:tcBorders/>
          </w:tcPr>
          <w:p/>
        </w:tc>
        <w:tc>
          <w:tcPr>
            <w:tcW w:type="dxa" w:w="2356"/>
            <w:vMerge/>
            <w:tcBorders/>
          </w:tcPr>
          <w:p/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46" w:after="0"/>
              <w:ind w:left="0" w:right="1324" w:firstLine="0"/>
              <w:jc w:val="righ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16"/>
              </w:rPr>
              <w:t>����</w:t>
            </w:r>
          </w:p>
        </w:tc>
      </w:tr>
    </w:tbl>
    <w:p>
      <w:pPr>
        <w:autoSpaceDN w:val="0"/>
        <w:autoSpaceDE w:val="0"/>
        <w:widowControl/>
        <w:spacing w:line="230" w:lineRule="auto" w:before="18" w:after="0"/>
        <w:ind w:left="0" w:right="4846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A</w:t>
      </w:r>
    </w:p>
    <w:p>
      <w:pPr>
        <w:autoSpaceDN w:val="0"/>
        <w:autoSpaceDE w:val="0"/>
        <w:widowControl/>
        <w:spacing w:line="182" w:lineRule="auto" w:before="364" w:after="6"/>
        <w:ind w:left="0" w:right="3778" w:firstLine="0"/>
        <w:jc w:val="right"/>
      </w:pPr>
      <w:r>
        <w:rPr>
          <w:rFonts w:ascii="ËÎÌå" w:hAnsi="ËÎÌå" w:eastAsia="ËÎÌå"/>
          <w:b w:val="0"/>
          <w:i w:val="0"/>
          <w:color w:val="000000"/>
          <w:sz w:val="16"/>
        </w:rPr>
        <w:t>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2356"/>
        <w:gridCol w:w="2356"/>
        <w:gridCol w:w="2356"/>
        <w:gridCol w:w="2356"/>
      </w:tblGrid>
      <w:tr>
        <w:trPr>
          <w:trHeight w:hRule="exact" w:val="368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60" w:after="0"/>
              <w:ind w:left="0" w:right="146" w:firstLine="0"/>
              <w:jc w:val="righ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16"/>
              </w:rPr>
              <w:t>��������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4" w:after="0"/>
              <w:ind w:left="150" w:right="0" w:firstLine="0"/>
              <w:jc w:val="lef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16"/>
              </w:rPr>
              <w:t>���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6" w:after="0"/>
              <w:ind w:left="0" w:right="400" w:firstLine="0"/>
              <w:jc w:val="righ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16"/>
              </w:rPr>
              <w:t>����������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8" w:after="0"/>
              <w:ind w:left="400" w:right="0" w:firstLine="0"/>
              <w:jc w:val="lef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16"/>
              </w:rPr>
              <w:t>����</w:t>
            </w:r>
          </w:p>
        </w:tc>
      </w:tr>
    </w:tbl>
    <w:p>
      <w:pPr>
        <w:autoSpaceDN w:val="0"/>
        <w:autoSpaceDE w:val="0"/>
        <w:widowControl/>
        <w:spacing w:line="182" w:lineRule="auto" w:before="86" w:after="10"/>
        <w:ind w:left="0" w:right="5476" w:firstLine="0"/>
        <w:jc w:val="right"/>
      </w:pPr>
      <w:r>
        <w:rPr>
          <w:rFonts w:ascii="ËÎÌå" w:hAnsi="ËÎÌå" w:eastAsia="ËÎÌå"/>
          <w:b w:val="0"/>
          <w:i w:val="0"/>
          <w:color w:val="000000"/>
          <w:sz w:val="16"/>
        </w:rPr>
        <w:t>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6.0" w:type="dxa"/>
      </w:tblPr>
      <w:tblGrid>
        <w:gridCol w:w="1885"/>
        <w:gridCol w:w="1885"/>
        <w:gridCol w:w="1885"/>
        <w:gridCol w:w="1885"/>
        <w:gridCol w:w="1885"/>
      </w:tblGrid>
      <w:tr>
        <w:trPr>
          <w:trHeight w:hRule="exact" w:val="336"/>
        </w:trPr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78" w:after="0"/>
              <w:ind w:left="0" w:right="508" w:firstLine="0"/>
              <w:jc w:val="righ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16"/>
              </w:rPr>
              <w:t>�������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2" w:after="0"/>
              <w:ind w:left="0" w:right="254" w:firstLine="0"/>
              <w:jc w:val="righ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16"/>
              </w:rPr>
              <w:t>���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210" w:after="0"/>
              <w:ind w:left="0" w:right="0" w:firstLine="0"/>
              <w:jc w:val="center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16"/>
              </w:rPr>
              <w:t>��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0" w:after="0"/>
              <w:ind w:left="0" w:right="0" w:firstLine="0"/>
              <w:jc w:val="center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16"/>
              </w:rPr>
              <w:t>����������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244" w:after="0"/>
              <w:ind w:left="378" w:right="0" w:firstLine="0"/>
              <w:jc w:val="lef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16"/>
              </w:rPr>
              <w:t>������</w:t>
            </w:r>
          </w:p>
        </w:tc>
      </w:tr>
      <w:tr>
        <w:trPr>
          <w:trHeight w:hRule="exact" w:val="262"/>
        </w:trPr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44" w:after="0"/>
              <w:ind w:left="0" w:right="428" w:firstLine="0"/>
              <w:jc w:val="righ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16"/>
              </w:rPr>
              <w:t>����������</w:t>
            </w:r>
          </w:p>
        </w:tc>
        <w:tc>
          <w:tcPr>
            <w:tcW w:type="dxa" w:w="1885"/>
            <w:vMerge/>
            <w:tcBorders/>
          </w:tcPr>
          <w:p/>
        </w:tc>
        <w:tc>
          <w:tcPr>
            <w:tcW w:type="dxa" w:w="1885"/>
            <w:vMerge/>
            <w:tcBorders/>
          </w:tcPr>
          <w:p/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0" w:after="0"/>
              <w:ind w:left="0" w:right="552" w:firstLine="0"/>
              <w:jc w:val="righ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16"/>
              </w:rPr>
              <w:t>������</w:t>
            </w:r>
          </w:p>
        </w:tc>
        <w:tc>
          <w:tcPr>
            <w:tcW w:type="dxa" w:w="188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418" w:after="0"/>
        <w:ind w:left="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Fig.1. The inference system base on semantic Web </w:t>
      </w:r>
    </w:p>
    <w:p>
      <w:pPr>
        <w:autoSpaceDN w:val="0"/>
        <w:autoSpaceDE w:val="0"/>
        <w:widowControl/>
        <w:spacing w:line="250" w:lineRule="auto" w:before="260" w:after="0"/>
        <w:ind w:left="0" w:right="526" w:firstLine="23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semantic reasoning system begins from two aspects (refer with: Fig. 1). For one thing, the ontology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reasoning is used to reduce the redundancy of information in knowledge base and to find out the conflicts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the knowledge content. For another one, the ontology, which is reasoning operated by DL, combines with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correlated rules to get a rule documents which is described by SWRL as the rule base of inference engine.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This method can emerge the correlated rules of inference engine effectively. Because these rules are got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through the ontology inference service, they can be intergraded closely with the knowledge base. The specific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reasoning procedure begins from 3 aspects. First, design domain ontology and design the rules based on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domain ontology. Next, transfer the domain ontology of the OWL and SWRL rules into acceptable form for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inference engine. Finally, import knowledge and rules into the inference engine and then carry 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reasoning. </w:t>
      </w:r>
    </w:p>
    <w:p>
      <w:pPr>
        <w:autoSpaceDN w:val="0"/>
        <w:tabs>
          <w:tab w:pos="238" w:val="left"/>
        </w:tabs>
        <w:autoSpaceDE w:val="0"/>
        <w:widowControl/>
        <w:spacing w:line="247" w:lineRule="auto" w:before="18" w:after="0"/>
        <w:ind w:left="0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We apply this system to automatic course-arranging system. At the very beginning, build ontology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teaching materials. This ontology not only can provide reasoning service for related resources but also make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domain knowledge be reused conveniently. Then, set rules of course and test arrangement to carry through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reasoning service. The main process is as follows: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(1) Build ontology of teaching materials. </w:t>
      </w:r>
    </w:p>
    <w:p>
      <w:pPr>
        <w:autoSpaceDN w:val="0"/>
        <w:tabs>
          <w:tab w:pos="238" w:val="left"/>
        </w:tabs>
        <w:autoSpaceDE w:val="0"/>
        <w:widowControl/>
        <w:spacing w:line="245" w:lineRule="auto" w:before="18" w:after="0"/>
        <w:ind w:left="0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Use Jena base on DL to carry on reasoning about this ontology and find out the semantic conflicts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knowledge base. </w:t>
      </w:r>
    </w:p>
    <w:p>
      <w:pPr>
        <w:autoSpaceDN w:val="0"/>
        <w:autoSpaceDE w:val="0"/>
        <w:widowControl/>
        <w:spacing w:line="230" w:lineRule="auto" w:before="20" w:after="0"/>
        <w:ind w:left="23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Set rules with the algorithm of course arrangement and describe it with SWRL language. </w:t>
      </w:r>
    </w:p>
    <w:p>
      <w:pPr>
        <w:sectPr>
          <w:pgSz w:w="10885" w:h="14854"/>
          <w:pgMar w:top="368" w:right="648" w:bottom="1186" w:left="814" w:header="720" w:footer="720" w:gutter="0"/>
          <w:cols w:space="720" w:num="1" w:equalWidth="0">
            <w:col w:w="9424" w:space="0"/>
            <w:col w:w="9548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586" w:val="left"/>
        </w:tabs>
        <w:autoSpaceDE w:val="0"/>
        <w:widowControl/>
        <w:spacing w:line="180" w:lineRule="exact" w:before="0" w:after="0"/>
        <w:ind w:left="8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90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Zhu ChuangLu /  AASRI Procedia  1 ( 2012 )  87 – 91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342" w:after="0"/>
        <w:ind w:left="188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(4) Transfer the format of the ontology and rules into the ontology and rules in JESS inference machine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then begin reasoning on the basis of rules. </w:t>
      </w:r>
    </w:p>
    <w:p>
      <w:pPr>
        <w:autoSpaceDN w:val="0"/>
        <w:tabs>
          <w:tab w:pos="426" w:val="left"/>
          <w:tab w:pos="578" w:val="left"/>
        </w:tabs>
        <w:autoSpaceDE w:val="0"/>
        <w:widowControl/>
        <w:spacing w:line="245" w:lineRule="auto" w:before="20" w:after="0"/>
        <w:ind w:left="188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There are several main factors which will influence the result of the course arrangement. The classroom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must meet the requirements of the machine and suit to the quantity limit; and the classroom hasn’t been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arranged to use yet. In addition, one class can’t be arranged to have two lessons. If a requirement is satisfied,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one item of the course can be put into the class schedule. Use operator </w:t>
      </w:r>
      <w:r>
        <w:rPr>
          <w:rFonts w:ascii="ËÎÌå" w:hAnsi="ËÎÌå" w:eastAsia="ËÎÌå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on these obtained rules which 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generated from those restricted condition. Then we will get a basic rule of course arrangement as follows: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course(?c) </w:t>
      </w:r>
      <w:r>
        <w:rPr>
          <w:rFonts w:ascii="ËÎÌå" w:hAnsi="ËÎÌå" w:eastAsia="ËÎÌå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classroomIs(?c, null) </w:t>
      </w:r>
      <w:r>
        <w:rPr>
          <w:rFonts w:ascii="ËÎÌå" w:hAnsi="ËÎÌå" w:eastAsia="ËÎÌå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equipmentIs(?c, ?e1) </w:t>
      </w:r>
      <w:r>
        <w:rPr>
          <w:rFonts w:ascii="ËÎÌå" w:hAnsi="ËÎÌå" w:eastAsia="ËÎÌå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Equipment(?e1) </w:t>
      </w:r>
      <w:r>
        <w:rPr>
          <w:rFonts w:ascii="ËÎÌå" w:hAnsi="ËÎÌå" w:eastAsia="ËÎÌå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Classroom(?r) </w:t>
      </w:r>
      <w:r>
        <w:rPr>
          <w:rFonts w:ascii="ËÎÌå" w:hAnsi="ËÎÌå" w:eastAsia="ËÎÌå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classroomtimeIsfree(?r, ?t) </w:t>
      </w:r>
      <w:r>
        <w:rPr>
          <w:rFonts w:ascii="ËÎÌå" w:hAnsi="ËÎÌå" w:eastAsia="ËÎÌå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Time(?t) </w:t>
      </w:r>
      <w:r>
        <w:rPr>
          <w:rFonts w:ascii="ËÎÌå" w:hAnsi="ËÎÌå" w:eastAsia="ËÎÌå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equipmentIs(?r, ?e2) </w:t>
      </w:r>
      <w:r>
        <w:rPr>
          <w:rFonts w:ascii="ËÎÌå" w:hAnsi="ËÎÌå" w:eastAsia="ËÎÌå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Equipment(?e2) </w:t>
      </w:r>
      <w:r>
        <w:rPr>
          <w:rFonts w:ascii="ËÎÌå" w:hAnsi="ËÎÌå" w:eastAsia="ËÎÌå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swrlb</w:t>
      </w:r>
      <w:r>
        <w:rPr>
          <w:rFonts w:ascii="ËÎÌå" w:hAnsi="ËÎÌå" w:eastAsia="ËÎÌå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equal(?el,?e2) </w:t>
      </w:r>
      <w:r>
        <w:rPr>
          <w:rFonts w:ascii="ËÎÌå" w:hAnsi="ËÎÌå" w:eastAsia="ËÎÌå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sizeIs(?r, ?b) </w:t>
      </w:r>
      <w:r>
        <w:rPr>
          <w:rFonts w:ascii="ËÎÌå" w:hAnsi="ËÎÌå" w:eastAsia="ËÎÌå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sizels(?c, ?a) </w:t>
      </w:r>
      <w:r>
        <w:rPr>
          <w:rFonts w:ascii="ËÎÌå" w:hAnsi="ËÎÌå" w:eastAsia="ËÎÌå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swrlb</w:t>
      </w:r>
      <w:r>
        <w:rPr>
          <w:rFonts w:ascii="ËÎÌå" w:hAnsi="ËÎÌå" w:eastAsia="ËÎÌå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greaterThanOrEqual(?b, ?a)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-&gt;arrangeclassroomls(?c, ?r) </w:t>
      </w:r>
      <w:r>
        <w:rPr>
          <w:rFonts w:ascii="ËÎÌå" w:hAnsi="ËÎÌå" w:eastAsia="ËÎÌå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arrangetimeIs(?c, ?t) </w:t>
      </w:r>
      <w:r>
        <w:rPr>
          <w:rFonts w:ascii="ËÎÌå" w:hAnsi="ËÎÌå" w:eastAsia="ËÎÌå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classroomtimeIsbusy(?r, ?t)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After the reasoning finished, the new fact which results from reasoning can be added to the ontology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according to the need. The JESSTab function which manages the ontology can add, modify and delete some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contents of its type, attribution and example. These management functions can be used with rules. If the entire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preconditions are met, those operations are carried out. For instance, the restricted conditions of course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arrangement are met, the conditions of course arrangement established. But this method is just adding a new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fact to JESS; the ontology will not record the new fact proactively. For this reason, we can import this data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into the ontology as needed, or we can import it into other application programs according to the API data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provided by JESS. For instance, we can import this data into the knowledge base so that the people in charge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course arrangement can visit this data by user interface. In addition, we can put this data online so that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those related people can inquire it conveniently. </w:t>
      </w:r>
    </w:p>
    <w:p>
      <w:pPr>
        <w:autoSpaceDN w:val="0"/>
        <w:autoSpaceDE w:val="0"/>
        <w:widowControl/>
        <w:spacing w:line="233" w:lineRule="auto" w:before="258" w:after="0"/>
        <w:ind w:left="188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4.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Summary </w:t>
      </w:r>
    </w:p>
    <w:p>
      <w:pPr>
        <w:autoSpaceDN w:val="0"/>
        <w:autoSpaceDE w:val="0"/>
        <w:widowControl/>
        <w:spacing w:line="250" w:lineRule="auto" w:before="258" w:after="0"/>
        <w:ind w:left="188" w:right="432" w:firstLine="238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Semantic Web is considered to be a web of next generation. But there are many difficulties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challenges in realizing the Semantic Web, such as semantic interconnection, semantic reasoning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intelligent polymerization and other theoretical or technical barriers. Generally speaking, there are 2 aspects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study of semantic reasoning. One is how to established the rules when building an ontology; how to reveal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implied relation in the knowledge organization systems better; how to balance the dominant expression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semantic relations and complexity of building the ontology. The other is how to carry through the semantic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reasoning more efficient and exactly during the stage of designing and implementation about the system. This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paper is concentrated on how to make semantic reasoning efficient. It builds the prototype system of semantic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reasoning and uses subsystem of the Description Logic reasoning to conduct the semantic reasoning. In future,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we can focus on the construction mechanism about the rules of the semantic reasoning when building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ontology.  And we need to combine it with the designing and implementation of the system in order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provide references for the semantic reasoning of various knowledge service systems in future. </w:t>
      </w:r>
    </w:p>
    <w:p>
      <w:pPr>
        <w:autoSpaceDN w:val="0"/>
        <w:autoSpaceDE w:val="0"/>
        <w:widowControl/>
        <w:spacing w:line="230" w:lineRule="auto" w:before="484" w:after="0"/>
        <w:ind w:left="188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Acknowledgements </w:t>
      </w:r>
    </w:p>
    <w:p>
      <w:pPr>
        <w:autoSpaceDN w:val="0"/>
        <w:tabs>
          <w:tab w:pos="626" w:val="left"/>
        </w:tabs>
        <w:autoSpaceDE w:val="0"/>
        <w:widowControl/>
        <w:spacing w:line="245" w:lineRule="auto" w:before="256" w:after="0"/>
        <w:ind w:left="188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This paper is one of the research results of  education department of Shaanxi provincial government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special research project(11JK1067). </w:t>
      </w:r>
    </w:p>
    <w:p>
      <w:pPr>
        <w:autoSpaceDN w:val="0"/>
        <w:autoSpaceDE w:val="0"/>
        <w:widowControl/>
        <w:spacing w:line="233" w:lineRule="auto" w:before="484" w:after="0"/>
        <w:ind w:left="188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References </w:t>
      </w:r>
    </w:p>
    <w:p>
      <w:pPr>
        <w:autoSpaceDN w:val="0"/>
        <w:autoSpaceDE w:val="0"/>
        <w:widowControl/>
        <w:spacing w:line="233" w:lineRule="auto" w:before="200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[1]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Van Kralingen R. W., Visser P. R. S., Bench-Capon T. J. M., and Herik H. J., "A principled approach to </w:t>
      </w:r>
    </w:p>
    <w:p>
      <w:pPr>
        <w:sectPr>
          <w:pgSz w:w="10885" w:h="14854"/>
          <w:pgMar w:top="368" w:right="744" w:bottom="812" w:left="568" w:header="720" w:footer="720" w:gutter="0"/>
          <w:cols w:space="720" w:num="1" w:equalWidth="0">
            <w:col w:w="9574" w:space="0"/>
            <w:col w:w="9424" w:space="0"/>
            <w:col w:w="9548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434" w:val="left"/>
        </w:tabs>
        <w:autoSpaceDE w:val="0"/>
        <w:widowControl/>
        <w:spacing w:line="176" w:lineRule="exact" w:before="0" w:after="0"/>
        <w:ind w:left="321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Zhu ChuangLu /  AASRI Procedia  1 ( 2012 )  87 – 91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91</w:t>
      </w:r>
    </w:p>
    <w:p>
      <w:pPr>
        <w:autoSpaceDN w:val="0"/>
        <w:autoSpaceDE w:val="0"/>
        <w:widowControl/>
        <w:spacing w:line="245" w:lineRule="auto" w:before="332" w:after="0"/>
        <w:ind w:left="190" w:right="57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developing legal knowledge systems", International Journal of Human-Computer Studies, December 1999,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Vol. 51, No. 6, pages 1127-1154. </w:t>
      </w:r>
    </w:p>
    <w:p>
      <w:pPr>
        <w:autoSpaceDN w:val="0"/>
        <w:autoSpaceDE w:val="0"/>
        <w:widowControl/>
        <w:spacing w:line="245" w:lineRule="auto" w:before="10" w:after="0"/>
        <w:ind w:left="190" w:right="57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[2]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Trevor J. M. Bench-Capon, "Ontologies in legal information systems: the need for explicit specifications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 domain conceptualizations", International Conference on Artificial Intelligence and Law, 1997, pages 132-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141. </w:t>
      </w:r>
    </w:p>
    <w:p>
      <w:pPr>
        <w:autoSpaceDN w:val="0"/>
        <w:autoSpaceDE w:val="0"/>
        <w:widowControl/>
        <w:spacing w:line="245" w:lineRule="auto" w:before="10" w:after="0"/>
        <w:ind w:left="190" w:right="57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[3]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Neches R., Fikes R. E., Gruber T. R., "Enabling Technology for Knowledge Sharing", AI Magazine,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1991, Vol. 12, No. 3, pages 36-56. </w:t>
      </w:r>
    </w:p>
    <w:p>
      <w:pPr>
        <w:autoSpaceDN w:val="0"/>
        <w:autoSpaceDE w:val="0"/>
        <w:widowControl/>
        <w:spacing w:line="245" w:lineRule="auto" w:before="10" w:after="0"/>
        <w:ind w:left="190" w:right="57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[4]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Thomas R. Gruber, "A Translation Approach to Portable Ontology Specifications", Knowledge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Acquisition, 1993, Vol.5, No.2 pages199-220. </w:t>
      </w:r>
    </w:p>
    <w:p>
      <w:pPr>
        <w:autoSpaceDN w:val="0"/>
        <w:autoSpaceDE w:val="0"/>
        <w:widowControl/>
        <w:spacing w:line="245" w:lineRule="auto" w:before="10" w:after="0"/>
        <w:ind w:left="190" w:right="57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[5]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Borst P., "Construction of Engineering Ontologies for Knowledge Sharing and Reuse", PhD thesis,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Tweente University, 1997. </w:t>
      </w:r>
    </w:p>
    <w:p>
      <w:pPr>
        <w:autoSpaceDN w:val="0"/>
        <w:autoSpaceDE w:val="0"/>
        <w:widowControl/>
        <w:spacing w:line="245" w:lineRule="auto" w:before="10" w:after="0"/>
        <w:ind w:left="190" w:right="57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[6]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Studer R., Benjamins V. R., Fense I. D., "Knowledge Engineering, Principles and Methods", Data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Knowledge Engineering, 1998, Vol.25, No.12, pages 161-197. </w:t>
      </w:r>
    </w:p>
    <w:p>
      <w:pPr>
        <w:autoSpaceDN w:val="0"/>
        <w:autoSpaceDE w:val="0"/>
        <w:widowControl/>
        <w:spacing w:line="245" w:lineRule="auto" w:before="12" w:after="0"/>
        <w:ind w:left="190" w:right="57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[7]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OWL Web Ontology Language Semantics and Abstract Syntax, W3C Recommendation, 10 February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2004, http://www.w3.org/TR/owl-semantics/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[8]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Tom Gruber, "Toward Principles for the Design of Ontologies Used for Knowledge Sharing",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International Journal of Human-Computer Studies, 1993, Vol.43, No.5-6, pages 907-928. </w:t>
      </w:r>
    </w:p>
    <w:p>
      <w:pPr>
        <w:autoSpaceDN w:val="0"/>
        <w:autoSpaceDE w:val="0"/>
        <w:widowControl/>
        <w:spacing w:line="245" w:lineRule="auto" w:before="10" w:after="0"/>
        <w:ind w:left="190" w:right="57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[9]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Natalya F. Noy, Sintek M., Decker S., Crubezy M., Fergerson R. W., and Musen M. A., "Creating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Semantic Web contents with Protege-2000", IEEE Intelligent Systems, 2001, Vol.16, No.2, pages 60–71. </w:t>
      </w:r>
    </w:p>
    <w:sectPr w:rsidR="00FC693F" w:rsidRPr="0006063C" w:rsidSect="00034616">
      <w:pgSz w:w="10885" w:h="14854"/>
      <w:pgMar w:top="368" w:right="532" w:bottom="812" w:left="624" w:header="720" w:footer="720" w:gutter="0"/>
      <w:cols w:space="720" w:num="1" w:equalWidth="0">
        <w:col w:w="9730" w:space="0"/>
        <w:col w:w="9574" w:space="0"/>
        <w:col w:w="9424" w:space="0"/>
        <w:col w:w="9548" w:space="0"/>
        <w:col w:w="962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