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36" w:lineRule="exact" w:before="0" w:after="144"/>
        <w:ind w:left="0" w:right="0" w:firstLine="0"/>
        <w:jc w:val="center"/>
      </w:pP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9" w:history="1">
          <w:r>
            <w:rPr>
              <w:rStyle w:val="Hyperlink"/>
            </w:rPr>
            <w:t>Array 13 (2022) 100117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3495"/>
        <w:gridCol w:w="3495"/>
        <w:gridCol w:w="3495"/>
      </w:tblGrid>
      <w:tr>
        <w:trPr>
          <w:trHeight w:hRule="exact" w:val="68"/>
        </w:trPr>
        <w:tc>
          <w:tcPr>
            <w:tcW w:type="dxa" w:w="1460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526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16"/>
            <w:tcBorders>
              <w:bottom w:sz="2.3999999999999773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04"/>
        </w:trPr>
        <w:tc>
          <w:tcPr>
            <w:tcW w:type="dxa" w:w="1460"/>
            <w:vMerge w:val="restart"/>
            <w:tcBorders>
              <w:top w:sz="2.3999999999999773" w:val="single" w:color="#000000"/>
              <w:bottom w:sz="23.2000000000000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6920" cy="82804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920" cy="828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26"/>
            <w:tcBorders>
              <w:top w:sz="2.39999999999997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68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Contents lists available at </w:t>
            </w:r>
            <w:r>
              <w:rPr>
                <w:rFonts w:ascii="CharisSIL" w:hAnsi="CharisSIL" w:eastAsia="CharisSIL"/>
                <w:b w:val="0"/>
                <w:i w:val="0"/>
                <w:color w:val="2196D1"/>
                <w:sz w:val="16"/>
              </w:rPr>
              <w:t xml:space="preserve">ScienceDirect </w:t>
            </w:r>
          </w:p>
        </w:tc>
        <w:tc>
          <w:tcPr>
            <w:tcW w:type="dxa" w:w="1416"/>
            <w:vMerge w:val="restart"/>
            <w:tcBorders>
              <w:top w:sz="2.3999999999999773" w:val="single" w:color="#000000"/>
              <w:bottom w:sz="23.20000000000004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8820" cy="90931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20" cy="9093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  <w:tc>
          <w:tcPr>
            <w:tcW w:type="dxa" w:w="7526"/>
            <w:tcBorders/>
            <w:shd w:fill="e6e6e6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6" w:lineRule="exact" w:before="80" w:after="0"/>
              <w:ind w:left="0" w:right="3332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 xml:space="preserve">Array </w:t>
            </w:r>
          </w:p>
        </w:tc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</w:tr>
      <w:tr>
        <w:trPr>
          <w:trHeight w:hRule="exact" w:val="492"/>
        </w:trPr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  <w:tc>
          <w:tcPr>
            <w:tcW w:type="dxa" w:w="7526"/>
            <w:tcBorders>
              <w:bottom w:sz="23.20000000000004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66" w:after="0"/>
              <w:ind w:left="0" w:right="0" w:firstLine="0"/>
              <w:jc w:val="center"/>
            </w:pPr>
            <w:r>
              <w:rPr>
                <w:rFonts w:ascii="Univers" w:hAnsi="Univers" w:eastAsia="Univers"/>
                <w:b w:val="0"/>
                <w:i w:val="0"/>
                <w:color w:val="000000"/>
                <w:sz w:val="16"/>
              </w:rPr>
              <w:t xml:space="preserve">journal homepage: </w:t>
            </w:r>
            <w:r>
              <w:rPr>
                <w:rFonts w:ascii="Univers" w:hAnsi="Univers" w:eastAsia="Univers"/>
                <w:b w:val="0"/>
                <w:i w:val="0"/>
                <w:color w:val="2196D1"/>
                <w:sz w:val="16"/>
              </w:rPr>
              <w:hyperlink r:id="rId12" w:history="1">
                <w:r>
                  <w:rPr>
                    <w:rStyle w:val="Hyperlink"/>
                  </w:rPr>
                  <w:t>www.sciencedirect.com/journal/array</w:t>
                </w:r>
              </w:hyperlink>
            </w:r>
            <w:r>
              <w:rPr>
                <w:rFonts w:ascii="Univers" w:hAnsi="Univers" w:eastAsia="Univers"/>
                <w:b w:val="0"/>
                <w:i w:val="0"/>
                <w:color w:val="2196D1"/>
                <w:sz w:val="16"/>
              </w:rPr>
              <w:t xml:space="preserve"> </w:t>
            </w:r>
          </w:p>
        </w:tc>
        <w:tc>
          <w:tcPr>
            <w:tcW w:type="dxa" w:w="3495"/>
            <w:vMerge/>
            <w:tcBorders>
              <w:top w:sz="2.3999999999999773" w:val="single" w:color="#000000"/>
              <w:bottom w:sz="23.200000000000045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344" w:lineRule="exact" w:before="624" w:after="0"/>
        <w:ind w:left="16" w:right="2736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Securing localization-free underwater routing protocols against 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depth-spoofing attacks </w:t>
      </w:r>
    </w:p>
    <w:p>
      <w:pPr>
        <w:autoSpaceDN w:val="0"/>
        <w:autoSpaceDE w:val="0"/>
        <w:widowControl/>
        <w:spacing w:line="364" w:lineRule="exact" w:before="110" w:after="0"/>
        <w:ind w:left="16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1"/>
        </w:rPr>
        <w:t>Ayman Alharbi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>*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Alaa M. Abbas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>c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Saleh Ibrahim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101.99228286743165"/>
          <w:rFonts w:ascii="CharisSIL" w:hAnsi="CharisSIL" w:eastAsia="CharisSIL"/>
          <w:b w:val="0"/>
          <w:i w:val="0"/>
          <w:color w:val="2196D1"/>
          <w:sz w:val="15"/>
        </w:rPr>
        <w:t xml:space="preserve">d </w:t>
      </w:r>
    </w:p>
    <w:p>
      <w:pPr>
        <w:autoSpaceDN w:val="0"/>
        <w:autoSpaceDE w:val="0"/>
        <w:widowControl/>
        <w:spacing w:line="172" w:lineRule="exact" w:before="120" w:after="160"/>
        <w:ind w:left="16" w:right="2880" w:firstLine="0"/>
        <w:jc w:val="left"/>
      </w:pPr>
      <w:r>
        <w:rPr>
          <w:w w:val="102.62677934434679"/>
          <w:rFonts w:ascii="CharisSIL" w:hAnsi="CharisSIL" w:eastAsia="CharisSIL"/>
          <w:b w:val="0"/>
          <w:i w:val="0"/>
          <w:color w:val="000000"/>
          <w:sz w:val="9"/>
        </w:rPr>
        <w:t>a</w:t>
      </w: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 Department of Computer Engineering, Umm Al-Qura University, Makkah, 21955, Saudi Arabia </w:t>
      </w:r>
      <w:r>
        <w:br/>
      </w:r>
      <w:r>
        <w:rPr>
          <w:w w:val="102.62677934434679"/>
          <w:rFonts w:ascii="CharisSIL" w:hAnsi="CharisSIL" w:eastAsia="CharisSIL"/>
          <w:b w:val="0"/>
          <w:i w:val="0"/>
          <w:color w:val="000000"/>
          <w:sz w:val="9"/>
        </w:rPr>
        <w:t>b</w:t>
      </w: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 Department of Electrical Engineering, Taif University, Haweyah, Saudi Arabia </w:t>
      </w:r>
      <w:r>
        <w:br/>
      </w:r>
      <w:r>
        <w:rPr>
          <w:w w:val="102.62677934434679"/>
          <w:rFonts w:ascii="CharisSIL" w:hAnsi="CharisSIL" w:eastAsia="CharisSIL"/>
          <w:b w:val="0"/>
          <w:i w:val="0"/>
          <w:color w:val="000000"/>
          <w:sz w:val="9"/>
        </w:rPr>
        <w:t>c</w:t>
      </w: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 Department of Electronics and Electrical Communications, Faculty of Electronic Engineering, Menoufia University, Menouf, 32952, Egypt </w:t>
      </w:r>
      <w:r>
        <w:rPr>
          <w:w w:val="102.62677934434679"/>
          <w:rFonts w:ascii="CharisSIL" w:hAnsi="CharisSIL" w:eastAsia="CharisSIL"/>
          <w:b w:val="0"/>
          <w:i w:val="0"/>
          <w:color w:val="000000"/>
          <w:sz w:val="9"/>
        </w:rPr>
        <w:t>d</w:t>
      </w: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 Department of Computer Engineering, Cairo University, Giza, Egypt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.000000000000085" w:type="dxa"/>
      </w:tblPr>
      <w:tblGrid>
        <w:gridCol w:w="5242"/>
        <w:gridCol w:w="5242"/>
      </w:tblGrid>
      <w:tr>
        <w:trPr>
          <w:trHeight w:hRule="exact" w:val="638"/>
        </w:trPr>
        <w:tc>
          <w:tcPr>
            <w:tcW w:type="dxa" w:w="2664"/>
            <w:tcBorders>
              <w:top w:sz="1.599999999999909" w:val="single" w:color="#000000"/>
              <w:bottom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274" w:after="0"/>
              <w:ind w:left="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 R T I C L E  I N F O </w:t>
            </w:r>
          </w:p>
        </w:tc>
        <w:tc>
          <w:tcPr>
            <w:tcW w:type="dxa" w:w="7784"/>
            <w:tcBorders>
              <w:top w:sz="1.599999999999909" w:val="single" w:color="#000000"/>
              <w:bottom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274" w:after="0"/>
              <w:ind w:left="62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 B S T R A C T </w:t>
            </w:r>
          </w:p>
        </w:tc>
      </w:tr>
      <w:tr>
        <w:trPr>
          <w:trHeight w:hRule="exact" w:val="2448"/>
        </w:trPr>
        <w:tc>
          <w:tcPr>
            <w:tcW w:type="dxa" w:w="2664"/>
            <w:tcBorders>
              <w:top w:sz="2.399999999999636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0" w:right="432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Underwater acoustic sensor networks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Routing protocols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Depth-based routing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Secure routing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Sinkhole attacks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Depth-spoofing attack </w:t>
            </w:r>
          </w:p>
        </w:tc>
        <w:tc>
          <w:tcPr>
            <w:tcW w:type="dxa" w:w="7784"/>
            <w:tcBorders>
              <w:top w:sz="2.399999999999636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4" w:after="0"/>
              <w:ind w:left="624" w:right="0" w:firstLine="0"/>
              <w:jc w:val="left"/>
            </w:pP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Localization-free depth-based opportunistic routing protocols are an energy efficient choice for underwater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wireless sensor networks (UWSNs). However, most depth-based routing protocols are vulnerable to sinkhole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attacks caused by depth spoofing. In this paper, we propose an energy-efficient depth-based probabilistic routing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protocol (DPR) that is resilient against depth spoofing. By encouraging unqualified (suboptimal) relay nodes to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randomly forward data packets, the adversarial effects of depth-spoofing can be mitigated. As the randomized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forwarding probability increases, a better packet delivery ratio can be achieved when under depth-spoofing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attacks. To keep energy consumption in check, we propose a simulation-based methodology for finding the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optimal forwarding probability. By adjusting the unqualified node forwarding probability, the proposed DPR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protocol can effectively resist depth-spoofing attacks with a reasonably efficient energy overhead. A delivery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ratio exceeding 90% can be achieved under attack with energy overhead as low as 35% under normal conditions. 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 comparison with relevant existing protocols, the proposed protocol achieves better energy efficiency, resil-</w:t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ience efficiency, and scalability.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430"/>
        <w:ind w:left="0" w:right="0"/>
      </w:pPr>
    </w:p>
    <w:p>
      <w:pPr>
        <w:sectPr>
          <w:pgSz w:w="11906" w:h="15874"/>
          <w:pgMar w:top="334" w:right="686" w:bottom="510" w:left="736" w:header="720" w:footer="720" w:gutter="0"/>
          <w:cols w:space="720" w:num="1" w:equalWidth="0"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0" w:after="0"/>
        <w:ind w:left="1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1. Introduction </w:t>
      </w:r>
    </w:p>
    <w:p>
      <w:pPr>
        <w:autoSpaceDN w:val="0"/>
        <w:autoSpaceDE w:val="0"/>
        <w:widowControl/>
        <w:spacing w:line="210" w:lineRule="exact" w:before="208" w:after="0"/>
        <w:ind w:left="16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Securing underwater sensor networks (UWSNs) has gain consider-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able attention in recent years. This is due to the fact that security vul-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nerabilities are continuously exploited by adversaries and third parties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 political and financial advantages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A wide variety of attacks exist,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 objectives ranging from sniffing the network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to disrupting 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totally disabling operations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UWSNs Routing protocols have been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exposed to variety of several attacks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Such attacks may affect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performance of the routing lightly or even completely. In this paper, we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 on securing the depth-based routing protocol (DBR)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against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selected proven attack. DBR protocol and its recent variants, such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6</w:t>
      </w:r>
      <w:r>
        <w:rPr>
          <w:rFonts w:ascii="STIX" w:hAnsi="STIX" w:eastAsia="STIX"/>
          <w:b w:val="0"/>
          <w:i w:val="0"/>
          <w:color w:val="2196D1"/>
          <w:sz w:val="16"/>
        </w:rPr>
        <w:t>–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are particularly favorable for UWSNs due to that fact that they do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not require full node localization, which is a challenging task in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underwater environment. The original DBR protocol, as well as its many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derivatives, determines routes using one-dimensional depth informa-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tion, which is easily obtainable by measuring pressure. In these 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tocols, the data generated by underwater nodes are collected by sinks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placed at the water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surface. Each routing hop attempts to minimize the </w:t>
      </w:r>
    </w:p>
    <w:p>
      <w:pPr>
        <w:autoSpaceDN w:val="0"/>
        <w:autoSpaceDE w:val="0"/>
        <w:widowControl/>
        <w:spacing w:line="234" w:lineRule="exact" w:before="362" w:after="0"/>
        <w:ind w:left="116" w:right="0" w:firstLine="0"/>
        <w:jc w:val="left"/>
      </w:pP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* Corresponding author. </w:t>
      </w:r>
    </w:p>
    <w:p>
      <w:pPr>
        <w:autoSpaceDN w:val="0"/>
        <w:autoSpaceDE w:val="0"/>
        <w:widowControl/>
        <w:spacing w:line="234" w:lineRule="exact" w:before="0" w:after="0"/>
        <w:ind w:left="254" w:right="0" w:firstLine="0"/>
        <w:jc w:val="left"/>
      </w:pPr>
      <w:r>
        <w:rPr>
          <w:w w:val="102.47142655508858"/>
          <w:rFonts w:ascii="CharisSIL" w:hAnsi="CharisSIL" w:eastAsia="CharisSIL"/>
          <w:b w:val="0"/>
          <w:i/>
          <w:color w:val="000000"/>
          <w:sz w:val="14"/>
        </w:rPr>
        <w:t xml:space="preserve">E-mail address: </w:t>
      </w:r>
      <w:r>
        <w:rPr>
          <w:w w:val="102.47142655508858"/>
          <w:rFonts w:ascii="CharisSIL" w:hAnsi="CharisSIL" w:eastAsia="CharisSIL"/>
          <w:b w:val="0"/>
          <w:i w:val="0"/>
          <w:color w:val="2196D1"/>
          <w:sz w:val="14"/>
        </w:rPr>
        <w:hyperlink r:id="rId13" w:history="1">
          <w:r>
            <w:rPr>
              <w:rStyle w:val="Hyperlink"/>
            </w:rPr>
            <w:t>aarharbi@uqu.edu.sa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2196D1"/>
          <w:sz w:val="14"/>
        </w:rPr>
        <w:t xml:space="preserve">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(A. Alharbi). </w:t>
      </w:r>
    </w:p>
    <w:p>
      <w:pPr>
        <w:sectPr>
          <w:type w:val="continuous"/>
          <w:pgSz w:w="11906" w:h="15874"/>
          <w:pgMar w:top="334" w:right="686" w:bottom="510" w:left="736" w:header="720" w:footer="720" w:gutter="0"/>
          <w:cols w:space="720" w:num="2" w:equalWidth="0"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156" w:right="20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packet depth until it reaches a surface sink. Relay nodes hold packets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received from the channel and wait for other nodes, which may be closer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the surface, giving them a chance to forward first. Nodes closer to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surface go first and announce their depth in the header of forwarded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packets. Upon learning that a neighbor has already forwarded the held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packet, it is assumed to be closer to the surface, and thereafter, deeper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nodes discard their held copies. </w:t>
      </w:r>
    </w:p>
    <w:p>
      <w:pPr>
        <w:autoSpaceDN w:val="0"/>
        <w:autoSpaceDE w:val="0"/>
        <w:widowControl/>
        <w:spacing w:line="210" w:lineRule="exact" w:before="50" w:after="0"/>
        <w:ind w:left="156" w:right="2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One of the threats against DBR protocols techniques, the sinkhole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attack. Unlike a denial-of-service attack that aims to overwhelm network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resources, a sinkhole attack aims to inhibit the network from delivering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valuable information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It is considered one of the most critical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severe attacks, as it is very hard to observe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and can reduce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lifetime of the network by 70%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</w:p>
    <w:p>
      <w:pPr>
        <w:autoSpaceDN w:val="0"/>
        <w:autoSpaceDE w:val="0"/>
        <w:widowControl/>
        <w:spacing w:line="210" w:lineRule="exact" w:before="52" w:after="902"/>
        <w:ind w:left="156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Although the opportunistic behavior of DBR relay nodes saves 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ergy, it enables a variant of the sinkhole attack called the depth-spoofing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attack. An adversary can take advantage of the behavior pattern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convincing relay nodes in a certain neighborhood to drop their held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packets prematurely. Since the work done by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it has been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known that a carefully positioned adversary announcing a smaller depth </w:t>
      </w:r>
    </w:p>
    <w:p>
      <w:pPr>
        <w:sectPr>
          <w:type w:val="nextColumn"/>
          <w:pgSz w:w="11906" w:h="15874"/>
          <w:pgMar w:top="334" w:right="686" w:bottom="510" w:left="736" w:header="720" w:footer="720" w:gutter="0"/>
          <w:cols w:space="720" w:num="2" w:equalWidth="0">
            <w:col w:w="5240" w:space="0"/>
            <w:col w:w="5244" w:space="0"/>
            <w:col w:w="1048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310"/>
        <w:gridCol w:w="1310"/>
        <w:gridCol w:w="1310"/>
        <w:gridCol w:w="1310"/>
        <w:gridCol w:w="1310"/>
        <w:gridCol w:w="1310"/>
        <w:gridCol w:w="1310"/>
        <w:gridCol w:w="1310"/>
      </w:tblGrid>
      <w:tr>
        <w:trPr>
          <w:trHeight w:hRule="exact" w:val="794"/>
        </w:trPr>
        <w:tc>
          <w:tcPr>
            <w:tcW w:type="dxa" w:w="6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12" w:right="0" w:firstLine="0"/>
              <w:jc w:val="left"/>
            </w:pP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2196D1"/>
                <w:sz w:val="14"/>
              </w:rPr>
              <w:hyperlink r:id="rId9" w:history="1">
                <w:r>
                  <w:rPr>
                    <w:rStyle w:val="Hyperlink"/>
                  </w:rPr>
                  <w:t>https://doi.org/10.1016/j.array.2021.100117</w:t>
                </w:r>
              </w:hyperlink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2196D1"/>
                <w:sz w:val="14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234" w:lineRule="exact" w:before="0" w:after="0"/>
              <w:ind w:left="12" w:right="0" w:firstLine="0"/>
              <w:jc w:val="left"/>
            </w:pP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hyperlink r:id="rId9" w:history="1">
                <w:r>
                  <w:rPr>
                    <w:rStyle w:val="Hyperlink"/>
                  </w:rPr>
                  <w:t>Received 10 August 2021; Received in revise</w:t>
                </w:r>
              </w:hyperlink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d form 8 October 2021; Accepted 2 December 2021 </w:t>
            </w:r>
          </w:p>
          <w:p>
            <w:pPr>
              <w:autoSpaceDN w:val="0"/>
              <w:autoSpaceDE w:val="0"/>
              <w:widowControl/>
              <w:spacing w:line="234" w:lineRule="exact" w:before="0" w:after="0"/>
              <w:ind w:left="10" w:right="0" w:firstLine="0"/>
              <w:jc w:val="left"/>
            </w:pP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Available online 6 December 2021</w:t>
            </w:r>
          </w:p>
          <w:p>
            <w:pPr>
              <w:autoSpaceDN w:val="0"/>
              <w:tabs>
                <w:tab w:pos="1052" w:val="left"/>
                <w:tab w:pos="1534" w:val="left"/>
                <w:tab w:pos="1930" w:val="left"/>
                <w:tab w:pos="2878" w:val="left"/>
                <w:tab w:pos="3656" w:val="left"/>
                <w:tab w:pos="3972" w:val="left"/>
                <w:tab w:pos="4630" w:val="left"/>
                <w:tab w:pos="5272" w:val="left"/>
                <w:tab w:pos="5698" w:val="left"/>
                <w:tab w:pos="5958" w:val="left"/>
                <w:tab w:pos="6270" w:val="left"/>
              </w:tabs>
              <w:autoSpaceDE w:val="0"/>
              <w:widowControl/>
              <w:spacing w:line="234" w:lineRule="exact" w:before="0" w:after="0"/>
              <w:ind w:left="10" w:right="0" w:firstLine="0"/>
              <w:jc w:val="left"/>
            </w:pP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2590-0056/©</w:t>
            </w:r>
            <w:r>
              <w:tab/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2021 </w:t>
            </w:r>
            <w:r>
              <w:tab/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The </w:t>
            </w:r>
            <w:r>
              <w:tab/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Authors. </w:t>
            </w:r>
            <w:r>
              <w:tab/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Published </w:t>
            </w:r>
            <w:r>
              <w:tab/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by </w:t>
            </w:r>
            <w:r>
              <w:tab/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Elsevier </w:t>
            </w:r>
            <w:r>
              <w:tab/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Inc. </w:t>
            </w:r>
            <w:r>
              <w:tab/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This </w:t>
            </w:r>
            <w:r>
              <w:tab/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is </w:t>
            </w:r>
            <w:r>
              <w:tab/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an </w:t>
            </w:r>
            <w:r>
              <w:tab/>
            </w: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open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542" w:after="0"/>
              <w:ind w:left="0" w:right="0" w:firstLine="0"/>
              <w:jc w:val="center"/>
            </w:pP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access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542" w:after="0"/>
              <w:ind w:left="0" w:right="0" w:firstLine="0"/>
              <w:jc w:val="center"/>
            </w:pP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article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542" w:after="0"/>
              <w:ind w:left="0" w:right="0" w:firstLine="0"/>
              <w:jc w:val="center"/>
            </w:pP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under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542" w:after="0"/>
              <w:ind w:left="0" w:right="0" w:firstLine="0"/>
              <w:jc w:val="center"/>
            </w:pP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542" w:after="0"/>
              <w:ind w:left="0" w:right="0" w:firstLine="0"/>
              <w:jc w:val="center"/>
            </w:pP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CC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542" w:after="0"/>
              <w:ind w:left="0" w:right="0" w:firstLine="0"/>
              <w:jc w:val="center"/>
            </w:pP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BY-NC-ND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542" w:after="0"/>
              <w:ind w:left="0" w:right="0" w:firstLine="0"/>
              <w:jc w:val="center"/>
            </w:pPr>
            <w:r>
              <w:rPr>
                <w:w w:val="102.47142655508858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license</w:t>
            </w:r>
          </w:p>
        </w:tc>
      </w:tr>
    </w:tbl>
    <w:p>
      <w:pPr>
        <w:autoSpaceDN w:val="0"/>
        <w:autoSpaceDE w:val="0"/>
        <w:widowControl/>
        <w:spacing w:line="130" w:lineRule="exact" w:before="16" w:after="0"/>
        <w:ind w:left="14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8"/>
        </w:rPr>
        <w:t>(</w:t>
      </w:r>
      <w:r>
        <w:rPr>
          <w:rFonts w:ascii="CharisSIL" w:hAnsi="CharisSIL" w:eastAsia="CharisSIL"/>
          <w:b w:val="0"/>
          <w:i w:val="0"/>
          <w:color w:val="09769F"/>
          <w:sz w:val="8"/>
        </w:rPr>
        <w:hyperlink r:id="rId14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8"/>
        </w:rPr>
        <w:t>).</w:t>
      </w:r>
    </w:p>
    <w:p>
      <w:pPr>
        <w:sectPr>
          <w:type w:val="continuous"/>
          <w:pgSz w:w="11906" w:h="15874"/>
          <w:pgMar w:top="334" w:right="686" w:bottom="510" w:left="736" w:header="720" w:footer="720" w:gutter="0"/>
          <w:cols w:space="720" w:num="1" w:equalWidth="0"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A. Alharbi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13 (2022) 100117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 inhibit neighboring relay nodes from forwarding, thus causing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routing sinkhole. </w:t>
      </w:r>
    </w:p>
    <w:p>
      <w:pPr>
        <w:autoSpaceDN w:val="0"/>
        <w:autoSpaceDE w:val="0"/>
        <w:widowControl/>
        <w:spacing w:line="210" w:lineRule="exact" w:before="52" w:after="0"/>
        <w:ind w:left="0" w:right="52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Naïve secure routing approaches to resist this attack, such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cryptography-authenticated routing, e.g.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can be circumvented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a compromised node. Trust-based secure routing, as mentioned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Refs.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requires the exchange of second-hand information, 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exhausts additional resources in the already constrained UAN resources.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Some physical layer techniques, such as the estimation of the angle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arrival using vector acoustic sensors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can potentially help avoid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depth-spoofing attacks. However, the additional cost and complexity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such elaborate physical layer technologies contradict the philosophy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DBR protocol, which seeks to provide a low-cost localization-free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routing protocol.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Motivated by the facts that (a) depth-based routing is one of the most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successful classes of routing protocols in UANs, (b) depth-based routing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inherently susceptible to depth-spoofing vulnerability, and (c)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efficiency of existing countermeasures against depth-spoofing vulnera-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bility is limited, we propose a new approach to mitigate depth-spoofing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attacks. Our contribution to this work can be summarized in two points: </w:t>
      </w:r>
    </w:p>
    <w:p>
      <w:pPr>
        <w:autoSpaceDN w:val="0"/>
        <w:autoSpaceDE w:val="0"/>
        <w:widowControl/>
        <w:spacing w:line="470" w:lineRule="exact" w:before="30" w:after="0"/>
        <w:ind w:left="0" w:right="0" w:firstLine="0"/>
        <w:jc w:val="center"/>
      </w:pP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We propose probabilistic forwarding as an effective countermeasure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against depth-spoofing sinkhole attacks. </w:t>
      </w:r>
    </w:p>
    <w:p>
      <w:pPr>
        <w:autoSpaceDN w:val="0"/>
        <w:tabs>
          <w:tab w:pos="238" w:val="left"/>
        </w:tabs>
        <w:autoSpaceDE w:val="0"/>
        <w:widowControl/>
        <w:spacing w:line="338" w:lineRule="exact" w:before="4" w:after="0"/>
        <w:ind w:left="88" w:right="0" w:firstLine="0"/>
        <w:jc w:val="left"/>
      </w:pP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We minimize the energy overhead of the proposed protocol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adjusting the forwarding probability according to the specific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network deployment. </w:t>
      </w:r>
    </w:p>
    <w:p>
      <w:pPr>
        <w:autoSpaceDN w:val="0"/>
        <w:autoSpaceDE w:val="0"/>
        <w:widowControl/>
        <w:spacing w:line="210" w:lineRule="exact" w:before="208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protocol proposed in this paper attempts to achieve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following objectives: (a) to be simple to implement and analyze and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establish its effectiveness in thwarting the depth-spoofing attack; (b)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have minimal overhead when operating in normal conditions and also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presence of a depth-spoofing attacker; (c) to be suitable for UANs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different node densities and traffic loads through proper setting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protocol parameters; and (d) to be applicable to a variety of opportu-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nistic routing protocols, including DBR and its variants.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rest of the paper is organized as follows: In Section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we review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relevant background and related work on depth-based routing and then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illustrate the attack model. In Section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we present the proposed 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tocol. In Section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we detail the evaluation methodology and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simulation settings to be used for evaluation. In Section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we present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simulation results, discuss our observations, and highlight the main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findings. Finally, in Section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we present the concluding remarks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future work. </w:t>
      </w:r>
    </w:p>
    <w:p>
      <w:pPr>
        <w:autoSpaceDN w:val="0"/>
        <w:autoSpaceDE w:val="0"/>
        <w:widowControl/>
        <w:spacing w:line="260" w:lineRule="exact" w:before="16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2. Background and related work </w:t>
      </w:r>
    </w:p>
    <w:p>
      <w:pPr>
        <w:autoSpaceDN w:val="0"/>
        <w:autoSpaceDE w:val="0"/>
        <w:widowControl/>
        <w:spacing w:line="210" w:lineRule="exact" w:before="21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 this section, we review the traditional DBR protocol and its de-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rivatives. We then present the specifications of depth-spoofing attacks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review previous attempts to secure DBR protocols against this type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attack. </w:t>
      </w:r>
    </w:p>
    <w:p>
      <w:pPr>
        <w:autoSpaceDN w:val="0"/>
        <w:autoSpaceDE w:val="0"/>
        <w:widowControl/>
        <w:spacing w:line="260" w:lineRule="exact" w:before="16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2.1. Depth-based routing protocols </w:t>
      </w:r>
    </w:p>
    <w:p>
      <w:pPr>
        <w:autoSpaceDN w:val="0"/>
        <w:autoSpaceDE w:val="0"/>
        <w:widowControl/>
        <w:spacing w:line="210" w:lineRule="exact" w:before="208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DBR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is a special class of geographic routing protocols. Instead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 nodes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’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full location information, DBR only needs one-dimensional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depth information. Depth information is readily available through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simple pressure sensors, unlike the daunting task of underwater locali-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zation required for other protocols, such as vector-based forwarding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 variants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Another advantage of DBR is that no additional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control traffic is needed. Coordination between nodes occurs when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nodes announce their current depths to their neighbors within a special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field in the header of forwarded packets. </w:t>
      </w:r>
    </w:p>
    <w:p>
      <w:pPr>
        <w:autoSpaceDN w:val="0"/>
        <w:tabs>
          <w:tab w:pos="238" w:val="left"/>
        </w:tabs>
        <w:autoSpaceDE w:val="0"/>
        <w:widowControl/>
        <w:spacing w:line="212" w:lineRule="exact" w:before="206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2.1.1. Basic operation of DBR protocol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Upon learning of a neighbor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transmissions, a DBR node decides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whether it is a qualified forwarder or not. A qualified forwarder is a node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 a depth smaller than the sender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depth marked on the received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A. Alharbi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13 (2022) 100117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0" w:right="156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WDFAD-DBR protocol by considering the depth differences, energy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level, and the shortest path of forwarders. RPSOR calculates priority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function, which is increased exponentially for small-depth differences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candidate forwarding nodes. </w:t>
      </w:r>
    </w:p>
    <w:p>
      <w:pPr>
        <w:autoSpaceDN w:val="0"/>
        <w:autoSpaceDE w:val="0"/>
        <w:widowControl/>
        <w:spacing w:line="210" w:lineRule="exact" w:before="52" w:after="0"/>
        <w:ind w:left="0" w:right="1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SORP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was developed based on a depth-routing mechanism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avoid void areas, which might exist in some topologies. The stateless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routing protocol detects void regions, as well as local trapped nodes,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then avoids including them in the routing process. </w:t>
      </w:r>
    </w:p>
    <w:p>
      <w:pPr>
        <w:autoSpaceDN w:val="0"/>
        <w:autoSpaceDE w:val="0"/>
        <w:widowControl/>
        <w:spacing w:line="210" w:lineRule="exact" w:before="50" w:after="0"/>
        <w:ind w:left="0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Authors in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have proposed RSAR and CoSAR protocols 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 depth information. RSAR reduces the burden of low-depth nodes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classifying nodes in the network into several energy grades. The deepest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nodes will have higher energy grades, while nodes closest to the water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surface will have smaller grades. Each source node calculates the weight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 on depth, energy grade, and remaining energy of the next for-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warding node. However, RSAR transmits packets using a single link,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which may lead to unreliable delivery. To mitigate this issue, the CoSAR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protocol depends on a cooperative forwarding mechanism. </w:t>
      </w:r>
    </w:p>
    <w:p>
      <w:pPr>
        <w:autoSpaceDN w:val="0"/>
        <w:autoSpaceDE w:val="0"/>
        <w:widowControl/>
        <w:spacing w:line="210" w:lineRule="exact" w:before="52" w:after="0"/>
        <w:ind w:left="0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To minimize end-to-end delay and achieve better network perfor-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mance based on the depth routing technique, the authors of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posed the DRADS, iDRADS, and Co-iDRADS delay sensitive routing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protocols. Depth information is utilized in each protocol to assure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reliable link and short delivery time in the routing process. </w:t>
      </w:r>
    </w:p>
    <w:p>
      <w:pPr>
        <w:autoSpaceDN w:val="0"/>
        <w:autoSpaceDE w:val="0"/>
        <w:widowControl/>
        <w:spacing w:line="210" w:lineRule="exact" w:before="50" w:after="0"/>
        <w:ind w:left="0" w:right="144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recently proposed Energy Efficient Depth-based Opportunistic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Routing with Void Avoidance (EEDOR-VA)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uses a reactive routing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mechanism to acquire a node hop count from a sink and combine 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 with node depth to determine the node priority in the for-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warding process. EEDOR-VA selects candidate forwarding sets to avoid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routing voids and coordinates between nodes within the candidate set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reduce redundant transmissions. </w:t>
      </w:r>
    </w:p>
    <w:p>
      <w:pPr>
        <w:autoSpaceDN w:val="0"/>
        <w:autoSpaceDE w:val="0"/>
        <w:widowControl/>
        <w:spacing w:line="210" w:lineRule="exact" w:before="50" w:after="0"/>
        <w:ind w:left="0" w:right="1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Unfortunately, all the abovementioned DBR-variant protocols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susceptible to depth-spoofing attacks, which will be explained in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next subsection. </w:t>
      </w:r>
    </w:p>
    <w:p>
      <w:pPr>
        <w:autoSpaceDN w:val="0"/>
        <w:autoSpaceDE w:val="0"/>
        <w:widowControl/>
        <w:spacing w:line="260" w:lineRule="exact" w:before="246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2.2. Depth-spoofing attack </w:t>
      </w:r>
    </w:p>
    <w:p>
      <w:pPr>
        <w:autoSpaceDN w:val="0"/>
        <w:autoSpaceDE w:val="0"/>
        <w:widowControl/>
        <w:spacing w:line="208" w:lineRule="exact" w:before="210" w:after="0"/>
        <w:ind w:left="0" w:right="1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attack against depth-based routing is intended to cause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sinkhole-like effect, which prevents packet delivery. We adopt the attack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 presented in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which makes the following assumptions: </w:t>
      </w:r>
    </w:p>
    <w:p>
      <w:pPr>
        <w:autoSpaceDN w:val="0"/>
        <w:autoSpaceDE w:val="0"/>
        <w:widowControl/>
        <w:spacing w:line="262" w:lineRule="exact" w:before="158" w:after="0"/>
        <w:ind w:left="26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a) Malicious and legitimate nodes have the same transmission range.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tabs>
          <w:tab w:pos="394" w:val="left"/>
        </w:tabs>
        <w:autoSpaceDE w:val="0"/>
        <w:widowControl/>
        <w:spacing w:line="210" w:lineRule="exact" w:before="50" w:after="0"/>
        <w:ind w:left="174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b) The adversary can place malicious nodes at the most damaging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location in the network. </w:t>
      </w:r>
    </w:p>
    <w:p>
      <w:pPr>
        <w:autoSpaceDN w:val="0"/>
        <w:autoSpaceDE w:val="0"/>
        <w:widowControl/>
        <w:spacing w:line="210" w:lineRule="exact" w:before="208" w:after="0"/>
        <w:ind w:left="156" w:right="0" w:firstLine="240"/>
        <w:jc w:val="left"/>
      </w:pP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Fig. 1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illustrates how the depth-spoofing attack works. The source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node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has one qualified forwarder </w:t>
      </w:r>
      <w:r>
        <w:rPr>
          <w:rFonts w:ascii="CharisSIL" w:hAnsi="CharisSIL" w:eastAsia="CharisSIL"/>
          <w:b w:val="0"/>
          <w:i/>
          <w:color w:val="000000"/>
          <w:sz w:val="16"/>
        </w:rPr>
        <w:t>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which can transmit packets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directly to sink </w:t>
      </w:r>
      <w:r>
        <w:rPr>
          <w:rFonts w:ascii="CharisSIL" w:hAnsi="CharisSIL" w:eastAsia="CharisSIL"/>
          <w:b w:val="0"/>
          <w:i/>
          <w:color w:val="000000"/>
          <w:sz w:val="16"/>
        </w:rPr>
        <w:t>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The malicious node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placed such that it can receive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transmissions of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all its neighbors, namely </w:t>
      </w:r>
      <w:r>
        <w:rPr>
          <w:rFonts w:ascii="CharisSIL" w:hAnsi="CharisSIL" w:eastAsia="CharisSIL"/>
          <w:b w:val="0"/>
          <w:i/>
          <w:color w:val="000000"/>
          <w:sz w:val="16"/>
        </w:rPr>
        <w:t>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When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transmits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packet, both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will pick it up, since they are all within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transmission range of </w:t>
      </w:r>
      <w:r>
        <w:rPr>
          <w:rFonts w:ascii="CharisSIL" w:hAnsi="CharisSIL" w:eastAsia="CharisSIL"/>
          <w:b w:val="0"/>
          <w:i/>
          <w:color w:val="000000"/>
          <w:sz w:val="16"/>
        </w:rPr>
        <w:t>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The attacker will try to prevent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 for-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warding the packet received from the source. While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will hold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packet for a short while in its transmission queue,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will quickly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retransmit its copy of the packet announcing a fake depth that makes it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look closer to the surface than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actually is. Consequently,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will drop its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copy of the packet, which will effectively be lost. </w:t>
      </w:r>
    </w:p>
    <w:p>
      <w:pPr>
        <w:autoSpaceDN w:val="0"/>
        <w:autoSpaceDE w:val="0"/>
        <w:widowControl/>
        <w:spacing w:line="210" w:lineRule="exact" w:before="52" w:after="0"/>
        <w:ind w:left="156" w:right="2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assumption that the malicious node has the same transmission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range as the legitimate nodes can be justified: If the malicious node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transmits the spoofed packets to a larger range than that reached by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source, the malicious node can inadvertently deliver the packet to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destination or at least to a relay node that is closer to the destination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than the neighbors of the source. In this case, the malicious node will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cooperate in the delivery process rather than disrupting it. Similarly, if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transmission range of the malicious node is smaller than that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legitimate nodes, the depth-spoofed packet may not reach some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neighbors of the source node, which allows them to successfully relay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packets to the destination. Therefore, the most effective depth-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spoofing attack is possible when the transmission range of the attacker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close to the transmission range of the legitimate nodes. </w:t>
      </w:r>
    </w:p>
    <w:p>
      <w:pPr>
        <w:autoSpaceDN w:val="0"/>
        <w:autoSpaceDE w:val="0"/>
        <w:widowControl/>
        <w:spacing w:line="260" w:lineRule="exact" w:before="246" w:after="0"/>
        <w:ind w:left="156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2.3. Depth-spoofing attack mitigation mechanisms </w:t>
      </w:r>
    </w:p>
    <w:p>
      <w:pPr>
        <w:autoSpaceDN w:val="0"/>
        <w:autoSpaceDE w:val="0"/>
        <w:widowControl/>
        <w:spacing w:line="210" w:lineRule="exact" w:before="208" w:after="268"/>
        <w:ind w:left="156" w:right="2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partial solution to the depth-spoofing attack was proposed by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resilient pressure-based routing (RPR) protocol in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RPR, like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DBR, uses depth information to determine packet holding times but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employs cryptographic authentication and a sliding window threshold.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During the forwarding decision, instead of comparing the depth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advantage to a fixed minimum threshold, the received packet header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will contain a lower bound threshold and an upper bound threshold.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Only nodes within the threshold window are required to forward. Each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sender determines the threshold window for the next hop by choosing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two depths randomly from its neighbor list. The communication 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594350" cy="28778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2877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76" w:after="0"/>
        <w:ind w:left="0" w:right="0" w:firstLine="0"/>
        <w:jc w:val="left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1.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Depth-spoofing attack. Attacker node </w:t>
      </w:r>
      <w:r>
        <w:rPr>
          <w:w w:val="102.47142655508858"/>
          <w:rFonts w:ascii="STIX" w:hAnsi="STIX" w:eastAsia="STIX"/>
          <w:b/>
          <w:i/>
          <w:color w:val="000000"/>
          <w:sz w:val="14"/>
        </w:rPr>
        <w:t xml:space="preserve">A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misleads relay node </w:t>
      </w:r>
      <w:r>
        <w:rPr>
          <w:w w:val="102.47142655508858"/>
          <w:rFonts w:ascii="STIX" w:hAnsi="STIX" w:eastAsia="STIX"/>
          <w:b/>
          <w:i/>
          <w:color w:val="000000"/>
          <w:sz w:val="14"/>
        </w:rPr>
        <w:t xml:space="preserve">R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into believing that the packet has already moved up towards the surface, thus inhibiting </w:t>
      </w:r>
      <w:r>
        <w:rPr>
          <w:w w:val="102.47142655508858"/>
          <w:rFonts w:ascii="STIX" w:hAnsi="STIX" w:eastAsia="STIX"/>
          <w:b/>
          <w:i/>
          <w:color w:val="000000"/>
          <w:sz w:val="14"/>
        </w:rPr>
        <w:t xml:space="preserve">R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from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forwarding and causing a blackhole effect. </w:t>
      </w:r>
    </w:p>
    <w:p>
      <w:pPr>
        <w:autoSpaceDN w:val="0"/>
        <w:autoSpaceDE w:val="0"/>
        <w:widowControl/>
        <w:spacing w:line="208" w:lineRule="exact" w:before="200" w:after="0"/>
        <w:ind w:left="0" w:right="0" w:firstLine="0"/>
        <w:jc w:val="center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3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A. Alharbi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13 (2022) 100117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48" w:after="0"/>
        <w:ind w:left="0" w:right="52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overhead of PRP is tremendous because randomized threshold windows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tend to form routes with more hops than the purely opportunistic DBR.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increase in the number of packet transmissions per unique packet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delivered can be up by 100%</w:t>
      </w:r>
      <w:r>
        <w:rPr>
          <w:rFonts w:ascii="STIX" w:hAnsi="STIX" w:eastAsia="STIX"/>
          <w:b w:val="0"/>
          <w:i w:val="0"/>
          <w:color w:val="000000"/>
          <w:sz w:val="16"/>
        </w:rPr>
        <w:t>–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300%, depending on the network density. </w:t>
      </w:r>
    </w:p>
    <w:p>
      <w:pPr>
        <w:autoSpaceDN w:val="0"/>
        <w:autoSpaceDE w:val="0"/>
        <w:widowControl/>
        <w:spacing w:line="210" w:lineRule="exact" w:before="52" w:after="0"/>
        <w:ind w:left="0" w:right="52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recently proposed depth-based secure routing (DBSR)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15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uses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cryptography to sign depth information within the routing headers.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reduce the overhead, DBSR employs a cryptographic signature to protect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integrity of only the routing headers. The use of a cryptographic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authentication mechanism eliminates depth-spoofing by intruders, but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protocol remains wide open to depth-spoofing attacks by adversaries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can compromise nodes. Moreover, DBSR assumes that private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signing keys are configured manually on each node, which increases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maintenance cost of a UAN in case new nodes need to be added to 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existing deployment. </w:t>
      </w:r>
    </w:p>
    <w:p>
      <w:pPr>
        <w:autoSpaceDN w:val="0"/>
        <w:autoSpaceDE w:val="0"/>
        <w:widowControl/>
        <w:spacing w:line="208" w:lineRule="exact" w:before="54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SEECR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protocol was also developed to secure depth-based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routing protocols. Each node compares its packet against a potential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spoofed one using two queues. If the value of the attack threshold of any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node is reached, then the protocol ignores this node in the routing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 thereafter. However, since the attack model and relevant as-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sumptions have not been clarified in this work, we have decided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compare the RPR protocol with our proposed DPR protocol. </w:t>
      </w:r>
    </w:p>
    <w:p>
      <w:pPr>
        <w:autoSpaceDN w:val="0"/>
        <w:autoSpaceDE w:val="0"/>
        <w:widowControl/>
        <w:spacing w:line="260" w:lineRule="exact" w:before="158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3. Proposed protocol </w:t>
      </w:r>
    </w:p>
    <w:p>
      <w:pPr>
        <w:autoSpaceDN w:val="0"/>
        <w:autoSpaceDE w:val="0"/>
        <w:widowControl/>
        <w:spacing w:line="210" w:lineRule="exact" w:before="21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mitigate the effect of the depth-spoofing attack, we propose 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improved version of the DBR protocol, called the depth-based probabi-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listic routing protocol (DPR). In this section, we specify the proposed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routing protocol and analyze its expected behavior under depth-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spoofing attacks as well as under normal conditions. </w:t>
      </w:r>
    </w:p>
    <w:p>
      <w:pPr>
        <w:autoSpaceDN w:val="0"/>
        <w:autoSpaceDE w:val="0"/>
        <w:widowControl/>
        <w:spacing w:line="262" w:lineRule="exact" w:before="156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3.1. DPR specifications </w:t>
      </w:r>
    </w:p>
    <w:p>
      <w:pPr>
        <w:autoSpaceDN w:val="0"/>
        <w:autoSpaceDE w:val="0"/>
        <w:widowControl/>
        <w:spacing w:line="208" w:lineRule="exact" w:before="210" w:after="0"/>
        <w:ind w:left="0" w:right="52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DPR packet header format is adopted from DBR without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changes. Specifically, the first two fields of DPR represent the source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address and source-unique sequence number, which are used to identify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unique packets. The third field</w:t>
      </w:r>
      <w:r>
        <w:rPr>
          <w:rFonts w:ascii="STIX" w:hAnsi="STIX" w:eastAsia="STIX"/>
          <w:b w:val="0"/>
          <w:i w:val="0"/>
          <w:color w:val="000000"/>
          <w:sz w:val="16"/>
        </w:rPr>
        <w:t>—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depth</w:t>
      </w:r>
      <w:r>
        <w:rPr>
          <w:rFonts w:ascii="STIX" w:hAnsi="STIX" w:eastAsia="STIX"/>
          <w:b w:val="0"/>
          <w:i w:val="0"/>
          <w:color w:val="000000"/>
          <w:sz w:val="16"/>
        </w:rPr>
        <w:t>—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indicates the last sending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node depth. </w:t>
      </w:r>
    </w:p>
    <w:p>
      <w:pPr>
        <w:autoSpaceDN w:val="0"/>
        <w:autoSpaceDE w:val="0"/>
        <w:widowControl/>
        <w:spacing w:line="192" w:lineRule="exact" w:before="196" w:after="224"/>
        <w:ind w:left="0" w:right="3312" w:firstLine="0"/>
        <w:jc w:val="left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 xml:space="preserve">Algorithm 1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Receive Packet from MAC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68"/>
      </w:tblGrid>
      <w:tr>
        <w:trPr>
          <w:trHeight w:hRule="exact" w:val="5040"/>
        </w:trPr>
        <w:tc>
          <w:tcPr>
            <w:tcW w:type="dxa" w:w="502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38" w:val="left"/>
              </w:tabs>
              <w:autoSpaceDE w:val="0"/>
              <w:widowControl/>
              <w:spacing w:line="176" w:lineRule="exact" w:before="32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Inputs: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received packet, 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P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, current time, 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t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, received packet cache, 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C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, forwarding </w:t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queue, 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Q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, current node depth, 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D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, and threshold for minimum depth advantage, 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d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>min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. </w:t>
            </w:r>
            <w:r>
              <w:rPr>
                <w:w w:val="98.09076602642352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Outputs: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Updated cache, 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C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, and forwarding queue, 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Q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. </w:t>
            </w:r>
          </w:p>
          <w:p>
            <w:pPr>
              <w:autoSpaceDN w:val="0"/>
              <w:tabs>
                <w:tab w:pos="240" w:val="left"/>
                <w:tab w:pos="246" w:val="left"/>
                <w:tab w:pos="376" w:val="left"/>
                <w:tab w:pos="446" w:val="left"/>
                <w:tab w:pos="502" w:val="left"/>
                <w:tab w:pos="700" w:val="left"/>
              </w:tabs>
              <w:autoSpaceDE w:val="0"/>
              <w:widowControl/>
              <w:spacing w:line="180" w:lineRule="exact" w:before="28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Procedure: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d 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P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depth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 –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 D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 ⊳ 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calculate depth gain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if 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C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contains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P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srcID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 P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seqNo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)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 ⊳ 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if the received packet already exists in the cache </w:t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if 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Q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contains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P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srcID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 P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seqNo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)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 ⊳ 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if the received packet is already queued </w:t>
            </w:r>
            <w:r>
              <w:br/>
            </w:r>
            <w:r>
              <w:tab/>
            </w:r>
            <w:r>
              <w:rPr>
                <w:w w:val="106.25999768575032"/>
                <w:rFonts w:ascii="TeX_CM_Maths_Symbols" w:hAnsi="TeX_CM_Maths_Symbols" w:eastAsia="TeX_CM_Maths_Symbols"/>
                <w:b w:val="0"/>
                <w:i w:val="0"/>
                <w:color w:val="000000"/>
                <w:sz w:val="6"/>
              </w:rPr>
              <w:t>′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 ←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Q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get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P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srcID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 P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seqNo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)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 ⊳ 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obtain the old packet 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P </w:t>
            </w:r>
            <w:r>
              <w:br/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if 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d 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&gt;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 d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 xml:space="preserve">min 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⊳ 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if depth gain above the threshold </w:t>
            </w:r>
            <w:r>
              <w:br/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t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>H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calculateHoldingTime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d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)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 ⊳ 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using equation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(1) </w:t>
            </w:r>
            <w:r>
              <w:br/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t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>F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t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 xml:space="preserve"> +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 t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>H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 ⊳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calculate the forwarding time </w:t>
            </w:r>
            <w:r>
              <w:br/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if 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P</w:t>
            </w:r>
            <w:r>
              <w:rPr>
                <w:w w:val="106.25999768575032"/>
                <w:rFonts w:ascii="TeX_CM_Maths_Symbols" w:hAnsi="TeX_CM_Maths_Symbols" w:eastAsia="TeX_CM_Maths_Symbols"/>
                <w:b w:val="0"/>
                <w:i w:val="0"/>
                <w:color w:val="000000"/>
                <w:sz w:val="6"/>
              </w:rPr>
              <w:t>′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 xml:space="preserve"> .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timer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expires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 xml:space="preserve"> &gt;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 t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 xml:space="preserve">F 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⊳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if the forwarding time is sooner than old forwarding </w:t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time </w:t>
            </w:r>
          </w:p>
          <w:p>
            <w:pPr>
              <w:autoSpaceDN w:val="0"/>
              <w:tabs>
                <w:tab w:pos="376" w:val="left"/>
                <w:tab w:pos="502" w:val="left"/>
                <w:tab w:pos="630" w:val="left"/>
                <w:tab w:pos="702" w:val="left"/>
              </w:tabs>
              <w:autoSpaceDE w:val="0"/>
              <w:widowControl/>
              <w:spacing w:line="178" w:lineRule="exact" w:before="30" w:after="0"/>
              <w:ind w:left="240" w:right="144" w:firstLine="0"/>
              <w:jc w:val="left"/>
            </w:pP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P</w:t>
            </w:r>
            <w:r>
              <w:rPr>
                <w:w w:val="106.25999768575032"/>
                <w:rFonts w:ascii="TeX_CM_Maths_Symbols" w:hAnsi="TeX_CM_Maths_Symbols" w:eastAsia="TeX_CM_Maths_Symbols"/>
                <w:b w:val="0"/>
                <w:i w:val="0"/>
                <w:color w:val="000000"/>
                <w:sz w:val="6"/>
              </w:rPr>
              <w:t>′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 xml:space="preserve"> .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timer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expires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t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>F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 ⊳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update queued packet forwarding time to the earlier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time </w:t>
            </w:r>
            <w:r>
              <w:br/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end if </w:t>
            </w:r>
            <w:r>
              <w:br/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else if 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d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 xml:space="preserve"> &lt;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0 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⊳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if the duplicate packet was received from a sender closer to the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surface </w:t>
            </w:r>
          </w:p>
          <w:p>
            <w:pPr>
              <w:autoSpaceDN w:val="0"/>
              <w:tabs>
                <w:tab w:pos="246" w:val="left"/>
                <w:tab w:pos="376" w:val="left"/>
                <w:tab w:pos="502" w:val="left"/>
                <w:tab w:pos="574" w:val="left"/>
              </w:tabs>
              <w:autoSpaceDE w:val="0"/>
              <w:widowControl/>
              <w:spacing w:line="180" w:lineRule="exact" w:before="30" w:after="0"/>
              <w:ind w:left="120" w:right="288" w:firstLine="0"/>
              <w:jc w:val="left"/>
            </w:pP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P</w:t>
            </w:r>
            <w:r>
              <w:rPr>
                <w:w w:val="106.25999768575032"/>
                <w:rFonts w:ascii="TeX_CM_Maths_Symbols" w:hAnsi="TeX_CM_Maths_Symbols" w:eastAsia="TeX_CM_Maths_Symbols"/>
                <w:b w:val="0"/>
                <w:i w:val="0"/>
                <w:color w:val="000000"/>
                <w:sz w:val="6"/>
              </w:rPr>
              <w:t>′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 xml:space="preserve"> .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dropFlag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076602642352"/>
                <w:rFonts w:ascii="STIX" w:hAnsi="STIX" w:eastAsia="STIX"/>
                <w:b/>
                <w:i w:val="0"/>
                <w:color w:val="000000"/>
                <w:sz w:val="13"/>
              </w:rPr>
              <w:t xml:space="preserve">true 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⊳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mark the corresponding queued packet for dropping </w:t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end if </w:t>
            </w:r>
            <w:r>
              <w:br/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end if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else 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⊳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received fresh packet </w:t>
            </w:r>
            <w:r>
              <w:br/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C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add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P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srcID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,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 P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seqNo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)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 ⊳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add received packet id to the cache </w:t>
            </w:r>
            <w:r>
              <w:br/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if 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d 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&gt;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 d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>min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 ⊳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if depth gain above the threshold </w:t>
            </w:r>
            <w:r>
              <w:br/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t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>H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calculateHoldingTime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(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d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)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 ⊳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using equation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2196D1"/>
                <w:sz w:val="13"/>
              </w:rPr>
              <w:t xml:space="preserve">(1) </w:t>
            </w:r>
            <w:r>
              <w:br/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t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>F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t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 xml:space="preserve"> +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 t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9"/>
              </w:rPr>
              <w:t>H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 ⊳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calculate the forwarding time </w:t>
            </w:r>
            <w:r>
              <w:br/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P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depth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D 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⊳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update the packet depth </w:t>
            </w:r>
            <w:r>
              <w:br/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P</w:t>
            </w:r>
            <w:r>
              <w:rPr>
                <w:w w:val="98.09076602642352"/>
                <w:rFonts w:ascii="TeX_CM_Maths_Italic" w:hAnsi="TeX_CM_Maths_Italic" w:eastAsia="TeX_CM_Maths_Italic"/>
                <w:b w:val="0"/>
                <w:i/>
                <w:color w:val="000000"/>
                <w:sz w:val="13"/>
              </w:rPr>
              <w:t>.</w:t>
            </w:r>
            <w:r>
              <w:rPr>
                <w:w w:val="98.09076602642352"/>
                <w:rFonts w:ascii="CharisSIL" w:hAnsi="CharisSIL" w:eastAsia="CharisSIL"/>
                <w:b w:val="0"/>
                <w:i/>
                <w:color w:val="000000"/>
                <w:sz w:val="13"/>
              </w:rPr>
              <w:t>dropFlag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>←</w:t>
            </w:r>
            <w:r>
              <w:rPr>
                <w:w w:val="98.09076602642352"/>
                <w:rFonts w:ascii="STIX" w:hAnsi="STIX" w:eastAsia="STIX"/>
                <w:b/>
                <w:i w:val="0"/>
                <w:color w:val="000000"/>
                <w:sz w:val="13"/>
              </w:rPr>
              <w:t xml:space="preserve">false </w:t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⊳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do not drop the packet yet </w:t>
            </w:r>
          </w:p>
        </w:tc>
      </w:tr>
    </w:tbl>
    <w:p>
      <w:pPr>
        <w:autoSpaceDN w:val="0"/>
        <w:autoSpaceDE w:val="0"/>
        <w:widowControl/>
        <w:spacing w:line="208" w:lineRule="exact" w:before="0" w:after="0"/>
        <w:ind w:left="0" w:right="182" w:firstLine="0"/>
        <w:jc w:val="righ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(</w:t>
      </w: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>continued on next column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)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0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A. Alharbi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13 (2022) 100117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7050" cy="231013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310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4" w:lineRule="exact" w:before="132" w:after="0"/>
        <w:ind w:left="0" w:right="0" w:firstLine="0"/>
        <w:jc w:val="center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2.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Flowchart of Algorithm 1, performed when a packet is received from the MAC layer. The shaded area highlights the modification introduced in the proposed </w:t>
      </w:r>
    </w:p>
    <w:p>
      <w:pPr>
        <w:autoSpaceDN w:val="0"/>
        <w:autoSpaceDE w:val="0"/>
        <w:widowControl/>
        <w:spacing w:line="234" w:lineRule="exact" w:before="0" w:after="194"/>
        <w:ind w:left="0" w:right="0" w:firstLine="0"/>
        <w:jc w:val="left"/>
      </w:pP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depth-based probabilistic routing protocol. 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0" w:right="52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resulting potential multiple forwarding of the same packet increases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overhead and negatively affects the efficiency of the routing protocol.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Therefore, it is important to analyze the overhead. </w:t>
      </w:r>
    </w:p>
    <w:p>
      <w:pPr>
        <w:autoSpaceDN w:val="0"/>
        <w:autoSpaceDE w:val="0"/>
        <w:widowControl/>
        <w:spacing w:line="210" w:lineRule="exact" w:before="50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estimate the communication overhead by finding the expected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number of additional packets forwarded by DPR that would not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forwarded by DBR. If the qualified forwarder of a packet has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qualified neighbors holding a copy of the same packet, then the expected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number of additional forwarded packets is 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/>
          <w:color w:val="000000"/>
          <w:sz w:val="16"/>
        </w:rPr>
        <w:t>p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⋅</w:t>
      </w:r>
      <w:r>
        <w:rPr>
          <w:rFonts w:ascii="CharisSIL" w:hAnsi="CharisSIL" w:eastAsia="CharisSIL"/>
          <w:b w:val="0"/>
          <w:i/>
          <w:color w:val="000000"/>
          <w:sz w:val="16"/>
        </w:rPr>
        <w:t>m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packet. Unqualified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forwarding neighbors is a subset of all neighbors within a node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communication range. Obviously, neighbors that have already for-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warded a specific packet are no longer considered unqualified for-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warders of that packet. Therefore,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 be much smaller than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node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degree (number of neighbors). Other factors can affect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number of successfully forwarded packets, such as the contention level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the MAC protocol in use. For example, if the transmissions of two 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more unqualified forwarders happen to interfere, some or all of them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may fail, thus causing no further traffic and reducing overhead. There-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fore, the overhead caused by probabilistic forwarding is expected to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reasonably low. </w:t>
      </w:r>
    </w:p>
    <w:p>
      <w:pPr>
        <w:autoSpaceDN w:val="0"/>
        <w:autoSpaceDE w:val="0"/>
        <w:widowControl/>
        <w:spacing w:line="210" w:lineRule="exact" w:before="50" w:after="52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sum up the effect of the probability parameter </w:t>
      </w:r>
      <w:r>
        <w:rPr>
          <w:rFonts w:ascii="CharisSIL" w:hAnsi="CharisSIL" w:eastAsia="CharisSIL"/>
          <w:b w:val="0"/>
          <w:i/>
          <w:color w:val="000000"/>
          <w:sz w:val="16"/>
        </w:rPr>
        <w:t>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there seems to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trade-off between the achievable delivery ratio and the overhead due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the additional packets forwarded. It is expected that a large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proves delivery ratio when the network is under a depth-spoofing attack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but also increases overhead when the network is not under attack. Due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the interplay between network topology, MAC protocol, and traffic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load, we propose that the value of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statically tailored for a given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scenario using simulation. Given a specific UAN deployment, we simu-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late it with various values of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each of the two cases: with attack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without attack. Two metrics are calculated</w:t>
      </w:r>
      <w:r>
        <w:rPr>
          <w:rFonts w:ascii="STIX" w:hAnsi="STIX" w:eastAsia="STIX"/>
          <w:b w:val="0"/>
          <w:i w:val="0"/>
          <w:color w:val="000000"/>
          <w:sz w:val="16"/>
        </w:rPr>
        <w:t>—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delivery ratio </w:t>
      </w:r>
      <w:r>
        <w:rPr>
          <w:rFonts w:ascii="CharisSIL" w:hAnsi="CharisSIL" w:eastAsia="CharisSIL"/>
          <w:b w:val="0"/>
          <w:i/>
          <w:color w:val="000000"/>
          <w:sz w:val="16"/>
        </w:rPr>
        <w:t>r</w:t>
      </w:r>
      <w:r>
        <w:rPr>
          <w:w w:val="101.43273093483664"/>
          <w:rFonts w:ascii="CharisSIL" w:hAnsi="CharisSIL" w:eastAsia="CharisSIL"/>
          <w:b w:val="0"/>
          <w:i/>
          <w:color w:val="000000"/>
          <w:sz w:val="11"/>
        </w:rPr>
        <w:t>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overhead, </w:t>
      </w:r>
      <w:r>
        <w:rPr>
          <w:rFonts w:ascii="CharisSIL" w:hAnsi="CharisSIL" w:eastAsia="CharisSIL"/>
          <w:b w:val="0"/>
          <w:i/>
          <w:color w:val="000000"/>
          <w:sz w:val="16"/>
        </w:rPr>
        <w:t>w</w:t>
      </w:r>
      <w:r>
        <w:rPr>
          <w:w w:val="101.43273093483664"/>
          <w:rFonts w:ascii="CharisSIL" w:hAnsi="CharisSIL" w:eastAsia="CharisSIL"/>
          <w:b w:val="0"/>
          <w:i/>
          <w:color w:val="000000"/>
          <w:sz w:val="11"/>
        </w:rPr>
        <w:t>p</w:t>
      </w:r>
      <w:r>
        <w:rPr>
          <w:rFonts w:ascii="STIX" w:hAnsi="STIX" w:eastAsia="STIX"/>
          <w:b w:val="0"/>
          <w:i w:val="0"/>
          <w:color w:val="000000"/>
          <w:sz w:val="16"/>
        </w:rPr>
        <w:t>—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corresponding to each value of </w:t>
      </w:r>
      <w:r>
        <w:rPr>
          <w:rFonts w:ascii="CharisSIL" w:hAnsi="CharisSIL" w:eastAsia="CharisSIL"/>
          <w:b w:val="0"/>
          <w:i/>
          <w:color w:val="000000"/>
          <w:sz w:val="16"/>
        </w:rPr>
        <w:t>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The delivery ratio </w:t>
      </w:r>
      <w:r>
        <w:rPr>
          <w:rFonts w:ascii="CharisSIL" w:hAnsi="CharisSIL" w:eastAsia="CharisSIL"/>
          <w:b w:val="0"/>
          <w:i/>
          <w:color w:val="000000"/>
          <w:sz w:val="16"/>
        </w:rPr>
        <w:t>r</w:t>
      </w:r>
      <w:r>
        <w:rPr>
          <w:w w:val="101.43273093483664"/>
          <w:rFonts w:ascii="CharisSIL" w:hAnsi="CharisSIL" w:eastAsia="CharisSIL"/>
          <w:b w:val="0"/>
          <w:i/>
          <w:color w:val="000000"/>
          <w:sz w:val="11"/>
        </w:rPr>
        <w:t xml:space="preserve">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given forwarding probability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calculated as follows: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17"/>
        <w:gridCol w:w="2617"/>
        <w:gridCol w:w="2617"/>
        <w:gridCol w:w="2617"/>
      </w:tblGrid>
      <w:tr>
        <w:trPr>
          <w:trHeight w:hRule="exact" w:val="304"/>
        </w:trPr>
        <w:tc>
          <w:tcPr>
            <w:tcW w:type="dxa" w:w="300"/>
            <w:tcBorders>
              <w:bottom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90" w:after="0"/>
              <w:ind w:left="0" w:right="0" w:firstLine="0"/>
              <w:jc w:val="left"/>
            </w:pP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r</w:t>
            </w:r>
          </w:p>
        </w:tc>
        <w:tc>
          <w:tcPr>
            <w:tcW w:type="dxa" w:w="200"/>
            <w:tcBorders>
              <w:bottom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52" w:after="0"/>
              <w:ind w:left="0" w:right="0" w:firstLine="0"/>
              <w:jc w:val="center"/>
            </w:pP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D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8"/>
              </w:rPr>
              <w:t>′</w:t>
            </w:r>
          </w:p>
          <w:p>
            <w:pPr>
              <w:autoSpaceDN w:val="0"/>
              <w:autoSpaceDE w:val="0"/>
              <w:widowControl/>
              <w:spacing w:line="138" w:lineRule="exact" w:before="0" w:after="0"/>
              <w:ind w:left="0" w:right="34" w:firstLine="0"/>
              <w:jc w:val="right"/>
            </w:pP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p</w:t>
            </w:r>
          </w:p>
        </w:tc>
        <w:tc>
          <w:tcPr>
            <w:tcW w:type="dxa" w:w="458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52" w:after="0"/>
              <w:ind w:left="0" w:right="20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(2) </w:t>
            </w:r>
          </w:p>
        </w:tc>
      </w:tr>
      <w:tr>
        <w:trPr>
          <w:trHeight w:hRule="exact" w:val="272"/>
        </w:trPr>
        <w:tc>
          <w:tcPr>
            <w:tcW w:type="dxa" w:w="300"/>
            <w:tcBorders>
              <w:top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8" w:lineRule="exact" w:before="0" w:after="0"/>
              <w:ind w:left="0" w:right="0" w:firstLine="0"/>
              <w:jc w:val="center"/>
            </w:pP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p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</w:p>
        </w:tc>
        <w:tc>
          <w:tcPr>
            <w:tcW w:type="dxa" w:w="200"/>
            <w:tcBorders>
              <w:top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0" w:right="0" w:firstLine="0"/>
              <w:jc w:val="center"/>
            </w:pP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D</w:t>
            </w:r>
            <w:r>
              <w:rPr>
                <w:w w:val="103.61000061035158"/>
                <w:rFonts w:ascii="STIX" w:hAnsi="STIX" w:eastAsia="STIX"/>
                <w:b w:val="0"/>
                <w:i w:val="0"/>
                <w:color w:val="000000"/>
                <w:sz w:val="10"/>
              </w:rPr>
              <w:t>0</w:t>
            </w:r>
          </w:p>
        </w:tc>
        <w:tc>
          <w:tcPr>
            <w:tcW w:type="dxa" w:w="5234"/>
            <w:gridSpan w:val="2"/>
            <w:vMerge/>
            <w:tcBorders/>
          </w:tcPr>
          <w:p/>
        </w:tc>
      </w:tr>
      <w:tr>
        <w:trPr>
          <w:trHeight w:hRule="exact" w:val="1240"/>
        </w:trPr>
        <w:tc>
          <w:tcPr>
            <w:tcW w:type="dxa" w:w="5088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2" w:lineRule="exact" w:before="52" w:after="0"/>
              <w:ind w:left="0" w:right="20" w:firstLine="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where 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D </w:t>
            </w:r>
            <w:r>
              <w:rPr>
                <w:w w:val="101.43273093483664"/>
                <w:rFonts w:ascii="CharisSIL" w:hAnsi="CharisSIL" w:eastAsia="CharisSIL"/>
                <w:b w:val="0"/>
                <w:i/>
                <w:color w:val="000000"/>
                <w:sz w:val="11"/>
              </w:rPr>
              <w:t xml:space="preserve">p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is the number of packets delivered by DPR under attack with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given forwarding probability, and 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D</w:t>
            </w:r>
            <w:r>
              <w:rPr>
                <w:w w:val="101.43273093483664"/>
                <w:rFonts w:ascii="CharisSIL" w:hAnsi="CharisSIL" w:eastAsia="CharisSIL"/>
                <w:b w:val="0"/>
                <w:i w:val="0"/>
                <w:color w:val="000000"/>
                <w:sz w:val="11"/>
              </w:rPr>
              <w:t xml:space="preserve">0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is the number of packets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delivered by DPR under normal conditions with 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p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0, which is equiv-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alent to the behavior of the original DBR. The overhead, 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w</w:t>
            </w:r>
            <w:r>
              <w:rPr>
                <w:w w:val="101.43273093483664"/>
                <w:rFonts w:ascii="CharisSIL" w:hAnsi="CharisSIL" w:eastAsia="CharisSIL"/>
                <w:b w:val="0"/>
                <w:i/>
                <w:color w:val="000000"/>
                <w:sz w:val="11"/>
              </w:rPr>
              <w:t>p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, is calculated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as follows: </w:t>
            </w:r>
          </w:p>
        </w:tc>
      </w:tr>
      <w:tr>
        <w:trPr>
          <w:trHeight w:hRule="exact" w:val="552"/>
        </w:trPr>
        <w:tc>
          <w:tcPr>
            <w:tcW w:type="dxa" w:w="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8" w:lineRule="exact" w:before="44" w:after="0"/>
              <w:ind w:left="0" w:right="0" w:firstLine="0"/>
              <w:jc w:val="center"/>
            </w:pP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w</w:t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p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F</w:t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p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96" w:after="0"/>
              <w:ind w:left="4" w:right="0" w:firstLine="0"/>
              <w:jc w:val="left"/>
            </w:pP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,</w:t>
            </w:r>
          </w:p>
        </w:tc>
        <w:tc>
          <w:tcPr>
            <w:tcW w:type="dxa" w:w="24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26" w:after="0"/>
              <w:ind w:left="0" w:right="20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(3) </w:t>
            </w:r>
          </w:p>
        </w:tc>
      </w:tr>
    </w:tbl>
    <w:p>
      <w:pPr>
        <w:autoSpaceDN w:val="0"/>
        <w:autoSpaceDE w:val="0"/>
        <w:widowControl/>
        <w:spacing w:line="262" w:lineRule="exact" w:before="6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where </w:t>
      </w:r>
      <w:r>
        <w:rPr>
          <w:rFonts w:ascii="CharisSIL" w:hAnsi="CharisSIL" w:eastAsia="CharisSIL"/>
          <w:b w:val="0"/>
          <w:i/>
          <w:color w:val="000000"/>
          <w:sz w:val="16"/>
        </w:rPr>
        <w:t>F</w:t>
      </w:r>
      <w:r>
        <w:rPr>
          <w:w w:val="101.43273093483664"/>
          <w:rFonts w:ascii="CharisSIL" w:hAnsi="CharisSIL" w:eastAsia="CharisSIL"/>
          <w:b w:val="0"/>
          <w:i/>
          <w:color w:val="000000"/>
          <w:sz w:val="11"/>
        </w:rPr>
        <w:t xml:space="preserve">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the total number of packets transmitted by all the nodes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226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A. Alharbi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13 (2022) 100117</w:t>
      </w:r>
    </w:p>
    <w:p>
      <w:pPr>
        <w:sectPr>
          <w:pgSz w:w="11906" w:h="15874"/>
          <w:pgMar w:top="336" w:right="720" w:bottom="288" w:left="752" w:header="720" w:footer="720" w:gutter="0"/>
          <w:cols w:space="720" w:num="1" w:equalWidth="0"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8330" cy="58521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5852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174" w:after="0"/>
        <w:ind w:left="0" w:right="56" w:firstLine="0"/>
        <w:jc w:val="both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3.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Flowchart of Algorithm 2, performed when the timer for a packet held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in the forwarding queue expires, in order to decide whether to forward or drop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the packet. The shaded area highlights the modification introduced in the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proposed depth-based probabilistic routing protocol. </w:t>
      </w:r>
    </w:p>
    <w:p>
      <w:pPr>
        <w:autoSpaceDN w:val="0"/>
        <w:autoSpaceDE w:val="0"/>
        <w:widowControl/>
        <w:spacing w:line="268" w:lineRule="exact" w:before="196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connectivity between nodes within each other</w:t>
      </w:r>
      <w:r>
        <w:rPr>
          <w:rFonts w:ascii="STIX" w:hAnsi="STIX" w:eastAsia="STIX"/>
          <w:b w:val="0"/>
          <w:i w:val="0"/>
          <w:color w:val="000000"/>
          <w:sz w:val="16"/>
        </w:rPr>
        <w:t>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 communication range. </w:t>
      </w:r>
    </w:p>
    <w:p>
      <w:pPr>
        <w:autoSpaceDN w:val="0"/>
        <w:autoSpaceDE w:val="0"/>
        <w:widowControl/>
        <w:spacing w:line="208" w:lineRule="exact" w:before="54" w:after="0"/>
        <w:ind w:left="0" w:right="52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One malicious node, performing a black-hole attack through depth-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spoofing, was placed 1 m below the source node. This placement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caused the attack to inhibit as many of the neighbors of the source node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possible from relaying source packets, thus enabling the attacker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launch a black-hole or gray-hole attack against the targeted source. </w:t>
      </w:r>
    </w:p>
    <w:p>
      <w:pPr>
        <w:autoSpaceDN w:val="0"/>
        <w:autoSpaceDE w:val="0"/>
        <w:widowControl/>
        <w:spacing w:line="210" w:lineRule="exact" w:before="52" w:after="0"/>
        <w:ind w:left="0" w:right="52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simulation settings are summarized in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Table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We adopted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physical layer model used in Ref.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29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which includes the path loss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model, the absorption model, the ambient noise model, and the BPSK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modulation bit-error-rate model, which are defined in Equations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(5)</w:t>
      </w:r>
      <w:r>
        <w:rPr>
          <w:rFonts w:ascii="STIX" w:hAnsi="STIX" w:eastAsia="STIX"/>
          <w:b w:val="0"/>
          <w:i w:val="0"/>
          <w:color w:val="2196D1"/>
          <w:sz w:val="16"/>
        </w:rPr>
        <w:t xml:space="preserve">–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(8)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respectively. Path loss is defined as follows: </w:t>
      </w:r>
    </w:p>
    <w:p>
      <w:pPr>
        <w:autoSpaceDN w:val="0"/>
        <w:tabs>
          <w:tab w:pos="4812" w:val="left"/>
        </w:tabs>
        <w:autoSpaceDE w:val="0"/>
        <w:widowControl/>
        <w:spacing w:line="364" w:lineRule="exact" w:before="60" w:after="0"/>
        <w:ind w:left="0" w:right="0" w:firstLine="0"/>
        <w:jc w:val="left"/>
      </w:pPr>
      <w:r>
        <w:rPr>
          <w:rFonts w:ascii="STIX" w:hAnsi="STIX" w:eastAsia="STIX"/>
          <w:b w:val="0"/>
          <w:i/>
          <w:color w:val="000000"/>
          <w:sz w:val="16"/>
        </w:rPr>
        <w:t>A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(</w:t>
      </w:r>
      <w:r>
        <w:rPr>
          <w:rFonts w:ascii="STIX" w:hAnsi="STIX" w:eastAsia="STIX"/>
          <w:b w:val="0"/>
          <w:i/>
          <w:color w:val="000000"/>
          <w:sz w:val="16"/>
        </w:rPr>
        <w:t>f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) =</w:t>
      </w:r>
      <w:r>
        <w:rPr>
          <w:rFonts w:ascii="STIX" w:hAnsi="STIX" w:eastAsia="STIX"/>
          <w:b w:val="0"/>
          <w:i/>
          <w:color w:val="000000"/>
          <w:sz w:val="16"/>
        </w:rPr>
        <w:t xml:space="preserve"> A</w:t>
      </w:r>
      <w:r>
        <w:rPr>
          <w:w w:val="103.61000061035158"/>
          <w:rFonts w:ascii="STIX" w:hAnsi="STIX" w:eastAsia="STIX"/>
          <w:b w:val="0"/>
          <w:i w:val="0"/>
          <w:color w:val="000000"/>
          <w:sz w:val="10"/>
        </w:rPr>
        <w:t>0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 +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10</w:t>
      </w:r>
      <w:r>
        <w:rPr>
          <w:rFonts w:ascii="STIX" w:hAnsi="STIX" w:eastAsia="STIX"/>
          <w:b w:val="0"/>
          <w:i/>
          <w:color w:val="000000"/>
          <w:sz w:val="16"/>
        </w:rPr>
        <w:t>κ</w:t>
      </w:r>
      <w:r>
        <w:rPr>
          <w:rFonts w:ascii="STIX" w:hAnsi="STIX" w:eastAsia="STIX"/>
          <w:b w:val="0"/>
          <w:i w:val="0"/>
          <w:color w:val="000000"/>
          <w:sz w:val="16"/>
        </w:rPr>
        <w:t>log</w:t>
      </w:r>
      <w:r>
        <w:rPr>
          <w:w w:val="103.61000061035158"/>
          <w:rFonts w:ascii="STIX" w:hAnsi="STIX" w:eastAsia="STIX"/>
          <w:b w:val="0"/>
          <w:i w:val="0"/>
          <w:color w:val="000000"/>
          <w:sz w:val="10"/>
        </w:rPr>
        <w:t xml:space="preserve"> 10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(</w:t>
      </w:r>
      <w:r>
        <w:rPr>
          <w:rFonts w:ascii="STIX" w:hAnsi="STIX" w:eastAsia="STIX"/>
          <w:b w:val="0"/>
          <w:i/>
          <w:color w:val="000000"/>
          <w:sz w:val="16"/>
        </w:rPr>
        <w:t>d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) +</w:t>
      </w:r>
      <w:r>
        <w:rPr>
          <w:rFonts w:ascii="STIX" w:hAnsi="STIX" w:eastAsia="STIX"/>
          <w:b w:val="0"/>
          <w:i/>
          <w:color w:val="000000"/>
          <w:sz w:val="16"/>
        </w:rPr>
        <w:t xml:space="preserve"> d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 ×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10</w:t>
      </w:r>
      <w:r>
        <w:rPr>
          <w:w w:val="103.61000061035158"/>
          <w:rFonts w:ascii="TeX_CM_Maths_Symbols" w:hAnsi="TeX_CM_Maths_Symbols" w:eastAsia="TeX_CM_Maths_Symbols"/>
          <w:b w:val="0"/>
          <w:i w:val="0"/>
          <w:color w:val="000000"/>
          <w:sz w:val="10"/>
        </w:rPr>
        <w:t>−</w:t>
      </w:r>
      <w:r>
        <w:rPr>
          <w:w w:val="103.61000061035158"/>
          <w:rFonts w:ascii="STIX" w:hAnsi="STIX" w:eastAsia="STIX"/>
          <w:b w:val="0"/>
          <w:i w:val="0"/>
          <w:color w:val="000000"/>
          <w:sz w:val="10"/>
        </w:rPr>
        <w:t>3</w:t>
      </w:r>
      <w:r>
        <w:rPr>
          <w:w w:val="103.05415391921997"/>
          <w:rFonts w:ascii="STIX" w:hAnsi="STIX" w:eastAsia="STIX"/>
          <w:b w:val="0"/>
          <w:i/>
          <w:color w:val="000000"/>
          <w:sz w:val="16"/>
        </w:rPr>
        <w:t>α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(</w:t>
      </w:r>
      <w:r>
        <w:rPr>
          <w:rFonts w:ascii="STIX" w:hAnsi="STIX" w:eastAsia="STIX"/>
          <w:b w:val="0"/>
          <w:i/>
          <w:color w:val="000000"/>
          <w:sz w:val="16"/>
        </w:rPr>
        <w:t>f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)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(5) </w:t>
      </w:r>
    </w:p>
    <w:p>
      <w:pPr>
        <w:autoSpaceDN w:val="0"/>
        <w:autoSpaceDE w:val="0"/>
        <w:widowControl/>
        <w:spacing w:line="390" w:lineRule="exact" w:before="0" w:after="0"/>
        <w:ind w:left="0" w:right="0" w:firstLine="0"/>
        <w:jc w:val="center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where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 the center frequency in kHz, A</w:t>
      </w:r>
      <w:r>
        <w:rPr>
          <w:w w:val="101.43273093483664"/>
          <w:rFonts w:ascii="CharisSIL" w:hAnsi="CharisSIL" w:eastAsia="CharisSIL"/>
          <w:b w:val="0"/>
          <w:i w:val="0"/>
          <w:color w:val="000000"/>
          <w:sz w:val="11"/>
        </w:rPr>
        <w:t>0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 =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30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dB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a normalizing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constant, </w:t>
      </w:r>
      <w:r>
        <w:rPr>
          <w:rFonts w:ascii="STIX" w:hAnsi="STIX" w:eastAsia="STIX"/>
          <w:b w:val="0"/>
          <w:i/>
          <w:color w:val="000000"/>
          <w:sz w:val="16"/>
        </w:rPr>
        <w:t xml:space="preserve">κ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the spreading factor,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the distance in meters and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the </w:t>
      </w:r>
    </w:p>
    <w:p>
      <w:pPr>
        <w:sectPr>
          <w:type w:val="continuous"/>
          <w:pgSz w:w="11906" w:h="15874"/>
          <w:pgMar w:top="336" w:right="720" w:bottom="288" w:left="752" w:header="720" w:footer="720" w:gutter="0"/>
          <w:cols w:space="720" w:num="2" w:equalWidth="0">
            <w:col w:w="5120" w:space="0"/>
            <w:col w:w="5313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36" w:right="720" w:bottom="288" w:left="752" w:header="720" w:footer="720" w:gutter="0"/>
          <w:cols w:space="720" w:num="2" w:equalWidth="0">
            <w:col w:w="5120" w:space="0"/>
            <w:col w:w="5313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168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A. Alharbi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13 (2022) 100117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13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46" w:after="20"/>
        <w:ind w:left="0" w:right="3888" w:firstLine="0"/>
        <w:jc w:val="left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 xml:space="preserve">Table 1 </w:t>
      </w:r>
      <w:r>
        <w:br/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Simulation settings.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34"/>
        <w:gridCol w:w="5234"/>
      </w:tblGrid>
      <w:tr>
        <w:trPr>
          <w:trHeight w:hRule="exact" w:val="260"/>
        </w:trPr>
        <w:tc>
          <w:tcPr>
            <w:tcW w:type="dxa" w:w="2328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" w:after="0"/>
              <w:ind w:left="120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Parameter </w:t>
            </w:r>
          </w:p>
        </w:tc>
        <w:tc>
          <w:tcPr>
            <w:tcW w:type="dxa" w:w="2694"/>
            <w:tcBorders>
              <w:top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0" w:after="0"/>
              <w:ind w:left="196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Setting </w:t>
            </w:r>
          </w:p>
        </w:tc>
      </w:tr>
      <w:tr>
        <w:trPr>
          <w:trHeight w:hRule="exact" w:val="2156"/>
        </w:trPr>
        <w:tc>
          <w:tcPr>
            <w:tcW w:type="dxa" w:w="2328"/>
            <w:tcBorders>
              <w:top w:sz="4.0" w:val="single" w:color="#000000"/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0" w:after="0"/>
              <w:ind w:left="120" w:right="144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Deployment space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Network density </w:t>
            </w:r>
            <w:r>
              <w:br/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—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Number of nodes </w:t>
            </w:r>
            <w:r>
              <w:br/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—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Max. node degree </w:t>
            </w:r>
            <w:r>
              <w:br/>
            </w:r>
            <w:r>
              <w:rPr>
                <w:w w:val="98.09076602642352"/>
                <w:rFonts w:ascii="STIX" w:hAnsi="STIX" w:eastAsia="STIX"/>
                <w:b w:val="0"/>
                <w:i w:val="0"/>
                <w:color w:val="000000"/>
                <w:sz w:val="13"/>
              </w:rPr>
              <w:t xml:space="preserve">—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Number of simulated topologies 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Channel model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Communication range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Bit rate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Data generation rate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Packet payload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Total data transmitted </w:t>
            </w:r>
            <w:r>
              <w:br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MAC </w:t>
            </w:r>
          </w:p>
        </w:tc>
        <w:tc>
          <w:tcPr>
            <w:tcW w:type="dxa" w:w="2694"/>
            <w:tcBorders>
              <w:top w:sz="4.0" w:val="single" w:color="#000000"/>
              <w:bottom w:sz="0.8000000000001819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24" w:after="0"/>
              <w:ind w:left="196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500 m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×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500 m </w:t>
            </w:r>
            <w:r>
              <w:rPr>
                <w:w w:val="98.09076602642352"/>
                <w:rFonts w:ascii="TeX_CM_Maths_Symbols" w:hAnsi="TeX_CM_Maths_Symbols" w:eastAsia="TeX_CM_Maths_Symbols"/>
                <w:b w:val="0"/>
                <w:i w:val="0"/>
                <w:color w:val="000000"/>
                <w:sz w:val="13"/>
              </w:rPr>
              <w:t>×</w:t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250 m deep </w:t>
            </w:r>
          </w:p>
          <w:p>
            <w:pPr>
              <w:autoSpaceDN w:val="0"/>
              <w:tabs>
                <w:tab w:pos="974" w:val="left"/>
                <w:tab w:pos="1864" w:val="left"/>
              </w:tabs>
              <w:autoSpaceDE w:val="0"/>
              <w:widowControl/>
              <w:spacing w:line="210" w:lineRule="exact" w:before="0" w:after="0"/>
              <w:ind w:left="196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sparse </w:t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medium </w:t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dense </w:t>
            </w:r>
          </w:p>
          <w:p>
            <w:pPr>
              <w:autoSpaceDN w:val="0"/>
              <w:tabs>
                <w:tab w:pos="974" w:val="left"/>
                <w:tab w:pos="1864" w:val="left"/>
              </w:tabs>
              <w:autoSpaceDE w:val="0"/>
              <w:widowControl/>
              <w:spacing w:line="208" w:lineRule="exact" w:before="0" w:after="0"/>
              <w:ind w:left="196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47 </w:t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75 </w:t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150 </w:t>
            </w:r>
          </w:p>
          <w:p>
            <w:pPr>
              <w:autoSpaceDN w:val="0"/>
              <w:tabs>
                <w:tab w:pos="974" w:val="left"/>
                <w:tab w:pos="1864" w:val="left"/>
              </w:tabs>
              <w:autoSpaceDE w:val="0"/>
              <w:widowControl/>
              <w:spacing w:line="208" w:lineRule="exact" w:before="0" w:after="0"/>
              <w:ind w:left="196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 </w:t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 </w:t>
            </w:r>
          </w:p>
          <w:p>
            <w:pPr>
              <w:autoSpaceDN w:val="0"/>
              <w:tabs>
                <w:tab w:pos="974" w:val="left"/>
                <w:tab w:pos="1864" w:val="left"/>
              </w:tabs>
              <w:autoSpaceDE w:val="0"/>
              <w:widowControl/>
              <w:spacing w:line="208" w:lineRule="exact" w:before="0" w:after="0"/>
              <w:ind w:left="196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tab/>
            </w: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</w:p>
          <w:p>
            <w:pPr>
              <w:autoSpaceDN w:val="0"/>
              <w:autoSpaceDE w:val="0"/>
              <w:widowControl/>
              <w:spacing w:line="208" w:lineRule="exact" w:before="0" w:after="0"/>
              <w:ind w:left="196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Spherical spreading, additive noise </w:t>
            </w:r>
          </w:p>
          <w:p>
            <w:pPr>
              <w:autoSpaceDN w:val="0"/>
              <w:autoSpaceDE w:val="0"/>
              <w:widowControl/>
              <w:spacing w:line="208" w:lineRule="exact" w:before="0" w:after="0"/>
              <w:ind w:left="196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150 m </w:t>
            </w:r>
          </w:p>
          <w:p>
            <w:pPr>
              <w:autoSpaceDN w:val="0"/>
              <w:autoSpaceDE w:val="0"/>
              <w:widowControl/>
              <w:spacing w:line="208" w:lineRule="exact" w:before="0" w:after="0"/>
              <w:ind w:left="196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12.5 Kbit/s </w:t>
            </w:r>
          </w:p>
          <w:p>
            <w:pPr>
              <w:autoSpaceDN w:val="0"/>
              <w:autoSpaceDE w:val="0"/>
              <w:widowControl/>
              <w:spacing w:line="208" w:lineRule="exact" w:before="0" w:after="0"/>
              <w:ind w:left="196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Byte/s </w:t>
            </w:r>
          </w:p>
          <w:p>
            <w:pPr>
              <w:autoSpaceDN w:val="0"/>
              <w:autoSpaceDE w:val="0"/>
              <w:widowControl/>
              <w:spacing w:line="208" w:lineRule="exact" w:before="0" w:after="0"/>
              <w:ind w:left="196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 Bytes </w:t>
            </w:r>
          </w:p>
          <w:p>
            <w:pPr>
              <w:autoSpaceDN w:val="0"/>
              <w:autoSpaceDE w:val="0"/>
              <w:widowControl/>
              <w:spacing w:line="210" w:lineRule="exact" w:before="0" w:after="0"/>
              <w:ind w:left="196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packets </w:t>
            </w:r>
          </w:p>
          <w:p>
            <w:pPr>
              <w:autoSpaceDN w:val="0"/>
              <w:autoSpaceDE w:val="0"/>
              <w:widowControl/>
              <w:spacing w:line="208" w:lineRule="exact" w:before="0" w:after="0"/>
              <w:ind w:left="196" w:right="0" w:firstLine="0"/>
              <w:jc w:val="left"/>
            </w:pPr>
            <w:r>
              <w:rPr>
                <w:w w:val="98.09076602642352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ALOHA </w:t>
            </w:r>
          </w:p>
        </w:tc>
      </w:tr>
    </w:tbl>
    <w:p>
      <w:pPr>
        <w:autoSpaceDN w:val="0"/>
        <w:autoSpaceDE w:val="0"/>
        <w:widowControl/>
        <w:spacing w:line="262" w:lineRule="exact" w:before="252" w:after="12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absorption coefficient, which is further defined as follows: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89"/>
        <w:gridCol w:w="3489"/>
        <w:gridCol w:w="3489"/>
      </w:tblGrid>
      <w:tr>
        <w:trPr>
          <w:trHeight w:hRule="exact" w:val="610"/>
        </w:trPr>
        <w:tc>
          <w:tcPr>
            <w:tcW w:type="dxa" w:w="10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2" w:lineRule="exact" w:before="0" w:after="0"/>
              <w:ind w:left="0" w:right="0" w:firstLine="0"/>
              <w:jc w:val="center"/>
            </w:pPr>
            <w:r>
              <w:rPr>
                <w:w w:val="103.05415391921997"/>
                <w:rFonts w:ascii="STIX" w:hAnsi="STIX" w:eastAsia="STIX"/>
                <w:b w:val="0"/>
                <w:i/>
                <w:color w:val="000000"/>
                <w:sz w:val="16"/>
              </w:rPr>
              <w:t>α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f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 =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  <w:u w:val="single"/>
              </w:rPr>
              <w:t>0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.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  <w:u w:val="single"/>
              </w:rPr>
              <w:t>11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f</w:t>
            </w:r>
            <w:r>
              <w:rPr>
                <w:w w:val="103.61000061035158"/>
                <w:rFonts w:ascii="STIX" w:hAnsi="STIX" w:eastAsia="STIX"/>
                <w:b w:val="0"/>
                <w:i w:val="0"/>
                <w:color w:val="000000"/>
                <w:sz w:val="10"/>
              </w:rPr>
              <w:t xml:space="preserve"> 2 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  <w:u w:val="single"/>
              </w:rPr>
              <w:t>1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+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  <w:u w:val="single"/>
              </w:rPr>
              <w:t xml:space="preserve"> f</w:t>
            </w:r>
            <w:r>
              <w:rPr>
                <w:w w:val="103.61000061035158"/>
                <w:rFonts w:ascii="STIX" w:hAnsi="STIX" w:eastAsia="STIX"/>
                <w:b w:val="0"/>
                <w:i w:val="0"/>
                <w:color w:val="000000"/>
                <w:sz w:val="10"/>
                <w:u w:val="single"/>
              </w:rPr>
              <w:t>2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+</w:t>
            </w:r>
          </w:p>
        </w:tc>
        <w:tc>
          <w:tcPr>
            <w:tcW w:type="dxa" w:w="3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06" w:val="left"/>
                <w:tab w:pos="2552" w:val="left"/>
                <w:tab w:pos="2718" w:val="left"/>
              </w:tabs>
              <w:autoSpaceDE w:val="0"/>
              <w:widowControl/>
              <w:spacing w:line="452" w:lineRule="exact" w:before="0" w:after="0"/>
              <w:ind w:left="30" w:right="0" w:firstLine="0"/>
              <w:jc w:val="left"/>
            </w:pP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4100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+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 xml:space="preserve"> f</w:t>
            </w:r>
            <w:r>
              <w:rPr>
                <w:w w:val="103.61000061035158"/>
                <w:rFonts w:ascii="STIX" w:hAnsi="STIX" w:eastAsia="STIX"/>
                <w:b w:val="0"/>
                <w:i w:val="0"/>
                <w:color w:val="000000"/>
                <w:sz w:val="10"/>
              </w:rPr>
              <w:t>2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+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 2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.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75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×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 10</w:t>
            </w:r>
            <w:r>
              <w:rPr>
                <w:w w:val="103.61000061035158"/>
                <w:rFonts w:ascii="TeX_CM_Maths_Symbols" w:hAnsi="TeX_CM_Maths_Symbols" w:eastAsia="TeX_CM_Maths_Symbols"/>
                <w:b w:val="0"/>
                <w:i w:val="0"/>
                <w:color w:val="000000"/>
                <w:sz w:val="10"/>
              </w:rPr>
              <w:t>−</w:t>
            </w:r>
            <w:r>
              <w:rPr>
                <w:w w:val="103.61000061035158"/>
                <w:rFonts w:ascii="STIX" w:hAnsi="STIX" w:eastAsia="STIX"/>
                <w:b w:val="0"/>
                <w:i w:val="0"/>
                <w:color w:val="000000"/>
                <w:sz w:val="10"/>
              </w:rPr>
              <w:t>4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f</w:t>
            </w:r>
            <w:r>
              <w:rPr>
                <w:w w:val="103.61000061035158"/>
                <w:rFonts w:ascii="STIX" w:hAnsi="STIX" w:eastAsia="STIX"/>
                <w:b w:val="0"/>
                <w:i w:val="0"/>
                <w:color w:val="000000"/>
                <w:sz w:val="10"/>
              </w:rPr>
              <w:t xml:space="preserve"> 2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+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 0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.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003 dB </w:t>
            </w:r>
            <w:r>
              <w:tab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44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f</w:t>
            </w:r>
            <w:r>
              <w:rPr>
                <w:w w:val="103.61000061035158"/>
                <w:rFonts w:ascii="STIX" w:hAnsi="STIX" w:eastAsia="STIX"/>
                <w:b w:val="0"/>
                <w:i w:val="0"/>
                <w:color w:val="000000"/>
                <w:sz w:val="10"/>
              </w:rPr>
              <w:t xml:space="preserve">2 </w:t>
            </w:r>
            <w:r>
              <w:tab/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 xml:space="preserve">/ 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km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70" w:after="0"/>
              <w:ind w:left="0" w:right="60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(6) </w:t>
            </w:r>
          </w:p>
        </w:tc>
      </w:tr>
      <w:tr>
        <w:trPr>
          <w:trHeight w:hRule="exact" w:val="682"/>
        </w:trPr>
        <w:tc>
          <w:tcPr>
            <w:tcW w:type="dxa" w:w="51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0" w:val="left"/>
              </w:tabs>
              <w:autoSpaceDE w:val="0"/>
              <w:widowControl/>
              <w:spacing w:line="340" w:lineRule="exact" w:before="0" w:after="0"/>
              <w:ind w:left="0" w:right="0" w:firstLine="0"/>
              <w:jc w:val="left"/>
            </w:pP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We simulated the spherical spreading by setting the spreading factor 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κ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2 in Equation </w:t>
            </w:r>
            <w:r>
              <w:rPr>
                <w:rFonts w:ascii="CharisSIL" w:hAnsi="CharisSIL" w:eastAsia="CharisSIL"/>
                <w:b w:val="0"/>
                <w:i w:val="0"/>
                <w:color w:val="2196D1"/>
                <w:sz w:val="16"/>
              </w:rPr>
              <w:t>(5)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. The ambient noise can be approximated by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following power spectral density: </w:t>
            </w:r>
          </w:p>
        </w:tc>
      </w:tr>
      <w:tr>
        <w:trPr>
          <w:trHeight w:hRule="exact" w:val="370"/>
        </w:trPr>
        <w:tc>
          <w:tcPr>
            <w:tcW w:type="dxa" w:w="43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56" w:after="0"/>
              <w:ind w:left="0" w:right="0" w:firstLine="0"/>
              <w:jc w:val="left"/>
            </w:pP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N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f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 =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 50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 18log</w:t>
            </w:r>
            <w:r>
              <w:rPr>
                <w:w w:val="103.61000061035158"/>
                <w:rFonts w:ascii="STIX" w:hAnsi="STIX" w:eastAsia="STIX"/>
                <w:b w:val="0"/>
                <w:i w:val="0"/>
                <w:color w:val="000000"/>
                <w:sz w:val="10"/>
              </w:rPr>
              <w:t xml:space="preserve"> 10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" w:hAnsi="STIX" w:eastAsia="STIX"/>
                <w:b w:val="0"/>
                <w:i/>
                <w:color w:val="000000"/>
                <w:sz w:val="16"/>
              </w:rPr>
              <w:t>f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42" w:after="0"/>
              <w:ind w:left="0" w:right="60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(7) </w:t>
            </w:r>
          </w:p>
        </w:tc>
      </w:tr>
      <w:tr>
        <w:trPr>
          <w:trHeight w:hRule="exact" w:val="500"/>
        </w:trPr>
        <w:tc>
          <w:tcPr>
            <w:tcW w:type="dxa" w:w="51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0" w:val="left"/>
              </w:tabs>
              <w:autoSpaceDE w:val="0"/>
              <w:widowControl/>
              <w:spacing w:line="208" w:lineRule="exact" w:before="54" w:after="0"/>
              <w:ind w:left="0" w:right="0" w:firstLine="0"/>
              <w:jc w:val="left"/>
            </w:pP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signal-to-noise ratio can be calculated using the following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formula: </w:t>
            </w:r>
          </w:p>
        </w:tc>
      </w:tr>
    </w:tbl>
    <w:p>
      <w:pPr>
        <w:autoSpaceDN w:val="0"/>
        <w:autoSpaceDE w:val="0"/>
        <w:widowControl/>
        <w:spacing w:line="314" w:lineRule="exact" w:before="42" w:after="0"/>
        <w:ind w:left="0" w:right="0" w:firstLine="0"/>
        <w:jc w:val="left"/>
      </w:pPr>
      <w:r>
        <w:rPr>
          <w:rFonts w:ascii="STIX" w:hAnsi="STIX" w:eastAsia="STIX"/>
          <w:b w:val="0"/>
          <w:i/>
          <w:color w:val="000000"/>
          <w:sz w:val="16"/>
        </w:rPr>
        <w:t>γ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(</w:t>
      </w:r>
      <w:r>
        <w:rPr>
          <w:rFonts w:ascii="STIX" w:hAnsi="STIX" w:eastAsia="STIX"/>
          <w:b w:val="0"/>
          <w:i/>
          <w:color w:val="000000"/>
          <w:sz w:val="16"/>
        </w:rPr>
        <w:t>f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) =</w:t>
      </w:r>
      <w:r>
        <w:rPr>
          <w:rFonts w:ascii="STIX" w:hAnsi="STIX" w:eastAsia="STIX"/>
          <w:b w:val="0"/>
          <w:i/>
          <w:color w:val="000000"/>
          <w:sz w:val="16"/>
        </w:rPr>
        <w:t xml:space="preserve"> SL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 −</w:t>
      </w:r>
      <w:r>
        <w:rPr>
          <w:rFonts w:ascii="STIX" w:hAnsi="STIX" w:eastAsia="STIX"/>
          <w:b w:val="0"/>
          <w:i/>
          <w:color w:val="000000"/>
          <w:sz w:val="16"/>
        </w:rPr>
        <w:t xml:space="preserve"> N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(</w:t>
      </w:r>
      <w:r>
        <w:rPr>
          <w:rFonts w:ascii="STIX" w:hAnsi="STIX" w:eastAsia="STIX"/>
          <w:b w:val="0"/>
          <w:i/>
          <w:color w:val="000000"/>
          <w:sz w:val="16"/>
        </w:rPr>
        <w:t>f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) −</w:t>
      </w:r>
      <w:r>
        <w:rPr>
          <w:rFonts w:ascii="STIX" w:hAnsi="STIX" w:eastAsia="STIX"/>
          <w:b w:val="0"/>
          <w:i/>
          <w:color w:val="000000"/>
          <w:sz w:val="16"/>
        </w:rPr>
        <w:t xml:space="preserve"> A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(</w:t>
      </w:r>
      <w:r>
        <w:rPr>
          <w:rFonts w:ascii="STIX" w:hAnsi="STIX" w:eastAsia="STIX"/>
          <w:b w:val="0"/>
          <w:i/>
          <w:color w:val="000000"/>
          <w:sz w:val="16"/>
        </w:rPr>
        <w:t>f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)</w:t>
      </w:r>
    </w:p>
    <w:p>
      <w:pPr>
        <w:autoSpaceDN w:val="0"/>
        <w:autoSpaceDE w:val="0"/>
        <w:widowControl/>
        <w:spacing w:line="214" w:lineRule="exact" w:before="94" w:after="0"/>
        <w:ind w:left="0" w:right="144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where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SL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the acoustic transmission power in dB. The electrical power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transmission </w:t>
      </w:r>
      <w:r>
        <w:rPr>
          <w:rFonts w:ascii="CharisSIL" w:hAnsi="CharisSIL" w:eastAsia="CharisSIL"/>
          <w:b w:val="0"/>
          <w:i/>
          <w:color w:val="000000"/>
          <w:sz w:val="16"/>
        </w:rPr>
        <w:t>P</w:t>
      </w:r>
      <w:r>
        <w:rPr>
          <w:w w:val="101.43273093483664"/>
          <w:rFonts w:ascii="CharisSIL" w:hAnsi="CharisSIL" w:eastAsia="CharisSIL"/>
          <w:b w:val="0"/>
          <w:i/>
          <w:color w:val="000000"/>
          <w:sz w:val="11"/>
        </w:rPr>
        <w:t xml:space="preserve">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Watts is defined as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5120" w:space="0"/>
            <w:col w:w="5313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50" w:after="0"/>
        <w:ind w:left="156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repeated for each of the 100 generated network topologies and the mean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result was reported. </w:t>
      </w:r>
    </w:p>
    <w:p>
      <w:pPr>
        <w:autoSpaceDN w:val="0"/>
        <w:autoSpaceDE w:val="0"/>
        <w:widowControl/>
        <w:spacing w:line="210" w:lineRule="exact" w:before="52" w:after="0"/>
        <w:ind w:left="156" w:right="2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simulation model was developed in Java with a MATLAB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scripting interface. The software package, available online at [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32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can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easily be used to reproduce the results presented in the following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section. </w:t>
      </w:r>
    </w:p>
    <w:p>
      <w:pPr>
        <w:autoSpaceDN w:val="0"/>
        <w:autoSpaceDE w:val="0"/>
        <w:widowControl/>
        <w:spacing w:line="262" w:lineRule="exact" w:before="168" w:after="0"/>
        <w:ind w:left="15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5. Results and discussion </w:t>
      </w:r>
    </w:p>
    <w:p>
      <w:pPr>
        <w:autoSpaceDN w:val="0"/>
        <w:autoSpaceDE w:val="0"/>
        <w:widowControl/>
        <w:spacing w:line="208" w:lineRule="exact" w:before="210" w:after="0"/>
        <w:ind w:left="156" w:right="2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this section, we elucidate the effect of the forwarding probability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parameter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 the performance of the proposed DPR under different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network conditions. Then, we compare the proposed protocol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existing relevant protocols. </w:t>
      </w:r>
    </w:p>
    <w:p>
      <w:pPr>
        <w:autoSpaceDN w:val="0"/>
        <w:autoSpaceDE w:val="0"/>
        <w:widowControl/>
        <w:spacing w:line="260" w:lineRule="exact" w:before="206" w:after="0"/>
        <w:ind w:left="156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5.1. DPR resistance to depth-spoofing attacks </w:t>
      </w:r>
    </w:p>
    <w:p>
      <w:pPr>
        <w:autoSpaceDN w:val="0"/>
        <w:autoSpaceDE w:val="0"/>
        <w:widowControl/>
        <w:spacing w:line="226" w:lineRule="exact" w:before="192" w:after="160"/>
        <w:ind w:left="156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demonstrate the resistance of the proposed DPR protocol against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depth-spoofing attacks, we simulated the sample networks in the pres-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ence of an active attacker and observed the packet delivery ratio </w:t>
      </w:r>
      <w:r>
        <w:rPr>
          <w:rFonts w:ascii="CharisSIL" w:hAnsi="CharisSIL" w:eastAsia="CharisSIL"/>
          <w:b w:val="0"/>
          <w:i/>
          <w:color w:val="000000"/>
          <w:sz w:val="16"/>
        </w:rPr>
        <w:t>r</w:t>
      </w:r>
      <w:r>
        <w:rPr>
          <w:w w:val="101.43273093483664"/>
          <w:rFonts w:ascii="CharisSIL" w:hAnsi="CharisSIL" w:eastAsia="CharisSIL"/>
          <w:b w:val="0"/>
          <w:i/>
          <w:color w:val="000000"/>
          <w:sz w:val="11"/>
        </w:rPr>
        <w:t xml:space="preserve">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each value of </w:t>
      </w:r>
      <w:r>
        <w:rPr>
          <w:rFonts w:ascii="CharisSIL" w:hAnsi="CharisSIL" w:eastAsia="CharisSIL"/>
          <w:b w:val="0"/>
          <w:i/>
          <w:color w:val="000000"/>
          <w:sz w:val="16"/>
        </w:rPr>
        <w:t>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The results are shown in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Fig. 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The delivery ratios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calculated as a percentage of the ideal case of DBR under no attack using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(2)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In all three networks, depth-spoofing successfully created a sinkhole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hindered the delivery of packets. As the unqualified forwarding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probability 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increased, DPR successfully delivered more packets.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packet delivery ratio exceeded 90% when </w:t>
      </w:r>
      <w:r>
        <w:rPr>
          <w:rFonts w:ascii="CharisSIL" w:hAnsi="CharisSIL" w:eastAsia="CharisSIL"/>
          <w:b w:val="0"/>
          <w:i/>
          <w:color w:val="000000"/>
          <w:sz w:val="16"/>
        </w:rPr>
        <w:t>p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 ≥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0</w:t>
      </w:r>
      <w:r>
        <w:rPr>
          <w:rFonts w:ascii="TeX_CM_Maths_Italic" w:hAnsi="TeX_CM_Maths_Italic" w:eastAsia="TeX_CM_Maths_Italic"/>
          <w:b w:val="0"/>
          <w:i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9, </w:t>
      </w:r>
      <w:r>
        <w:rPr>
          <w:rFonts w:ascii="CharisSIL" w:hAnsi="CharisSIL" w:eastAsia="CharisSIL"/>
          <w:b w:val="0"/>
          <w:i/>
          <w:color w:val="000000"/>
          <w:sz w:val="16"/>
        </w:rPr>
        <w:t>p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 ≥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0</w:t>
      </w:r>
      <w:r>
        <w:rPr>
          <w:rFonts w:ascii="TeX_CM_Maths_Italic" w:hAnsi="TeX_CM_Maths_Italic" w:eastAsia="TeX_CM_Maths_Italic"/>
          <w:b w:val="0"/>
          <w:i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7 and </w:t>
      </w:r>
      <w:r>
        <w:rPr>
          <w:rFonts w:ascii="CharisSIL" w:hAnsi="CharisSIL" w:eastAsia="CharisSIL"/>
          <w:b w:val="0"/>
          <w:i/>
          <w:color w:val="000000"/>
          <w:sz w:val="16"/>
        </w:rPr>
        <w:t>p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 ≥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0</w:t>
      </w:r>
      <w:r>
        <w:rPr>
          <w:rFonts w:ascii="TeX_CM_Maths_Italic" w:hAnsi="TeX_CM_Maths_Italic" w:eastAsia="TeX_CM_Maths_Italic"/>
          <w:b w:val="0"/>
          <w:i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4,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the sparse, medium density, and dense networks, respectively.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effect, probabilistic forwarding has the potential to reduce or even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eliminate the sinkhole effect of depth-spoofing attacks. As observed in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Fig. 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the denser a network is, the lower will be the forwarding prob-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ability needed to achieve a certain delivery ratio. 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224" w:space="0"/>
            <w:col w:w="5244" w:space="0"/>
            <w:col w:w="10468" w:space="0"/>
            <w:col w:w="5120" w:space="0"/>
            <w:col w:w="5313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tabs>
          <w:tab w:pos="5380" w:val="left"/>
        </w:tabs>
        <w:autoSpaceDE w:val="0"/>
        <w:widowControl/>
        <w:spacing w:line="350" w:lineRule="exact" w:before="0" w:after="24"/>
        <w:ind w:left="0" w:right="0" w:firstLine="0"/>
        <w:jc w:val="left"/>
      </w:pPr>
      <w:r>
        <w:rPr>
          <w:rFonts w:ascii="STIX" w:hAnsi="STIX" w:eastAsia="STIX"/>
          <w:b w:val="0"/>
          <w:i/>
          <w:color w:val="000000"/>
          <w:sz w:val="16"/>
        </w:rPr>
        <w:t>P</w:t>
      </w:r>
      <w:r>
        <w:rPr>
          <w:w w:val="103.61000061035158"/>
          <w:rFonts w:ascii="STIX" w:hAnsi="STIX" w:eastAsia="STIX"/>
          <w:b w:val="0"/>
          <w:i/>
          <w:color w:val="000000"/>
          <w:sz w:val="10"/>
        </w:rPr>
        <w:t>t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 =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2</w:t>
      </w:r>
      <w:r>
        <w:rPr>
          <w:w w:val="103.05415391921997"/>
          <w:rFonts w:ascii="STIX" w:hAnsi="STIX" w:eastAsia="STIX"/>
          <w:b w:val="0"/>
          <w:i/>
          <w:color w:val="000000"/>
          <w:sz w:val="16"/>
        </w:rPr>
        <w:t>π</w:t>
      </w:r>
      <w:r>
        <w:rPr>
          <w:rFonts w:ascii="STIX" w:hAnsi="STIX" w:eastAsia="STIX"/>
          <w:b w:val="0"/>
          <w:i/>
          <w:color w:val="000000"/>
          <w:sz w:val="16"/>
        </w:rPr>
        <w:t xml:space="preserve"> z</w:t>
      </w:r>
      <w:r>
        <w:rPr>
          <w:w w:val="103.61000061035158"/>
          <w:rFonts w:ascii="STIX" w:hAnsi="STIX" w:eastAsia="STIX"/>
          <w:b w:val="0"/>
          <w:i/>
          <w:color w:val="000000"/>
          <w:sz w:val="10"/>
        </w:rPr>
        <w:t>d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 ×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0</w:t>
      </w:r>
      <w:r>
        <w:rPr>
          <w:rFonts w:ascii="TeX_CM_Maths_Italic" w:hAnsi="TeX_CM_Maths_Italic" w:eastAsia="TeX_CM_Maths_Italic"/>
          <w:b w:val="0"/>
          <w:i/>
          <w:color w:val="000000"/>
          <w:sz w:val="16"/>
        </w:rPr>
        <w:t>.</w:t>
      </w:r>
      <w:r>
        <w:rPr>
          <w:rFonts w:ascii="STIX" w:hAnsi="STIX" w:eastAsia="STIX"/>
          <w:b w:val="0"/>
          <w:i w:val="0"/>
          <w:color w:val="000000"/>
          <w:sz w:val="16"/>
        </w:rPr>
        <w:t>67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 ×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10</w:t>
      </w:r>
      <w:r>
        <w:rPr>
          <w:w w:val="103.61000061035158"/>
          <w:rFonts w:ascii="TeX_CM_Maths_Symbols" w:hAnsi="TeX_CM_Maths_Symbols" w:eastAsia="TeX_CM_Maths_Symbols"/>
          <w:b w:val="0"/>
          <w:i w:val="0"/>
          <w:color w:val="000000"/>
          <w:sz w:val="10"/>
        </w:rPr>
        <w:t>−</w:t>
      </w:r>
      <w:r>
        <w:rPr>
          <w:w w:val="103.61000061035158"/>
          <w:rFonts w:ascii="STIX" w:hAnsi="STIX" w:eastAsia="STIX"/>
          <w:b w:val="0"/>
          <w:i w:val="0"/>
          <w:color w:val="000000"/>
          <w:sz w:val="10"/>
        </w:rPr>
        <w:t>18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>×</w:t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 10</w:t>
      </w:r>
      <w:r>
        <w:rPr>
          <w:w w:val="103.61000061035158"/>
          <w:rFonts w:ascii="STIX" w:hAnsi="STIX" w:eastAsia="STIX"/>
          <w:b w:val="0"/>
          <w:i w:val="0"/>
          <w:color w:val="000000"/>
          <w:sz w:val="10"/>
        </w:rPr>
        <w:t>0</w:t>
      </w:r>
      <w:r>
        <w:rPr>
          <w:w w:val="103.61000061035158"/>
          <w:rFonts w:ascii="TeX_CM_Maths_Italic" w:hAnsi="TeX_CM_Maths_Italic" w:eastAsia="TeX_CM_Maths_Italic"/>
          <w:b w:val="0"/>
          <w:i/>
          <w:color w:val="000000"/>
          <w:sz w:val="10"/>
        </w:rPr>
        <w:t>.</w:t>
      </w:r>
      <w:r>
        <w:rPr>
          <w:w w:val="103.61000061035158"/>
          <w:rFonts w:ascii="STIX" w:hAnsi="STIX" w:eastAsia="STIX"/>
          <w:b w:val="0"/>
          <w:i w:val="0"/>
          <w:color w:val="000000"/>
          <w:sz w:val="10"/>
        </w:rPr>
        <w:t>1</w:t>
      </w:r>
      <w:r>
        <w:rPr>
          <w:w w:val="103.61000061035158"/>
          <w:rFonts w:ascii="STIX" w:hAnsi="STIX" w:eastAsia="STIX"/>
          <w:b w:val="0"/>
          <w:i/>
          <w:color w:val="000000"/>
          <w:sz w:val="10"/>
        </w:rPr>
        <w:t xml:space="preserve"> SL </w:t>
      </w:r>
      <w:r>
        <w:tab/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5.2. DPR overhead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224" w:space="0"/>
            <w:col w:w="5244" w:space="0"/>
            <w:col w:w="10468" w:space="0"/>
            <w:col w:w="5120" w:space="0"/>
            <w:col w:w="5313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62" w:after="6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where </w:t>
      </w:r>
      <w:r>
        <w:rPr>
          <w:rFonts w:ascii="CharisSIL" w:hAnsi="CharisSIL" w:eastAsia="CharisSIL"/>
          <w:b w:val="0"/>
          <w:i/>
          <w:color w:val="000000"/>
          <w:sz w:val="16"/>
        </w:rPr>
        <w:t>z</w:t>
      </w:r>
      <w:r>
        <w:rPr>
          <w:w w:val="101.43273093483664"/>
          <w:rFonts w:ascii="CharisSIL" w:hAnsi="CharisSIL" w:eastAsia="CharisSIL"/>
          <w:b w:val="0"/>
          <w:i/>
          <w:color w:val="000000"/>
          <w:sz w:val="11"/>
        </w:rPr>
        <w:t xml:space="preserve">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the ocean depth in meters. Assuming BPSK modulation,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average bit error probability is calculated as follows: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68"/>
      </w:tblGrid>
      <w:tr>
        <w:trPr>
          <w:trHeight w:hRule="exact" w:val="6392"/>
        </w:trPr>
        <w:tc>
          <w:tcPr>
            <w:tcW w:type="dxa" w:w="50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6" w:val="left"/>
                <w:tab w:pos="354" w:val="left"/>
                <w:tab w:pos="746" w:val="left"/>
                <w:tab w:pos="906" w:val="left"/>
                <w:tab w:pos="1754" w:val="left"/>
                <w:tab w:pos="4812" w:val="left"/>
              </w:tabs>
              <w:autoSpaceDE w:val="0"/>
              <w:widowControl/>
              <w:spacing w:line="428" w:lineRule="exact" w:before="0" w:after="0"/>
              <w:ind w:left="0" w:right="0" w:firstLine="0"/>
              <w:jc w:val="left"/>
            </w:pPr>
            <w:r>
              <w:rPr>
                <w:w w:val="103.05415391921997"/>
                <w:rFonts w:ascii="STIX" w:hAnsi="STIX" w:eastAsia="STIX"/>
                <w:b w:val="0"/>
                <w:i/>
                <w:color w:val="000000"/>
                <w:sz w:val="16"/>
              </w:rPr>
              <w:t>ε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1 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⎛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⎝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√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̅̅̅̅̅̅̅̅̅̅̅̅̅̅̅̅̅̅̅̅̅̅̅̅̅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+</w:t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 xml:space="preserve"> 10</w:t>
            </w:r>
            <w:r>
              <w:rPr>
                <w:w w:val="103.61000061035158"/>
                <w:rFonts w:ascii="STIX" w:hAnsi="STIX" w:eastAsia="STIX"/>
                <w:b w:val="0"/>
                <w:i w:val="0"/>
                <w:color w:val="000000"/>
                <w:sz w:val="10"/>
              </w:rPr>
              <w:t>0</w:t>
            </w:r>
            <w:r>
              <w:rPr>
                <w:w w:val="103.61000061035158"/>
                <w:rFonts w:ascii="TeX_CM_Maths_Italic" w:hAnsi="TeX_CM_Maths_Italic" w:eastAsia="TeX_CM_Maths_Italic"/>
                <w:b w:val="0"/>
                <w:i/>
                <w:color w:val="000000"/>
                <w:sz w:val="10"/>
              </w:rPr>
              <w:t>.</w:t>
            </w:r>
            <w:r>
              <w:rPr>
                <w:w w:val="103.61000061035158"/>
                <w:rFonts w:ascii="STIX" w:hAnsi="STIX" w:eastAsia="STIX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 xml:space="preserve"> γ</w:t>
            </w:r>
            <w:r>
              <w:rPr>
                <w:w w:val="103.61000061035158"/>
                <w:rFonts w:ascii="TeX_CM_Maths_Symbols" w:hAnsi="TeX_CM_Maths_Symbols" w:eastAsia="TeX_CM_Maths_Symbols"/>
                <w:b w:val="0"/>
                <w:i w:val="0"/>
                <w:color w:val="000000"/>
                <w:sz w:val="10"/>
              </w:rPr>
              <w:t>(</w:t>
            </w:r>
            <w:r>
              <w:rPr>
                <w:w w:val="103.61000061035158"/>
                <w:rFonts w:ascii="STIX" w:hAnsi="STIX" w:eastAsia="STIX"/>
                <w:b w:val="0"/>
                <w:i/>
                <w:color w:val="000000"/>
                <w:sz w:val="10"/>
              </w:rPr>
              <w:t>f</w:t>
            </w:r>
            <w:r>
              <w:rPr>
                <w:w w:val="103.61000061035158"/>
                <w:rFonts w:ascii="TeX_CM_Maths_Symbols" w:hAnsi="TeX_CM_Maths_Symbols" w:eastAsia="TeX_CM_Maths_Symbols"/>
                <w:b w:val="0"/>
                <w:i w:val="0"/>
                <w:color w:val="000000"/>
                <w:sz w:val="10"/>
              </w:rPr>
              <w:t>)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⎞</w:t>
            </w:r>
            <w:r>
              <w:rPr>
                <w:rFonts w:ascii="TeX_CM_Maths_Extension" w:hAnsi="TeX_CM_Maths_Extension" w:eastAsia="TeX_CM_Maths_Extension"/>
                <w:b w:val="0"/>
                <w:i w:val="0"/>
                <w:color w:val="000000"/>
                <w:sz w:val="16"/>
              </w:rPr>
              <w:t>⎠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(8) </w:t>
            </w:r>
          </w:p>
          <w:p>
            <w:pPr>
              <w:autoSpaceDN w:val="0"/>
              <w:autoSpaceDE w:val="0"/>
              <w:widowControl/>
              <w:spacing w:line="300" w:lineRule="exact" w:before="0" w:after="0"/>
              <w:ind w:left="0" w:right="20" w:firstLine="24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Therefore, the probability of successful reception of a packet of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length 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m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bits is 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1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w w:val="103.05415391921997"/>
                <w:rFonts w:ascii="STIX" w:hAnsi="STIX" w:eastAsia="STIX"/>
                <w:b w:val="0"/>
                <w:i/>
                <w:color w:val="000000"/>
                <w:sz w:val="16"/>
              </w:rPr>
              <w:t xml:space="preserve"> ε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>)</w:t>
            </w:r>
            <w:r>
              <w:rPr>
                <w:w w:val="103.61000061035158"/>
                <w:rFonts w:ascii="CharisSIL" w:hAnsi="CharisSIL" w:eastAsia="CharisSIL"/>
                <w:b w:val="0"/>
                <w:i/>
                <w:color w:val="000000"/>
                <w:sz w:val="10"/>
              </w:rPr>
              <w:t>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. Transducers were configured with a bit rate of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12.5 Kbps. The transmission power was adjusted such that the nominal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communication range is 150 m. </w:t>
            </w:r>
          </w:p>
          <w:p>
            <w:pPr>
              <w:autoSpaceDN w:val="0"/>
              <w:autoSpaceDE w:val="0"/>
              <w:widowControl/>
              <w:spacing w:line="210" w:lineRule="exact" w:before="54" w:after="0"/>
              <w:ind w:left="0" w:right="0" w:firstLine="24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In our simulations, we adopted a basic ALOHA MAC protocol, in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which packets are transmitted immediately regardless of the state of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channel and frames lost due to collisions are not retransmitted. ALOHA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is a practical alternative in acoustic underwater MAC, considering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extremely high propagation delay, which renders synchronized pro-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tocols impractical [34]; hence, ALOHA has been frequently employed in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UAN literature, such as [</w:t>
            </w:r>
            <w:r>
              <w:rPr>
                <w:rFonts w:ascii="CharisSIL" w:hAnsi="CharisSIL" w:eastAsia="CharisSIL"/>
                <w:b w:val="0"/>
                <w:i w:val="0"/>
                <w:color w:val="2196D1"/>
                <w:sz w:val="16"/>
              </w:rPr>
              <w:t>31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]. </w:t>
            </w:r>
          </w:p>
          <w:p>
            <w:pPr>
              <w:autoSpaceDN w:val="0"/>
              <w:autoSpaceDE w:val="0"/>
              <w:widowControl/>
              <w:spacing w:line="210" w:lineRule="exact" w:before="52" w:after="0"/>
              <w:ind w:left="0" w:right="20" w:firstLine="24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Traffic was generated at a rate of 10 bytes per second, whereas each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packet held a 50-byte payload. Thus, one packet was generated every 5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s. The source was configured to stop after transmitting exactly 100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packets, and the simulation was run for as long as it took for all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traffic caused by these messages to disappear from the network. </w:t>
            </w:r>
          </w:p>
          <w:p>
            <w:pPr>
              <w:autoSpaceDN w:val="0"/>
              <w:autoSpaceDE w:val="0"/>
              <w:widowControl/>
              <w:spacing w:line="222" w:lineRule="exact" w:before="38" w:after="0"/>
              <w:ind w:left="0" w:right="20" w:firstLine="24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number of packets delivered to the sink, 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D </w:t>
            </w:r>
            <w:r>
              <w:rPr>
                <w:w w:val="101.43273093483664"/>
                <w:rFonts w:ascii="CharisSIL" w:hAnsi="CharisSIL" w:eastAsia="CharisSIL"/>
                <w:b w:val="0"/>
                <w:i/>
                <w:color w:val="000000"/>
                <w:sz w:val="11"/>
              </w:rPr>
              <w:t>p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, was observed and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divided by the corresponding ideal number of traditional DBR in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absence of the malicious attacker to obtain the delivery ratio, 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r</w:t>
            </w:r>
            <w:r>
              <w:rPr>
                <w:w w:val="101.43273093483664"/>
                <w:rFonts w:ascii="CharisSIL" w:hAnsi="CharisSIL" w:eastAsia="CharisSIL"/>
                <w:b w:val="0"/>
                <w:i/>
                <w:color w:val="000000"/>
                <w:sz w:val="11"/>
              </w:rPr>
              <w:t>p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, as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defined in </w:t>
            </w:r>
            <w:r>
              <w:rPr>
                <w:rFonts w:ascii="CharisSIL" w:hAnsi="CharisSIL" w:eastAsia="CharisSIL"/>
                <w:b w:val="0"/>
                <w:i w:val="0"/>
                <w:color w:val="2196D1"/>
                <w:sz w:val="16"/>
              </w:rPr>
              <w:t>(2)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. </w:t>
            </w:r>
          </w:p>
          <w:p>
            <w:pPr>
              <w:autoSpaceDN w:val="0"/>
              <w:autoSpaceDE w:val="0"/>
              <w:widowControl/>
              <w:spacing w:line="226" w:lineRule="exact" w:before="34" w:after="0"/>
              <w:ind w:left="0" w:right="20" w:firstLine="24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For each of the three network densities, four sets of scenarios were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simulated: (a) DBR protocol with the attacker inactive, (b) DBR protocol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with the attacker active, (c) DPR protocol with the attacker inactive, and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(d) DPR protocol with the attacker active. When DPR was used,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simulation was repeated with various values of forwarding probability,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ranging from 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p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0</w:t>
            </w:r>
            <w:r>
              <w:rPr>
                <w:rFonts w:ascii="TeX_CM_Maths_Italic" w:hAnsi="TeX_CM_Maths_Italic" w:eastAsia="TeX_CM_Maths_Italic"/>
                <w:b w:val="0"/>
                <w:i/>
                <w:color w:val="000000"/>
                <w:sz w:val="16"/>
              </w:rPr>
              <w:t>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1 to 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p</w:t>
            </w:r>
            <w:r>
              <w:rPr>
                <w:rFonts w:ascii="TeX_CM_Maths_Symbols" w:hAnsi="TeX_CM_Maths_Symbols" w:eastAsia="TeX_CM_Maths_Symbols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1. In each scenario, the experiment was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0" w:space="0"/>
            <w:col w:w="5313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0" w:space="0"/>
            <w:col w:w="5313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08" w:lineRule="exact" w:before="0" w:after="226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A. Alharbi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13 (2022) 100117</w:t>
      </w:r>
    </w:p>
    <w:p>
      <w:pPr>
        <w:sectPr>
          <w:pgSz w:w="11906" w:h="15874"/>
          <w:pgMar w:top="338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0" w:space="0"/>
            <w:col w:w="5313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8330" cy="208533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0853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176" w:after="0"/>
        <w:ind w:left="0" w:right="0" w:firstLine="0"/>
        <w:jc w:val="left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6.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Effect of forwarding probability on delivery cost in the absence of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depth-spoofing attack, with varying node densities. </w:t>
      </w:r>
    </w:p>
    <w:p>
      <w:pPr>
        <w:autoSpaceDN w:val="0"/>
        <w:autoSpaceDE w:val="0"/>
        <w:widowControl/>
        <w:spacing w:line="260" w:lineRule="exact" w:before="196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5.3. Adjusting the forwarding probability </w:t>
      </w:r>
    </w:p>
    <w:p>
      <w:pPr>
        <w:autoSpaceDN w:val="0"/>
        <w:autoSpaceDE w:val="0"/>
        <w:widowControl/>
        <w:spacing w:line="210" w:lineRule="exact" w:before="210" w:after="0"/>
        <w:ind w:left="0" w:right="52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performance of DPR exhibited a tradeoff between resistance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depth-spoofing attacks represented by the packet delivery ratio and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overhead represented by the delivery cost. The optimal forwarding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probability should maximize the resilience efficiency defined in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(4)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</w:p>
    <w:p>
      <w:pPr>
        <w:autoSpaceDN w:val="0"/>
        <w:tabs>
          <w:tab w:pos="238" w:val="left"/>
          <w:tab w:pos="4754" w:val="left"/>
        </w:tabs>
        <w:autoSpaceDE w:val="0"/>
        <w:widowControl/>
        <w:spacing w:line="256" w:lineRule="exact" w:before="4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2196D1"/>
          <w:sz w:val="16"/>
        </w:rPr>
        <w:t xml:space="preserve">Fig. 7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illustrates how the optimal resilience efficiency is affected 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network density. In the sparse network, where the overhead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significantly limited, it seems that the delivery ratio is the overwhelming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factor affecting resilience efficiency. Therefore, the best resilience effi-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ciency was achieved at a very high forwarding probability, </w:t>
      </w:r>
      <w:r>
        <w:rPr>
          <w:rFonts w:ascii="CharisSIL" w:hAnsi="CharisSIL" w:eastAsia="CharisSIL"/>
          <w:b w:val="0"/>
          <w:i/>
          <w:color w:val="000000"/>
          <w:sz w:val="16"/>
        </w:rPr>
        <w:t>p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 =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0</w:t>
      </w:r>
      <w:r>
        <w:rPr>
          <w:rFonts w:ascii="TeX_CM_Maths_Italic" w:hAnsi="TeX_CM_Maths_Italic" w:eastAsia="TeX_CM_Maths_Italic"/>
          <w:b w:val="0"/>
          <w:i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9.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denser networks, however, the overhead played a more significant role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pushed the optimal forwarding probability lower. In the medium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density network, the optimal forwarding probability was </w:t>
      </w:r>
      <w:r>
        <w:rPr>
          <w:rFonts w:ascii="CharisSIL" w:hAnsi="CharisSIL" w:eastAsia="CharisSIL"/>
          <w:b w:val="0"/>
          <w:i/>
          <w:color w:val="000000"/>
          <w:sz w:val="16"/>
        </w:rPr>
        <w:t>p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 =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0</w:t>
      </w:r>
      <w:r>
        <w:rPr>
          <w:rFonts w:ascii="TeX_CM_Maths_Italic" w:hAnsi="TeX_CM_Maths_Italic" w:eastAsia="TeX_CM_Maths_Italic"/>
          <w:b w:val="0"/>
          <w:i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5,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whereas in the dense network, it was </w:t>
      </w:r>
      <w:r>
        <w:rPr>
          <w:rFonts w:ascii="CharisSIL" w:hAnsi="CharisSIL" w:eastAsia="CharisSIL"/>
          <w:b w:val="0"/>
          <w:i/>
          <w:color w:val="000000"/>
          <w:sz w:val="16"/>
        </w:rPr>
        <w:t>p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 =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0</w:t>
      </w:r>
      <w:r>
        <w:rPr>
          <w:rFonts w:ascii="TeX_CM_Maths_Italic" w:hAnsi="TeX_CM_Maths_Italic" w:eastAsia="TeX_CM_Maths_Italic"/>
          <w:b w:val="0"/>
          <w:i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3. From this observation, we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 confirm that networks with higher node densities are expected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achieve better security/efficiency balance with DPR at lower values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forwarding probability </w:t>
      </w:r>
      <w:r>
        <w:rPr>
          <w:rFonts w:ascii="CharisSIL" w:hAnsi="CharisSIL" w:eastAsia="CharisSIL"/>
          <w:b w:val="0"/>
          <w:i/>
          <w:color w:val="000000"/>
          <w:sz w:val="16"/>
        </w:rPr>
        <w:t>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</w:p>
    <w:p>
      <w:pPr>
        <w:autoSpaceDN w:val="0"/>
        <w:autoSpaceDE w:val="0"/>
        <w:widowControl/>
        <w:spacing w:line="240" w:lineRule="auto" w:before="998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8330" cy="25336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533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16" w:lineRule="exact" w:before="150" w:after="0"/>
        <w:ind w:left="0" w:right="0" w:firstLine="0"/>
        <w:jc w:val="left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7.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Finding the optimal forwarding probability using the resilience effi-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ciency, </w:t>
      </w:r>
      <w:r>
        <w:rPr>
          <w:w w:val="98.93072128295898"/>
          <w:rFonts w:ascii="STIX" w:hAnsi="STIX" w:eastAsia="STIX"/>
          <w:b/>
          <w:i/>
          <w:color w:val="000000"/>
          <w:sz w:val="15"/>
        </w:rPr>
        <w:t>η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. In the sparse network (a), the maximum </w:t>
      </w:r>
      <w:r>
        <w:rPr>
          <w:w w:val="98.93072128295898"/>
          <w:rFonts w:ascii="STIX" w:hAnsi="STIX" w:eastAsia="STIX"/>
          <w:b/>
          <w:i/>
          <w:color w:val="000000"/>
          <w:sz w:val="15"/>
        </w:rPr>
        <w:t xml:space="preserve">η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is at </w:t>
      </w:r>
      <w:r>
        <w:rPr>
          <w:w w:val="102.47142655508858"/>
          <w:rFonts w:ascii="STIX" w:hAnsi="STIX" w:eastAsia="STIX"/>
          <w:b/>
          <w:i/>
          <w:color w:val="000000"/>
          <w:sz w:val="14"/>
        </w:rPr>
        <w:t xml:space="preserve">p </w:t>
      </w:r>
      <w:r>
        <w:rPr>
          <w:w w:val="102.47142655508858"/>
          <w:rFonts w:ascii="TeX_CM_Maths_Symbols" w:hAnsi="TeX_CM_Maths_Symbols" w:eastAsia="TeX_CM_Maths_Symbols"/>
          <w:b w:val="0"/>
          <w:i w:val="0"/>
          <w:color w:val="000000"/>
          <w:sz w:val="14"/>
        </w:rPr>
        <w:t>=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0.9. In the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medium-density network (b), the maximum </w:t>
      </w:r>
      <w:r>
        <w:rPr>
          <w:w w:val="98.93072128295898"/>
          <w:rFonts w:ascii="STIX" w:hAnsi="STIX" w:eastAsia="STIX"/>
          <w:b/>
          <w:i/>
          <w:color w:val="000000"/>
          <w:sz w:val="15"/>
        </w:rPr>
        <w:t xml:space="preserve">η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is at </w:t>
      </w:r>
      <w:r>
        <w:rPr>
          <w:w w:val="102.47142655508858"/>
          <w:rFonts w:ascii="STIX" w:hAnsi="STIX" w:eastAsia="STIX"/>
          <w:b/>
          <w:i/>
          <w:color w:val="000000"/>
          <w:sz w:val="14"/>
        </w:rPr>
        <w:t xml:space="preserve">p </w:t>
      </w:r>
      <w:r>
        <w:rPr>
          <w:w w:val="102.47142655508858"/>
          <w:rFonts w:ascii="TeX_CM_Maths_Symbols" w:hAnsi="TeX_CM_Maths_Symbols" w:eastAsia="TeX_CM_Maths_Symbols"/>
          <w:b w:val="0"/>
          <w:i w:val="0"/>
          <w:color w:val="000000"/>
          <w:sz w:val="14"/>
        </w:rPr>
        <w:t>=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0.5. In the dense network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(c), the maximum </w:t>
      </w:r>
      <w:r>
        <w:rPr>
          <w:w w:val="98.93072128295898"/>
          <w:rFonts w:ascii="STIX" w:hAnsi="STIX" w:eastAsia="STIX"/>
          <w:b/>
          <w:i/>
          <w:color w:val="000000"/>
          <w:sz w:val="15"/>
        </w:rPr>
        <w:t xml:space="preserve">η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is at </w:t>
      </w:r>
      <w:r>
        <w:rPr>
          <w:w w:val="102.47142655508858"/>
          <w:rFonts w:ascii="STIX" w:hAnsi="STIX" w:eastAsia="STIX"/>
          <w:b/>
          <w:i/>
          <w:color w:val="000000"/>
          <w:sz w:val="14"/>
        </w:rPr>
        <w:t xml:space="preserve">p </w:t>
      </w:r>
      <w:r>
        <w:rPr>
          <w:w w:val="102.47142655508858"/>
          <w:rFonts w:ascii="TeX_CM_Maths_Symbols" w:hAnsi="TeX_CM_Maths_Symbols" w:eastAsia="TeX_CM_Maths_Symbols"/>
          <w:b w:val="0"/>
          <w:i w:val="0"/>
          <w:color w:val="000000"/>
          <w:sz w:val="14"/>
        </w:rPr>
        <w:t>=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0.3. </w:t>
      </w:r>
    </w:p>
    <w:p>
      <w:pPr>
        <w:sectPr>
          <w:type w:val="continuous"/>
          <w:pgSz w:w="11906" w:h="15874"/>
          <w:pgMar w:top="338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0" w:space="0"/>
            <w:col w:w="5313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6" w:h="15874"/>
          <w:pgMar w:top="338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0" w:space="0"/>
            <w:col w:w="5313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226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A. Alharbi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13 (2022) 100117</w:t>
      </w:r>
    </w:p>
    <w:p>
      <w:pPr>
        <w:sectPr>
          <w:pgSz w:w="11906" w:h="15874"/>
          <w:pgMar w:top="336" w:right="686" w:bottom="288" w:left="752" w:header="720" w:footer="720" w:gutter="0"/>
          <w:cols w:space="720" w:num="1" w:equalWidth="0"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0" w:space="0"/>
            <w:col w:w="5313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9600" cy="20904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090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174" w:after="0"/>
        <w:ind w:left="0" w:right="0" w:firstLine="0"/>
        <w:jc w:val="left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8.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Energy efficiency of depth-spoofing countermeasures in the absence of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an attacker. Energy efficiency is represented as a percentage of the energy ef-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ficiency of the original DBR. </w:t>
      </w:r>
    </w:p>
    <w:p>
      <w:pPr>
        <w:autoSpaceDN w:val="0"/>
        <w:autoSpaceDE w:val="0"/>
        <w:widowControl/>
        <w:spacing w:line="240" w:lineRule="auto" w:before="402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48330" cy="205993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0599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6" w:lineRule="exact" w:before="130" w:after="0"/>
        <w:ind w:left="0" w:right="0" w:firstLine="0"/>
        <w:jc w:val="center"/>
      </w:pPr>
      <w:r>
        <w:rPr>
          <w:w w:val="102.47142655508858"/>
          <w:rFonts w:ascii="CharisSIL" w:hAnsi="CharisSIL" w:eastAsia="CharisSIL"/>
          <w:b/>
          <w:i w:val="0"/>
          <w:color w:val="000000"/>
          <w:sz w:val="14"/>
        </w:rPr>
        <w:t>Fig. 9.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 xml:space="preserve"> Comparison of resilience efficiency. </w:t>
      </w:r>
    </w:p>
    <w:p>
      <w:pPr>
        <w:autoSpaceDN w:val="0"/>
        <w:autoSpaceDE w:val="0"/>
        <w:widowControl/>
        <w:spacing w:line="424" w:lineRule="exact" w:before="220" w:after="0"/>
        <w:ind w:left="0" w:right="0" w:firstLine="0"/>
        <w:jc w:val="left"/>
      </w:pPr>
      <w:r>
        <w:rPr>
          <w:rFonts w:ascii="STIX" w:hAnsi="STIX" w:eastAsia="STIX"/>
          <w:b w:val="0"/>
          <w:i/>
          <w:color w:val="000000"/>
          <w:sz w:val="16"/>
        </w:rPr>
        <w:t>Node depletion rate</w:t>
      </w:r>
      <w:r>
        <w:rPr>
          <w:rFonts w:ascii="TeX_CM_Maths_Symbols" w:hAnsi="TeX_CM_Maths_Symbols" w:eastAsia="TeX_CM_Maths_Symbols"/>
          <w:b w:val="0"/>
          <w:i w:val="0"/>
          <w:color w:val="000000"/>
          <w:sz w:val="16"/>
        </w:rPr>
        <w:t xml:space="preserve"> =</w:t>
      </w:r>
      <w:r>
        <w:rPr>
          <w:rFonts w:ascii="STIX" w:hAnsi="STIX" w:eastAsia="STIX"/>
          <w:b w:val="0"/>
          <w:i/>
          <w:color w:val="000000"/>
          <w:sz w:val="16"/>
        </w:rPr>
        <w:t>Numberof node transmissions</w:t>
      </w:r>
    </w:p>
    <w:p>
      <w:pPr>
        <w:autoSpaceDN w:val="0"/>
        <w:autoSpaceDE w:val="0"/>
        <w:widowControl/>
        <w:spacing w:line="210" w:lineRule="exact" w:before="128" w:after="0"/>
        <w:ind w:left="0" w:right="52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take the node depletion rate of DBR as a reference and hence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represent the network lifetime as a fraction of the corresponding DBR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network lifetime. As shown in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Fig. 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the proposed DPR keeps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lifetime of the network above 95% of the DBR lifetime, whereas RPR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reduces the network lifetime to approximately 40%. 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20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 xml:space="preserve">5.4.4. End-to-end delay comparison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End-to-end delay is the time spent delivering an application message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a source to a destination/sink node. As shown in </w:t>
      </w:r>
      <w:r>
        <w:rPr>
          <w:rFonts w:ascii="CharisSIL" w:hAnsi="CharisSIL" w:eastAsia="CharisSIL"/>
          <w:b w:val="0"/>
          <w:i w:val="0"/>
          <w:color w:val="2196D1"/>
          <w:sz w:val="16"/>
        </w:rPr>
        <w:t>Fig. 11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the effect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the proposed DPR on end-to-end delay is insignificant regardless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network density. </w:t>
      </w:r>
    </w:p>
    <w:p>
      <w:pPr>
        <w:autoSpaceDN w:val="0"/>
        <w:autoSpaceDE w:val="0"/>
        <w:widowControl/>
        <w:spacing w:line="262" w:lineRule="exact" w:before="156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6. Conclusion </w:t>
      </w:r>
    </w:p>
    <w:p>
      <w:pPr>
        <w:autoSpaceDN w:val="0"/>
        <w:autoSpaceDE w:val="0"/>
        <w:widowControl/>
        <w:spacing w:line="210" w:lineRule="exact" w:before="208" w:after="0"/>
        <w:ind w:left="0" w:right="0" w:firstLine="24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this paper, we proposed a security improvement to secure DBR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against depth-spoofing sinkhole attacks using non-deterministic for-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warding. The simulation showed that the proposed DPR protocol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potent against depth-spoofing sinkhole attacks. Since energy consump-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 is of utmost importance in underwater networks, the proposed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protocol was also shown to have a limited energy overhead. Compared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its main competitor, RPR, the proposed DPR has approximately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double the energy efficiency. The DPR also has a negligible effect 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end-to-end delay. Since the performance of DPR is determined by the </w:t>
      </w:r>
    </w:p>
    <w:p>
      <w:pPr>
        <w:sectPr>
          <w:type w:val="continuous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0" w:space="0"/>
            <w:col w:w="5313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9</w:t>
      </w:r>
    </w:p>
    <w:p>
      <w:pPr>
        <w:sectPr>
          <w:type w:val="nextColumn"/>
          <w:pgSz w:w="11906" w:h="15874"/>
          <w:pgMar w:top="336" w:right="686" w:bottom="288" w:left="752" w:header="720" w:footer="720" w:gutter="0"/>
          <w:cols w:space="720" w:num="2" w:equalWidth="0"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0" w:space="0"/>
            <w:col w:w="5313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6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10" w:lineRule="exact" w:before="0" w:after="144"/>
        <w:ind w:left="0" w:right="0" w:firstLine="0"/>
        <w:jc w:val="left"/>
      </w:pP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A. Alharbi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13 (2022) 100117</w:t>
      </w:r>
    </w:p>
    <w:p>
      <w:pPr>
        <w:sectPr>
          <w:pgSz w:w="11906" w:h="15874"/>
          <w:pgMar w:top="336" w:right="720" w:bottom="288" w:left="752" w:header="720" w:footer="720" w:gutter="0"/>
          <w:cols w:space="720" w:num="1" w:equalWidth="0"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0" w:space="0"/>
            <w:col w:w="5313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60" w:lineRule="exact" w:before="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Acknowledgment </w:t>
      </w:r>
    </w:p>
    <w:p>
      <w:pPr>
        <w:autoSpaceDN w:val="0"/>
        <w:tabs>
          <w:tab w:pos="238" w:val="left"/>
        </w:tabs>
        <w:autoSpaceDE w:val="0"/>
        <w:widowControl/>
        <w:spacing w:line="208" w:lineRule="exact" w:before="212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work was supported by the Deanship of Scientific Research 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Umm Al-Qura University, grant code 19-COM-1-01-0019. </w:t>
      </w:r>
    </w:p>
    <w:p>
      <w:pPr>
        <w:autoSpaceDN w:val="0"/>
        <w:autoSpaceDE w:val="0"/>
        <w:widowControl/>
        <w:spacing w:line="262" w:lineRule="exact" w:before="158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References </w:t>
      </w:r>
    </w:p>
    <w:p>
      <w:pPr>
        <w:autoSpaceDN w:val="0"/>
        <w:autoSpaceDE w:val="0"/>
        <w:widowControl/>
        <w:spacing w:line="160" w:lineRule="exact" w:before="192" w:after="0"/>
        <w:ind w:left="328" w:right="0" w:hanging="26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[1] Yang G, Dai L, Si G, Wang S, Wang S. Challenges and security issues in underwater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wireless sensor networks. Procedia Computer Science 2019;147:210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6.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2" w:history="1">
          <w:r>
            <w:rPr>
              <w:rStyle w:val="Hyperlink"/>
            </w:rPr>
            <w:t>https://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2" w:history="1">
          <w:r>
            <w:rPr>
              <w:rStyle w:val="Hyperlink"/>
            </w:rPr>
            <w:t>doi.org/10.1016/j.procs.2019.01.225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48" w:after="0"/>
        <w:ind w:left="328" w:right="0" w:hanging="26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[2]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22" w:history="1">
          <w:r>
            <w:rPr>
              <w:rStyle w:val="Hyperlink"/>
            </w:rPr>
            <w:t>T. Dargahi, H. H. S. Javadi, and H. S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hafiei, "Securing underwater sensor networks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against routing attacks," Wireless Pers Commun</w:t>
      </w:r>
      <w:r>
        <w:rPr>
          <w:w w:val="98.09076602642352"/>
          <w:rFonts w:ascii="CharisSIL" w:hAnsi="CharisSIL" w:eastAsia="CharisSIL"/>
          <w:b w:val="0"/>
          <w:i/>
          <w:color w:val="000000"/>
          <w:sz w:val="13"/>
        </w:rPr>
        <w:t xml:space="preserve">,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vol. 96, no. 2, pp. 2585-2602,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2017/09/01 2017, doi: 10.1007/s11277-017-4313-1. </w:t>
      </w:r>
    </w:p>
    <w:p>
      <w:pPr>
        <w:autoSpaceDN w:val="0"/>
        <w:autoSpaceDE w:val="0"/>
        <w:widowControl/>
        <w:spacing w:line="160" w:lineRule="exact" w:before="48" w:after="0"/>
        <w:ind w:left="328" w:right="0" w:hanging="26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[3] Signori A, et al. Jamming the underwater: a game-theoretic analysis of energy-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depleting jamming attacks. Atlanta, GA, USA. In: Presented at the proceedings of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the international conference on underwater networks </w:t>
      </w:r>
      <w:r>
        <w:rPr>
          <w:w w:val="98.09076602642352"/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&amp;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systems; 2019.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3" w:history="1">
          <w:r>
            <w:rPr>
              <w:rStyle w:val="Hyperlink"/>
            </w:rPr>
            <w:t>https://doi.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3" w:history="1">
          <w:r>
            <w:rPr>
              <w:rStyle w:val="Hyperlink"/>
            </w:rPr>
            <w:t>org/10.1145/3366486.3366546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[Online]. Available:. </w:t>
      </w:r>
    </w:p>
    <w:p>
      <w:pPr>
        <w:autoSpaceDN w:val="0"/>
        <w:autoSpaceDE w:val="0"/>
        <w:widowControl/>
        <w:spacing w:line="160" w:lineRule="exact" w:before="50" w:after="0"/>
        <w:ind w:left="328" w:right="432" w:hanging="26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[4]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23" w:history="1">
          <w:r>
            <w:rPr>
              <w:rStyle w:val="Hyperlink"/>
            </w:rPr>
            <w:t>Jiang S. On securing underwate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r acoustic networks: a survey. IEEE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Communications Surveys </w:t>
      </w:r>
      <w:r>
        <w:rPr>
          <w:w w:val="98.09076602642352"/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&amp;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Tutorials 2019;21(1):729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52.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4" w:history="1">
          <w:r>
            <w:rPr>
              <w:rStyle w:val="Hyperlink"/>
            </w:rPr>
            <w:t>https://doi.org/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4" w:history="1">
          <w:r>
            <w:rPr>
              <w:rStyle w:val="Hyperlink"/>
            </w:rPr>
            <w:t>10.1109/COMST.2018.2864127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208" w:lineRule="exact" w:before="0" w:after="0"/>
        <w:ind w:left="0" w:right="0" w:firstLine="0"/>
        <w:jc w:val="center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[5]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5" w:history="1">
          <w:r>
            <w:rPr>
              <w:rStyle w:val="Hyperlink"/>
            </w:rPr>
            <w:t>Yan H, Shi Z, Cui J-H. DBR: dep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5" w:history="1">
          <w:r>
            <w:rPr>
              <w:rStyle w:val="Hyperlink"/>
            </w:rPr>
            <w:t>th-based routing for underwater sensor networks.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</w:p>
    <w:p>
      <w:pPr>
        <w:autoSpaceDN w:val="0"/>
        <w:autoSpaceDE w:val="0"/>
        <w:widowControl/>
        <w:spacing w:line="162" w:lineRule="exact" w:before="46" w:after="0"/>
        <w:ind w:left="328" w:right="144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5" w:history="1">
          <w:r>
            <w:rPr>
              <w:rStyle w:val="Hyperlink"/>
            </w:rPr>
            <w:t>In: NETWORKING 2008 ad hoc and sensor networks, wireless networks, next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5" w:history="1">
          <w:r>
            <w:rPr>
              <w:rStyle w:val="Hyperlink"/>
            </w:rPr>
            <w:t>generation internet, vol. 4982. Berlin, Heidelberg: Springer Berlin Heidelberg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5" w:history="1">
          <w:r>
            <w:rPr>
              <w:rStyle w:val="Hyperlink"/>
            </w:rPr>
            <w:t>;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5" w:history="1">
          <w:r>
            <w:rPr>
              <w:rStyle w:val="Hyperlink"/>
            </w:rPr>
            <w:t>2008. p. 72</w:t>
          </w:r>
        </w:hyperlink>
      </w:r>
      <w:r>
        <w:rPr>
          <w:w w:val="98.09076602642352"/>
          <w:rFonts w:ascii="STIX" w:hAnsi="STIX" w:eastAsia="STIX"/>
          <w:b w:val="0"/>
          <w:i w:val="0"/>
          <w:color w:val="2196D1"/>
          <w:sz w:val="13"/>
        </w:rPr>
        <w:hyperlink r:id="rId25" w:history="1">
          <w:r>
            <w:rPr>
              <w:rStyle w:val="Hyperlink"/>
            </w:rPr>
            <w:t>–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5" w:history="1">
          <w:r>
            <w:rPr>
              <w:rStyle w:val="Hyperlink"/>
            </w:rPr>
            <w:t>86 (Lecture Notes in Computer Science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25" w:history="1">
          <w:r>
            <w:rPr>
              <w:rStyle w:val="Hyperlink"/>
            </w:rPr>
            <w:t xml:space="preserve">. </w:t>
          </w:r>
        </w:hyperlink>
      </w:r>
    </w:p>
    <w:p>
      <w:pPr>
        <w:autoSpaceDN w:val="0"/>
        <w:autoSpaceDE w:val="0"/>
        <w:widowControl/>
        <w:spacing w:line="164" w:lineRule="exact" w:before="46" w:after="0"/>
        <w:ind w:left="328" w:right="0" w:hanging="26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[6]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25" w:history="1">
          <w:r>
            <w:rPr>
              <w:rStyle w:val="Hyperlink"/>
            </w:rPr>
            <w:t>Yu H, Yao N, Wang T, Li G, Gao Z, Tan G. WDFAD-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DBR: weighting depth and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forwarding area division DBR routing protocol for UASNs. Ad Hoc Netw 2016;37: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256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82.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6" w:history="1">
          <w:r>
            <w:rPr>
              <w:rStyle w:val="Hyperlink"/>
            </w:rPr>
            <w:t>https://doi.org/10.1016/j.adhoc.2015.08.023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48" w:after="0"/>
        <w:ind w:left="328" w:right="0" w:hanging="26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[7] Javaid N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26" w:history="1">
          <w:r>
            <w:rPr>
              <w:rStyle w:val="Hyperlink"/>
            </w:rPr>
            <w:t xml:space="preserve">, Jafri MR, Khan ZA, Qasim U, Alghamdi TA, 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Ali M. iAMCTD: improved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adaptive mobility of courier nodes in threshold-optimized DBR protocol for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underwater wireless sensor networks. Int J Distributed Sens Netw 2014;10(11):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213012.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7" w:history="1">
          <w:r>
            <w:rPr>
              <w:rStyle w:val="Hyperlink"/>
            </w:rPr>
            <w:t>https://doi.org/10.1155/2014/213012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0" w:lineRule="exact" w:before="48" w:after="0"/>
        <w:ind w:left="328" w:right="0" w:hanging="26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[8] M. Zuba,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 xml:space="preserve"> M. Fagan, S. Zhijie, and C. Jun-Hong, "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A resilient pressure routing scheme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for underwater acoustic networks," Dec 2014 2014, no. Conference Proceedings: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IEEE, pp. 637-642, doi: 10.1109/GLOCOM.2014.7036879. [Online]. Available: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https://ieeexplore.ieee.org/document/7036879. </w:t>
      </w:r>
    </w:p>
    <w:p>
      <w:pPr>
        <w:autoSpaceDN w:val="0"/>
        <w:autoSpaceDE w:val="0"/>
        <w:widowControl/>
        <w:spacing w:line="160" w:lineRule="exact" w:before="50" w:after="0"/>
        <w:ind w:left="328" w:right="0" w:hanging="26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[9] Shah M, Javaid N, Imran M, Guizani M, Khan ZA, Qasim U. Interference aware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inverse EEDBR protocol for underwater WSNs. Conference Proceedings: IEEE; Aug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2015 2015. p. 739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44.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8" w:history="1">
          <w:r>
            <w:rPr>
              <w:rStyle w:val="Hyperlink"/>
            </w:rPr>
            <w:t>https://doi.org/10.1109/IWCMC.2015.7289175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[Online].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Available: https://ieeex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 xml:space="preserve">plore.ieee.org/document/7289175. </w:t>
          </w:r>
        </w:hyperlink>
      </w:r>
    </w:p>
    <w:p>
      <w:pPr>
        <w:autoSpaceDN w:val="0"/>
        <w:tabs>
          <w:tab w:pos="330" w:val="left"/>
        </w:tabs>
        <w:autoSpaceDE w:val="0"/>
        <w:widowControl/>
        <w:spacing w:line="166" w:lineRule="exact" w:before="42" w:after="0"/>
        <w:ind w:left="0" w:right="144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[10] Gul S, Jokhio SH, Jokhio IA. Light-weight depth-based routing for underwater </w:t>
      </w:r>
      <w:r>
        <w:tab/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wireless sensor network. Conference Proceedings: IEEE; Feb 2018 2018. p. 1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7. </w:t>
      </w:r>
    </w:p>
    <w:p>
      <w:pPr>
        <w:autoSpaceDN w:val="0"/>
        <w:autoSpaceDE w:val="0"/>
        <w:widowControl/>
        <w:spacing w:line="160" w:lineRule="exact" w:before="50" w:after="0"/>
        <w:ind w:left="330" w:right="288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29" w:history="1">
          <w:r>
            <w:rPr>
              <w:rStyle w:val="Hyperlink"/>
            </w:rPr>
            <w:t>https://doi.org/10.1109/ICACS.2018.8333483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[Online]. Available: https://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29" w:history="1">
          <w:r>
            <w:rPr>
              <w:rStyle w:val="Hyperlink"/>
            </w:rPr>
            <w:t xml:space="preserve">ieeexplore.ieee.org/document/8333483. </w:t>
          </w:r>
        </w:hyperlink>
      </w:r>
    </w:p>
    <w:p>
      <w:pPr>
        <w:autoSpaceDN w:val="0"/>
        <w:autoSpaceDE w:val="0"/>
        <w:widowControl/>
        <w:spacing w:line="160" w:lineRule="exact" w:before="48" w:after="0"/>
        <w:ind w:left="33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[11] Ahmed T, Chaudhary M, Kaleem M, Nazir S. Optimized depth-based routing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protocol for underwater wireless sensor networks. Conference Proceedings: IEEE;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Dec 2016 2016. p. 147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50.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0" w:history="1">
          <w:r>
            <w:rPr>
              <w:rStyle w:val="Hyperlink"/>
            </w:rPr>
            <w:t>https://doi.org/10.1109/ICOSST.2016.7838592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[Online]. Available: https://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 xml:space="preserve">ieeexplore.ieee.org/document/7838592. </w:t>
          </w:r>
        </w:hyperlink>
      </w:r>
    </w:p>
    <w:p>
      <w:pPr>
        <w:autoSpaceDN w:val="0"/>
        <w:autoSpaceDE w:val="0"/>
        <w:widowControl/>
        <w:spacing w:line="162" w:lineRule="exact" w:before="46" w:after="0"/>
        <w:ind w:left="330" w:right="144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[12] Nithiyanandam N, Parthiban L. An efficient voting based method to detect sink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hole in wireless acoustic sensor networks. Int J Speech Technol 2020;23(2):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343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54.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1" w:history="1">
          <w:r>
            <w:rPr>
              <w:rStyle w:val="Hyperlink"/>
            </w:rPr>
            <w:t>https://doi.org/10.1007/s10772-020-09700-3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2020/06/01. </w:t>
      </w:r>
    </w:p>
    <w:p>
      <w:pPr>
        <w:autoSpaceDN w:val="0"/>
        <w:autoSpaceDE w:val="0"/>
        <w:widowControl/>
        <w:spacing w:line="162" w:lineRule="exact" w:before="46" w:after="0"/>
        <w:ind w:left="330" w:right="0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[13] Kala PC,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31" w:history="1">
          <w:r>
            <w:rPr>
              <w:rStyle w:val="Hyperlink"/>
            </w:rPr>
            <w:t>Agrawal AP, Sharma RR. A novel approach for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 isolation of sinkhole attack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in wireless sensor networks. 29-31 Jan. 2020. In: 2020 10th international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conference on cloud computing. Confluence: Data Science </w:t>
      </w:r>
      <w:r>
        <w:rPr>
          <w:w w:val="98.09076602642352"/>
          <w:rFonts w:ascii="TimesNewRomanPSMT" w:hAnsi="TimesNewRomanPSMT" w:eastAsia="TimesNewRomanPSMT"/>
          <w:b w:val="0"/>
          <w:i w:val="0"/>
          <w:color w:val="000000"/>
          <w:sz w:val="13"/>
        </w:rPr>
        <w:t xml:space="preserve">&amp;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Engineering; 2020.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p. 163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6.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2" w:history="1">
          <w:r>
            <w:rPr>
              <w:rStyle w:val="Hyperlink"/>
            </w:rPr>
            <w:t>https://doi.org/10.1109/Confluence47617.2020.905798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>1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. </w:t>
      </w:r>
    </w:p>
    <w:p>
      <w:pPr>
        <w:autoSpaceDN w:val="0"/>
        <w:autoSpaceDE w:val="0"/>
        <w:widowControl/>
        <w:spacing w:line="162" w:lineRule="exact" w:before="46" w:after="0"/>
        <w:ind w:left="330" w:right="144" w:hanging="33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[14] Zuba M, F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agan M, Jun-Hong C, Zhijie S. A vulnerability study of ge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ographic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routing in Underwater Acoustic Networks. Oct 2013. Conference Proceedings: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IEEE; 2013. p. 109</w:t>
      </w:r>
      <w:r>
        <w:rPr>
          <w:w w:val="98.09076602642352"/>
          <w:rFonts w:ascii="STIX" w:hAnsi="STIX" w:eastAsia="STIX"/>
          <w:b w:val="0"/>
          <w:i w:val="0"/>
          <w:color w:val="000000"/>
          <w:sz w:val="13"/>
        </w:rPr>
        <w:t>–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17. </w:t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hyperlink r:id="rId33" w:history="1">
          <w:r>
            <w:rPr>
              <w:rStyle w:val="Hyperlink"/>
            </w:rPr>
            <w:t>https://doi.org/10.1109/CNS.2013.6682698</w:t>
          </w:r>
        </w:hyperlink>
      </w:r>
      <w:r>
        <w:rPr>
          <w:w w:val="98.09076602642352"/>
          <w:rFonts w:ascii="CharisSIL" w:hAnsi="CharisSIL" w:eastAsia="CharisSIL"/>
          <w:b w:val="0"/>
          <w:i w:val="0"/>
          <w:color w:val="2196D1"/>
          <w:sz w:val="13"/>
        </w:rPr>
        <w:t xml:space="preserve"> 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 xml:space="preserve">[Online]. </w:t>
      </w:r>
    </w:p>
    <w:p>
      <w:pPr>
        <w:autoSpaceDN w:val="0"/>
        <w:autoSpaceDE w:val="0"/>
        <w:widowControl/>
        <w:spacing w:line="208" w:lineRule="exact" w:before="0" w:after="0"/>
        <w:ind w:left="330" w:right="0" w:firstLine="0"/>
        <w:jc w:val="left"/>
      </w:pP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t>Available: https://ieeex</w:t>
      </w:r>
      <w:r>
        <w:rPr>
          <w:w w:val="98.09076602642352"/>
          <w:rFonts w:ascii="CharisSIL" w:hAnsi="CharisSIL" w:eastAsia="CharisSIL"/>
          <w:b w:val="0"/>
          <w:i w:val="0"/>
          <w:color w:val="000000"/>
          <w:sz w:val="13"/>
        </w:rPr>
        <w:hyperlink r:id="rId33" w:history="1">
          <w:r>
            <w:rPr>
              <w:rStyle w:val="Hyperlink"/>
            </w:rPr>
            <w:t xml:space="preserve">plore.ieee.org/document/6682698. </w:t>
          </w:r>
        </w:hyperlink>
      </w:r>
    </w:p>
    <w:p>
      <w:pPr>
        <w:sectPr>
          <w:type w:val="continuous"/>
          <w:pgSz w:w="11906" w:h="15874"/>
          <w:pgMar w:top="336" w:right="720" w:bottom="288" w:left="752" w:header="720" w:footer="720" w:gutter="0"/>
          <w:cols w:space="720" w:num="2" w:equalWidth="0">
            <w:col w:w="5102" w:space="0"/>
            <w:col w:w="5331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5224" w:space="0"/>
            <w:col w:w="5244" w:space="0"/>
            <w:col w:w="10468" w:space="0"/>
            <w:col w:w="5120" w:space="0"/>
            <w:col w:w="5313" w:space="0"/>
            <w:col w:w="10433" w:space="0"/>
            <w:col w:w="5120" w:space="0"/>
            <w:col w:w="5348" w:space="0"/>
            <w:col w:w="10468" w:space="0"/>
            <w:col w:w="5120" w:space="0"/>
            <w:col w:w="5348" w:space="0"/>
            <w:col w:w="10468" w:space="0"/>
            <w:col w:w="10468" w:space="0"/>
            <w:col w:w="5224" w:space="0"/>
            <w:col w:w="5244" w:space="0"/>
            <w:col w:w="10468" w:space="0"/>
            <w:col w:w="5120" w:space="0"/>
            <w:col w:w="5348" w:space="0"/>
            <w:col w:w="10468" w:space="0"/>
            <w:col w:w="10484" w:space="0"/>
            <w:col w:w="5240" w:space="0"/>
            <w:col w:w="5244" w:space="0"/>
            <w:col w:w="1048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34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10</w:t>
      </w:r>
    </w:p>
    <w:sectPr w:rsidR="00FC693F" w:rsidRPr="0006063C" w:rsidSect="00034616">
      <w:type w:val="nextColumn"/>
      <w:pgSz w:w="11906" w:h="15874"/>
      <w:pgMar w:top="336" w:right="720" w:bottom="288" w:left="752" w:header="720" w:footer="720" w:gutter="0"/>
      <w:cols w:space="720" w:num="2" w:equalWidth="0">
        <w:col w:w="5102" w:space="0"/>
        <w:col w:w="5331" w:space="0"/>
        <w:col w:w="10433" w:space="0"/>
        <w:col w:w="5120" w:space="0"/>
        <w:col w:w="5348" w:space="0"/>
        <w:col w:w="10468" w:space="0"/>
        <w:col w:w="5120" w:space="0"/>
        <w:col w:w="5348" w:space="0"/>
        <w:col w:w="10468" w:space="0"/>
        <w:col w:w="5120" w:space="0"/>
        <w:col w:w="5348" w:space="0"/>
        <w:col w:w="10468" w:space="0"/>
        <w:col w:w="5224" w:space="0"/>
        <w:col w:w="5244" w:space="0"/>
        <w:col w:w="10468" w:space="0"/>
        <w:col w:w="5120" w:space="0"/>
        <w:col w:w="5313" w:space="0"/>
        <w:col w:w="10433" w:space="0"/>
        <w:col w:w="5120" w:space="0"/>
        <w:col w:w="5348" w:space="0"/>
        <w:col w:w="10468" w:space="0"/>
        <w:col w:w="5120" w:space="0"/>
        <w:col w:w="5348" w:space="0"/>
        <w:col w:w="10468" w:space="0"/>
        <w:col w:w="10468" w:space="0"/>
        <w:col w:w="5224" w:space="0"/>
        <w:col w:w="5244" w:space="0"/>
        <w:col w:w="10468" w:space="0"/>
        <w:col w:w="5120" w:space="0"/>
        <w:col w:w="5348" w:space="0"/>
        <w:col w:w="10468" w:space="0"/>
        <w:col w:w="10484" w:space="0"/>
        <w:col w:w="5240" w:space="0"/>
        <w:col w:w="5244" w:space="0"/>
        <w:col w:w="1048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1.100117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s://www.sciencedirect.com/journal/array" TargetMode="External"/><Relationship Id="rId13" Type="http://schemas.openxmlformats.org/officeDocument/2006/relationships/hyperlink" Target="mailto:aarharbi@uqu.edu.sa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s://doi.org/10.1016/j.procs.2019.01.225" TargetMode="External"/><Relationship Id="rId23" Type="http://schemas.openxmlformats.org/officeDocument/2006/relationships/hyperlink" Target="https://doi.org/10.1145/3366486.3366546" TargetMode="External"/><Relationship Id="rId24" Type="http://schemas.openxmlformats.org/officeDocument/2006/relationships/hyperlink" Target="https://doi.org/10.1109/COMST.2018.2864127" TargetMode="External"/><Relationship Id="rId25" Type="http://schemas.openxmlformats.org/officeDocument/2006/relationships/hyperlink" Target="http://refhub.elsevier.com/S2590-0056(21)00055-2/sref5" TargetMode="External"/><Relationship Id="rId26" Type="http://schemas.openxmlformats.org/officeDocument/2006/relationships/hyperlink" Target="https://doi.org/10.1016/j.adhoc.2015.08.023" TargetMode="External"/><Relationship Id="rId27" Type="http://schemas.openxmlformats.org/officeDocument/2006/relationships/hyperlink" Target="https://doi.org/10.1155/2014/213012" TargetMode="External"/><Relationship Id="rId28" Type="http://schemas.openxmlformats.org/officeDocument/2006/relationships/hyperlink" Target="https://doi.org/10.1109/IWCMC.2015.7289175" TargetMode="External"/><Relationship Id="rId29" Type="http://schemas.openxmlformats.org/officeDocument/2006/relationships/hyperlink" Target="https://doi.org/10.1109/ICACS.2018.8333483" TargetMode="External"/><Relationship Id="rId30" Type="http://schemas.openxmlformats.org/officeDocument/2006/relationships/hyperlink" Target="https://doi.org/10.1109/ICOSST.2016.7838592" TargetMode="External"/><Relationship Id="rId31" Type="http://schemas.openxmlformats.org/officeDocument/2006/relationships/hyperlink" Target="https://doi.org/10.1007/s10772-020-09700-3" TargetMode="External"/><Relationship Id="rId32" Type="http://schemas.openxmlformats.org/officeDocument/2006/relationships/hyperlink" Target="https://doi.org/10.1109/Confluence47617.2020.9057981" TargetMode="External"/><Relationship Id="rId33" Type="http://schemas.openxmlformats.org/officeDocument/2006/relationships/hyperlink" Target="https://doi.org/10.1109/CNS.2013.668269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