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2" w:lineRule="auto" w:before="0" w:after="144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13 (2022) 100118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95"/>
        <w:gridCol w:w="3495"/>
        <w:gridCol w:w="3495"/>
      </w:tblGrid>
      <w:tr>
        <w:trPr>
          <w:trHeight w:hRule="exact" w:val="68"/>
        </w:trPr>
        <w:tc>
          <w:tcPr>
            <w:tcW w:type="dxa" w:w="1460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04"/>
        </w:trPr>
        <w:tc>
          <w:tcPr>
            <w:tcW w:type="dxa" w:w="1460"/>
            <w:vMerge w:val="restart"/>
            <w:tcBorders>
              <w:top w:sz="2.3999999999999773" w:val="single" w:color="#000000"/>
              <w:bottom w:sz="23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6920" cy="82804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920" cy="828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0" w:right="0" w:firstLine="0"/>
              <w:jc w:val="center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Contents lists available at </w:t>
            </w:r>
            <w:r>
              <w:rPr>
                <w:rFonts w:ascii="Charis SIL" w:hAnsi="Charis SIL" w:eastAsia="Charis SIL"/>
                <w:b w:val="0"/>
                <w:i w:val="0"/>
                <w:color w:val="2196D1"/>
                <w:sz w:val="16"/>
              </w:rPr>
              <w:t xml:space="preserve">ScienceDirect </w:t>
            </w:r>
          </w:p>
        </w:tc>
        <w:tc>
          <w:tcPr>
            <w:tcW w:type="dxa" w:w="1416"/>
            <w:vMerge w:val="restart"/>
            <w:tcBorders>
              <w:top w:sz="2.3999999999999773" w:val="single" w:color="#000000"/>
              <w:bottom w:sz="23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8820" cy="90931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" cy="9093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3332" w:firstLine="0"/>
              <w:jc w:val="righ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28"/>
              </w:rPr>
              <w:t xml:space="preserve">Array </w:t>
            </w:r>
          </w:p>
        </w:tc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</w:tr>
      <w:tr>
        <w:trPr>
          <w:trHeight w:hRule="exact" w:val="492"/>
        </w:trPr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  <w:tc>
          <w:tcPr>
            <w:tcW w:type="dxa" w:w="7526"/>
            <w:tcBorders>
              <w:bottom w:sz="23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6" w:after="0"/>
              <w:ind w:left="0" w:right="0" w:firstLine="0"/>
              <w:jc w:val="center"/>
            </w:pPr>
            <w:r>
              <w:rPr>
                <w:rFonts w:ascii="Univers" w:hAnsi="Univers" w:eastAsia="Univers"/>
                <w:b w:val="0"/>
                <w:i w:val="0"/>
                <w:color w:val="000000"/>
                <w:sz w:val="16"/>
              </w:rPr>
              <w:t xml:space="preserve">journal homepage: </w:t>
            </w:r>
            <w:r>
              <w:rPr>
                <w:rFonts w:ascii="Univers" w:hAnsi="Univers" w:eastAsia="Univers"/>
                <w:b w:val="0"/>
                <w:i w:val="0"/>
                <w:color w:val="2196D1"/>
                <w:sz w:val="16"/>
              </w:rPr>
              <w:hyperlink r:id="rId12" w:history="1">
                <w:r>
                  <w:rPr>
                    <w:rStyle w:val="Hyperlink"/>
                  </w:rPr>
                  <w:t>www.sciencedirect.com/journal/array</w:t>
                </w:r>
              </w:hyperlink>
            </w:r>
            <w:r>
              <w:rPr>
                <w:rFonts w:ascii="Univers" w:hAnsi="Univers" w:eastAsia="Univers"/>
                <w:b w:val="0"/>
                <w:i w:val="0"/>
                <w:color w:val="2196D1"/>
                <w:sz w:val="16"/>
              </w:rPr>
              <w:t xml:space="preserve"> </w:t>
            </w:r>
          </w:p>
        </w:tc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45" w:lineRule="auto" w:before="528" w:after="0"/>
        <w:ind w:left="16" w:right="216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27"/>
        </w:rPr>
        <w:t xml:space="preserve">TFHE-rs: A library for safe and secure remote computing using fully </w:t>
      </w:r>
      <w:r>
        <w:rPr>
          <w:rFonts w:ascii="Charis SIL" w:hAnsi="Charis SIL" w:eastAsia="Charis SIL"/>
          <w:b w:val="0"/>
          <w:i w:val="0"/>
          <w:color w:val="000000"/>
          <w:sz w:val="27"/>
        </w:rPr>
        <w:t xml:space="preserve">homomorphic encryption and trusted execution environments </w:t>
      </w:r>
    </w:p>
    <w:p>
      <w:pPr>
        <w:autoSpaceDN w:val="0"/>
        <w:autoSpaceDE w:val="0"/>
        <w:widowControl/>
        <w:spacing w:line="252" w:lineRule="auto" w:before="110" w:after="0"/>
        <w:ind w:left="16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21"/>
        </w:rPr>
        <w:t>Lars Brenna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a</w:t>
      </w:r>
      <w:r>
        <w:rPr>
          <w:rFonts w:ascii="Charis SIL" w:hAnsi="Charis SIL" w:eastAsia="Charis SIL"/>
          <w:b w:val="0"/>
          <w:i w:val="0"/>
          <w:color w:val="000000"/>
          <w:sz w:val="15"/>
        </w:rPr>
        <w:t>,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*</w:t>
      </w:r>
      <w:r>
        <w:rPr>
          <w:rFonts w:ascii="Charis SIL" w:hAnsi="Charis SIL" w:eastAsia="Charis SIL"/>
          <w:b w:val="0"/>
          <w:i w:val="0"/>
          <w:color w:val="000000"/>
          <w:sz w:val="21"/>
        </w:rPr>
        <w:t>, Isak Sunde Singh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b</w:t>
      </w:r>
      <w:r>
        <w:rPr>
          <w:rFonts w:ascii="Charis SIL" w:hAnsi="Charis SIL" w:eastAsia="Charis SIL"/>
          <w:b w:val="0"/>
          <w:i w:val="0"/>
          <w:color w:val="000000"/>
          <w:sz w:val="21"/>
        </w:rPr>
        <w:t>, Håvard Dagenborg Johansen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c</w:t>
      </w:r>
      <w:r>
        <w:rPr>
          <w:rFonts w:ascii="Charis SIL" w:hAnsi="Charis SIL" w:eastAsia="Charis SIL"/>
          <w:b w:val="0"/>
          <w:i w:val="0"/>
          <w:color w:val="000000"/>
          <w:sz w:val="21"/>
        </w:rPr>
        <w:t>, Dag Johansen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 xml:space="preserve">c </w:t>
      </w:r>
    </w:p>
    <w:p>
      <w:pPr>
        <w:autoSpaceDN w:val="0"/>
        <w:autoSpaceDE w:val="0"/>
        <w:widowControl/>
        <w:spacing w:line="245" w:lineRule="auto" w:before="28" w:after="0"/>
        <w:ind w:left="16" w:right="4320" w:firstLine="0"/>
        <w:jc w:val="left"/>
      </w:pPr>
      <w:r>
        <w:rPr>
          <w:w w:val="102.62677934434679"/>
          <w:rFonts w:ascii="Charis SIL" w:hAnsi="Charis SIL" w:eastAsia="Charis SIL"/>
          <w:b w:val="0"/>
          <w:i w:val="0"/>
          <w:color w:val="000000"/>
          <w:sz w:val="9"/>
        </w:rPr>
        <w:t>a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UiT Arctic University of Norway: UiT Norges arktiske universitet Tromso, Troms, Norway </w:t>
      </w:r>
      <w:r>
        <w:br/>
      </w:r>
      <w:r>
        <w:rPr>
          <w:w w:val="102.62677934434679"/>
          <w:rFonts w:ascii="Charis SIL" w:hAnsi="Charis SIL" w:eastAsia="Charis SIL"/>
          <w:b w:val="0"/>
          <w:i w:val="0"/>
          <w:color w:val="000000"/>
          <w:sz w:val="9"/>
        </w:rPr>
        <w:t>b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UiT - Arctic University of Norway| UiT Arctic University of Norway: UiT Norges arktiske universitet, Norway </w:t>
      </w:r>
      <w:r>
        <w:rPr>
          <w:w w:val="102.62677934434679"/>
          <w:rFonts w:ascii="Charis SIL" w:hAnsi="Charis SIL" w:eastAsia="Charis SIL"/>
          <w:b w:val="0"/>
          <w:i w:val="0"/>
          <w:color w:val="000000"/>
          <w:sz w:val="9"/>
        </w:rPr>
        <w:t>c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UiT Arctic University of Norway: UiT Norges arktiske universitet, Norway </w:t>
      </w:r>
    </w:p>
    <w:p>
      <w:pPr>
        <w:autoSpaceDN w:val="0"/>
        <w:autoSpaceDE w:val="0"/>
        <w:widowControl/>
        <w:spacing w:line="240" w:lineRule="auto" w:before="432" w:after="0"/>
        <w:ind w:left="16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4"/>
        </w:rPr>
        <w:t xml:space="preserve">A B S T R A C T </w:t>
      </w:r>
    </w:p>
    <w:p>
      <w:pPr>
        <w:autoSpaceDN w:val="0"/>
        <w:autoSpaceDE w:val="0"/>
        <w:widowControl/>
        <w:spacing w:line="245" w:lineRule="auto" w:before="158" w:after="0"/>
        <w:ind w:left="16" w:right="24" w:firstLine="0"/>
        <w:jc w:val="both"/>
      </w:pP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Fully Homomorphic Encryption (FHE) and Trusted Execution Environ-ments (TEEs) are complementing approaches that can both secure computa-tions running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remotely on a public cloud. Existing FHE schemes are, however, malleable by design and lack integrity protection, making them susceptible to integrity breaches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where an adversary could modify the data and corrupt the output. </w:t>
      </w:r>
    </w:p>
    <w:p>
      <w:pPr>
        <w:autoSpaceDN w:val="0"/>
        <w:autoSpaceDE w:val="0"/>
        <w:widowControl/>
        <w:spacing w:line="245" w:lineRule="auto" w:before="0" w:after="0"/>
        <w:ind w:left="16" w:right="24" w:firstLine="160"/>
        <w:jc w:val="both"/>
      </w:pP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This paper describes how both confidentiality and integrity of remote compu-tations can be assured by combining FHE with hardware based secure enclave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technologies. We provide a software library for performing FHE within the Intel SGX TEE, written in the memory-safe programming language Rust to strengthen the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internal safety of software and reduce its attack surface. </w:t>
      </w:r>
    </w:p>
    <w:p>
      <w:pPr>
        <w:autoSpaceDN w:val="0"/>
        <w:tabs>
          <w:tab w:pos="176" w:val="left"/>
        </w:tabs>
        <w:autoSpaceDE w:val="0"/>
        <w:widowControl/>
        <w:spacing w:line="245" w:lineRule="auto" w:before="0" w:after="430"/>
        <w:ind w:left="16" w:right="0" w:firstLine="0"/>
        <w:jc w:val="left"/>
      </w:pPr>
      <w:r>
        <w:tab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We evaluate a sample application written with our library. We demonstrate that we can feasibly combine these concepts and provide stronger security guar-antees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with a minimal development effort. </w:t>
      </w:r>
    </w:p>
    <w:p>
      <w:pPr>
        <w:sectPr>
          <w:pgSz w:w="11906" w:h="15874"/>
          <w:pgMar w:top="334" w:right="686" w:bottom="592" w:left="736" w:header="720" w:footer="720" w:gutter="0"/>
          <w:cols w:space="720" w:num="1" w:equalWidth="0"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6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1. Introduction </w:t>
      </w:r>
    </w:p>
    <w:p>
      <w:pPr>
        <w:autoSpaceDN w:val="0"/>
        <w:autoSpaceDE w:val="0"/>
        <w:widowControl/>
        <w:spacing w:line="245" w:lineRule="auto" w:before="158" w:after="0"/>
        <w:ind w:left="16" w:right="144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Outsourcing data and computation services to public cloud providers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de-mands security mechanisms that can enforce strict data confidenti-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ality and in-tegrity regulations. This is particularly important for ap-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plications and orga-nizations that prosess sensitive data. Two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orthogonal approaches for securing data processing activities 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actively being touted as potential game changers: Homomorphic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Encryption (HE) and hardware based TEEs. </w:t>
      </w:r>
    </w:p>
    <w:p>
      <w:pPr>
        <w:autoSpaceDN w:val="0"/>
        <w:autoSpaceDE w:val="0"/>
        <w:widowControl/>
        <w:spacing w:line="245" w:lineRule="auto" w:before="0" w:after="0"/>
        <w:ind w:left="16" w:right="156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HE promises computation on encrypted values without revealing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their con-tent. Research in the area increased after 2009, when Craig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Gentry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in his doctoral thesis, described the first technique for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achieving FHE nearly 30 years after the idea was conceived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FHE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enables outsourcing of many types of computations that previously had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be kept in-house due to confidentiality constraints, including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health-data processing, financial processing, and genome research. </w:t>
      </w:r>
    </w:p>
    <w:p>
      <w:pPr>
        <w:autoSpaceDN w:val="0"/>
        <w:autoSpaceDE w:val="0"/>
        <w:widowControl/>
        <w:spacing w:line="245" w:lineRule="auto" w:before="0" w:after="0"/>
        <w:ind w:left="16" w:right="144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Though FHE schemes can provide confidentiality, they cannot pro-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vide in-tegrity as all HE schemes are malleable by design. A maliciously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altered result is theoretically indistinguishable from the correct one. If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remote service processing data is not trusted for confidentiality it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should not be trusted for integrity either. The actual computations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performed on data encrypted using FHE will also be visible, which might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be unacceptable in some situations as the operations themselves might </w:t>
      </w:r>
    </w:p>
    <w:p>
      <w:pPr>
        <w:sectPr>
          <w:type w:val="continuous"/>
          <w:pgSz w:w="11906" w:h="15874"/>
          <w:pgMar w:top="334" w:right="686" w:bottom="592" w:left="736" w:header="720" w:footer="720" w:gutter="0"/>
          <w:cols w:space="720" w:num="2" w:equalWidth="0"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56" w:right="20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be secret. As such, FHE only partially solves the problem of outsourcing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computation with integrity constraints to public cloud services. While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problems with data integrity are unsolved, FHE has limited practical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use. </w:t>
      </w:r>
    </w:p>
    <w:p>
      <w:pPr>
        <w:autoSpaceDN w:val="0"/>
        <w:autoSpaceDE w:val="0"/>
        <w:widowControl/>
        <w:spacing w:line="210" w:lineRule="exact" w:before="50" w:after="0"/>
        <w:ind w:left="156" w:right="0" w:firstLine="24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Trusted Execution Environments (TEEs) have similar ambitions 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HE in that they protect the integrity and confidentiality of programs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data hosted on remote and untrusted machines. Trusted Execution En-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vironments (TEEs) do this by isolating running processes from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operating system and other con-currently running processes through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various hardware facilities. However, it has been shown that existing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TEEs, such as the Intel Software Guard Exten-sions (SGX), are suscep-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tible to several types of side-channel attacks where an adversary can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gain information of the code and data within a secure environ-ment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6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Although most attention in the literature has been given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SGX, some attacks target all processors supporting Simultaneous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Multithread-ing (SMT)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7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Hardware technology that reveals secrets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internally thus cannot be relied on to provide highly assured confiden-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tiality in public cloud settings. There are some ways to counter this, such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as using oblivious primitives like Oblivious RAM (ORAM)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8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which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obscures access patterns to prevent infor-mation leakage through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side-channels. Oblivious methods do, however, incur significant per-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formance overhead to computation. </w:t>
      </w:r>
    </w:p>
    <w:p>
      <w:pPr>
        <w:autoSpaceDN w:val="0"/>
        <w:autoSpaceDE w:val="0"/>
        <w:widowControl/>
        <w:spacing w:line="240" w:lineRule="auto" w:before="0" w:after="454"/>
        <w:ind w:left="396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 this paper, we investigate the intersection between these concepts </w:t>
      </w:r>
    </w:p>
    <w:p>
      <w:pPr>
        <w:sectPr>
          <w:type w:val="nextColumn"/>
          <w:pgSz w:w="11906" w:h="15874"/>
          <w:pgMar w:top="334" w:right="686" w:bottom="592" w:left="736" w:header="720" w:footer="720" w:gutter="0"/>
          <w:cols w:space="720" w:num="2" w:equalWidth="0"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16" w:right="0" w:firstLine="0"/>
        <w:jc w:val="left"/>
      </w:pP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* Corresponding author. </w:t>
      </w:r>
    </w:p>
    <w:p>
      <w:pPr>
        <w:autoSpaceDN w:val="0"/>
        <w:autoSpaceDE w:val="0"/>
        <w:widowControl/>
        <w:spacing w:line="240" w:lineRule="auto" w:before="0" w:after="0"/>
        <w:ind w:left="254" w:right="0" w:firstLine="0"/>
        <w:jc w:val="left"/>
      </w:pPr>
      <w:r>
        <w:rPr>
          <w:w w:val="102.47142655508858"/>
          <w:rFonts w:ascii="Charis SIL" w:hAnsi="Charis SIL" w:eastAsia="Charis SIL"/>
          <w:b w:val="0"/>
          <w:i/>
          <w:color w:val="000000"/>
          <w:sz w:val="14"/>
        </w:rPr>
        <w:t xml:space="preserve">E-mail addresses: 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3" w:history="1">
          <w:r>
            <w:rPr>
              <w:rStyle w:val="Hyperlink"/>
            </w:rPr>
            <w:t>lars.brenna@uit.no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, 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4" w:history="1">
          <w:r>
            <w:rPr>
              <w:rStyle w:val="Hyperlink"/>
            </w:rPr>
            <w:t>larslars.brenna@gmail.com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(L. Brenna). </w:t>
      </w:r>
    </w:p>
    <w:p>
      <w:pPr>
        <w:autoSpaceDN w:val="0"/>
        <w:autoSpaceDE w:val="0"/>
        <w:widowControl/>
        <w:spacing w:line="245" w:lineRule="auto" w:before="106" w:after="0"/>
        <w:ind w:left="14" w:right="864" w:firstLine="0"/>
        <w:jc w:val="left"/>
      </w:pP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9" w:history="1">
          <w:r>
            <w:rPr>
              <w:rStyle w:val="Hyperlink"/>
            </w:rPr>
            <w:t>https://doi.org/10.1016/j.array.2021.100118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 25 February 2021; Accepted 2 Dece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mber 2021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Available online 28 December 2021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2590-0056/© 2021 Published by Elsevier Inc. This is an open access article under the CC BY license (</w:t>
      </w:r>
      <w:r>
        <w:rPr>
          <w:w w:val="102.47142655508858"/>
          <w:rFonts w:ascii="Charis SIL" w:hAnsi="Charis SIL" w:eastAsia="Charis SIL"/>
          <w:b w:val="0"/>
          <w:i w:val="0"/>
          <w:color w:val="09769F"/>
          <w:sz w:val="14"/>
        </w:rPr>
        <w:hyperlink r:id="rId15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686" w:bottom="592" w:left="736" w:header="720" w:footer="720" w:gutter="0"/>
          <w:cols w:space="720" w:num="1" w:equalWidth="0"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44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L. Brenna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13 (2022) 100118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within the stated security context, and propose a hybrid approach that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combines the confidentiality strengths of FHE with the integrity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strengths of TEEs. We do so using the memory-safe programming lan-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guage Rust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9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Using Rust miti-gates large classes of dangerous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common security-related bugs, including memory corruption errors,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buffer overflows, uninitialized memory, data races, dereferenced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pointers to unallocated memory (e.g., null-pointer dereferencing),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dereferenced pointers causing access violations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10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We evaluate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performance of our hybrid approach by implementing a program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that uses FHE both outside and within SGX. By comparing the relative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performance difference, we demonstrate that a hybrid approach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feasible in terms of per-formance while retaining more robust security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safety guarantees than using either FHE or SGX separately. To our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knowledge, our approach is the first work that combines a TEE with FHE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cover integrity weaknesses of FHE. </w:t>
      </w:r>
    </w:p>
    <w:p>
      <w:pPr>
        <w:autoSpaceDN w:val="0"/>
        <w:autoSpaceDE w:val="0"/>
        <w:widowControl/>
        <w:spacing w:line="240" w:lineRule="auto" w:before="158" w:after="0"/>
        <w:ind w:left="0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2. Background </w:t>
      </w:r>
    </w:p>
    <w:p>
      <w:pPr>
        <w:autoSpaceDN w:val="0"/>
        <w:autoSpaceDE w:val="0"/>
        <w:widowControl/>
        <w:spacing w:line="245" w:lineRule="auto" w:before="158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All HE systems are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malleable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by design since an attacker can trans-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form a ciphertext into a different ciphertext and then have it decrypted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a related plaintext. For instance, consider the following homomorphic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encryption scheme: </w:t>
      </w:r>
    </w:p>
    <w:p>
      <w:pPr>
        <w:autoSpaceDN w:val="0"/>
        <w:tabs>
          <w:tab w:pos="4812" w:val="left"/>
        </w:tabs>
        <w:autoSpaceDE w:val="0"/>
        <w:widowControl/>
        <w:spacing w:line="340" w:lineRule="exact" w:before="32" w:after="0"/>
        <w:ind w:left="0" w:right="0" w:firstLine="0"/>
        <w:jc w:val="left"/>
      </w:pPr>
      <w:r>
        <w:rPr>
          <w:rFonts w:ascii="STIX" w:hAnsi="STIX" w:eastAsia="STIX"/>
          <w:b w:val="0"/>
          <w:i/>
          <w:color w:val="000000"/>
          <w:sz w:val="16"/>
        </w:rPr>
        <w:t>E</w:t>
      </w:r>
      <w:r>
        <w:rPr>
          <w:w w:val="103.61000061035158"/>
          <w:rFonts w:ascii="STIX" w:hAnsi="STIX" w:eastAsia="STIX"/>
          <w:b w:val="0"/>
          <w:i/>
          <w:color w:val="000000"/>
          <w:sz w:val="10"/>
        </w:rPr>
        <w:t>k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STIX" w:hAnsi="STIX" w:eastAsia="STIX"/>
          <w:b w:val="0"/>
          <w:i/>
          <w:color w:val="000000"/>
          <w:sz w:val="16"/>
        </w:rPr>
        <w:t>x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) ⊗</w:t>
      </w:r>
      <w:r>
        <w:rPr>
          <w:rFonts w:ascii="STIX" w:hAnsi="STIX" w:eastAsia="STIX"/>
          <w:b w:val="0"/>
          <w:i/>
          <w:color w:val="000000"/>
          <w:sz w:val="16"/>
        </w:rPr>
        <w:t xml:space="preserve"> E</w:t>
      </w:r>
      <w:r>
        <w:rPr>
          <w:w w:val="103.61000061035158"/>
          <w:rFonts w:ascii="STIX" w:hAnsi="STIX" w:eastAsia="STIX"/>
          <w:b w:val="0"/>
          <w:i/>
          <w:color w:val="000000"/>
          <w:sz w:val="10"/>
        </w:rPr>
        <w:t>k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STIX" w:hAnsi="STIX" w:eastAsia="STIX"/>
          <w:b w:val="0"/>
          <w:i/>
          <w:color w:val="000000"/>
          <w:sz w:val="16"/>
        </w:rPr>
        <w:t>y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) =</w:t>
      </w:r>
      <w:r>
        <w:rPr>
          <w:rFonts w:ascii="STIX" w:hAnsi="STIX" w:eastAsia="STIX"/>
          <w:b w:val="0"/>
          <w:i/>
          <w:color w:val="000000"/>
          <w:sz w:val="16"/>
        </w:rPr>
        <w:t xml:space="preserve"> E</w:t>
      </w:r>
      <w:r>
        <w:rPr>
          <w:w w:val="103.61000061035158"/>
          <w:rFonts w:ascii="STIX" w:hAnsi="STIX" w:eastAsia="STIX"/>
          <w:b w:val="0"/>
          <w:i/>
          <w:color w:val="000000"/>
          <w:sz w:val="10"/>
        </w:rPr>
        <w:t>k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STIX" w:hAnsi="STIX" w:eastAsia="STIX"/>
          <w:b w:val="0"/>
          <w:i/>
          <w:color w:val="000000"/>
          <w:sz w:val="16"/>
        </w:rPr>
        <w:t>x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,</w:t>
      </w:r>
      <w:r>
        <w:rPr>
          <w:rFonts w:ascii="STIX" w:hAnsi="STIX" w:eastAsia="STIX"/>
          <w:b w:val="0"/>
          <w:i/>
          <w:color w:val="000000"/>
          <w:sz w:val="16"/>
        </w:rPr>
        <w:t xml:space="preserve"> y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)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(1) </w:t>
      </w:r>
    </w:p>
    <w:p>
      <w:pPr>
        <w:autoSpaceDN w:val="0"/>
        <w:autoSpaceDE w:val="0"/>
        <w:widowControl/>
        <w:spacing w:line="278" w:lineRule="exact" w:before="64" w:after="0"/>
        <w:ind w:left="0" w:right="52" w:firstLine="240"/>
        <w:jc w:val="both"/>
      </w:pPr>
      <w:r>
        <w:rPr>
          <w:rFonts w:ascii="Charis SIL" w:hAnsi="Charis SIL" w:eastAsia="Charis SIL"/>
          <w:b w:val="0"/>
          <w:i/>
          <w:color w:val="000000"/>
          <w:sz w:val="16"/>
        </w:rPr>
        <w:t>E</w:t>
      </w:r>
      <w:r>
        <w:rPr>
          <w:rFonts w:ascii="Courier" w:hAnsi="Courier" w:eastAsia="Courier"/>
          <w:b w:val="0"/>
          <w:i/>
          <w:color w:val="000000"/>
          <w:sz w:val="12"/>
        </w:rPr>
        <w:t>k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(</w:t>
      </w:r>
      <w:r>
        <w:rPr>
          <w:rFonts w:ascii="Charis SIL" w:hAnsi="Charis SIL" w:eastAsia="Charis SIL"/>
          <w:b w:val="0"/>
          <w:i/>
          <w:color w:val="000000"/>
          <w:sz w:val="16"/>
        </w:rPr>
        <w:t>x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 is the encryption of the plaintext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x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with the key </w:t>
      </w:r>
      <w:r>
        <w:rPr>
          <w:rFonts w:ascii="Charis SIL" w:hAnsi="Charis SIL" w:eastAsia="Charis SIL"/>
          <w:b w:val="0"/>
          <w:i/>
          <w:color w:val="000000"/>
          <w:sz w:val="16"/>
        </w:rPr>
        <w:t>k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×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is some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binary operation between plaintexts, and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⊗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is a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lifted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version of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×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operating in the ciphertext space. Note that the lifted operator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⊗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does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not necessarily involve the same operations as the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×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operator, which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implies it may have a higher complexity. Assume an attacker knows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x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 addition to their encryptions </w:t>
      </w:r>
      <w:r>
        <w:rPr>
          <w:rFonts w:ascii="Charis SIL" w:hAnsi="Charis SIL" w:eastAsia="Charis SIL"/>
          <w:b w:val="0"/>
          <w:i/>
          <w:color w:val="000000"/>
          <w:sz w:val="16"/>
        </w:rPr>
        <w:t>E</w:t>
      </w:r>
      <w:r>
        <w:rPr>
          <w:rFonts w:ascii="Courier" w:hAnsi="Courier" w:eastAsia="Courier"/>
          <w:b w:val="0"/>
          <w:i/>
          <w:color w:val="000000"/>
          <w:sz w:val="12"/>
        </w:rPr>
        <w:t>k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(</w:t>
      </w:r>
      <w:r>
        <w:rPr>
          <w:rFonts w:ascii="Charis SIL" w:hAnsi="Charis SIL" w:eastAsia="Charis SIL"/>
          <w:b w:val="0"/>
          <w:i/>
          <w:color w:val="000000"/>
          <w:sz w:val="16"/>
        </w:rPr>
        <w:t>x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 and </w:t>
      </w:r>
      <w:r>
        <w:rPr>
          <w:rFonts w:ascii="Charis SIL" w:hAnsi="Charis SIL" w:eastAsia="Charis SIL"/>
          <w:b w:val="0"/>
          <w:i/>
          <w:color w:val="000000"/>
          <w:sz w:val="16"/>
        </w:rPr>
        <w:t>E</w:t>
      </w:r>
      <w:r>
        <w:rPr>
          <w:rFonts w:ascii="Courier" w:hAnsi="Courier" w:eastAsia="Courier"/>
          <w:b w:val="0"/>
          <w:i/>
          <w:color w:val="000000"/>
          <w:sz w:val="12"/>
        </w:rPr>
        <w:t>k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(</w:t>
      </w:r>
      <w:r>
        <w:rPr>
          <w:rFonts w:ascii="Charis SIL" w:hAnsi="Charis SIL" w:eastAsia="Charis SIL"/>
          <w:b w:val="0"/>
          <w:i/>
          <w:color w:val="000000"/>
          <w:sz w:val="16"/>
        </w:rPr>
        <w:t>y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), and there exists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some pair (</w:t>
      </w:r>
      <w:r>
        <w:rPr>
          <w:rFonts w:ascii="Charis SIL" w:hAnsi="Charis SIL" w:eastAsia="Charis SIL"/>
          <w:b w:val="0"/>
          <w:i/>
          <w:color w:val="000000"/>
          <w:sz w:val="16"/>
        </w:rPr>
        <w:t>x, y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 such that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x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×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y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∈</w:t>
      </w:r>
      <w:r>
        <w:rPr>
          <w:rFonts w:ascii="Charis SIL" w:hAnsi="Charis SIL" w:eastAsia="Charis SIL"/>
          <w:b w:val="0"/>
          <w:i/>
          <w:color w:val="000000"/>
          <w:sz w:val="16"/>
        </w:rPr>
        <w:t>/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{</w:t>
      </w:r>
      <w:r>
        <w:rPr>
          <w:rFonts w:ascii="Charis SIL" w:hAnsi="Charis SIL" w:eastAsia="Charis SIL"/>
          <w:b w:val="0"/>
          <w:i/>
          <w:color w:val="000000"/>
          <w:sz w:val="16"/>
        </w:rPr>
        <w:t>x, y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}. The attacker can then compute </w:t>
      </w:r>
      <w:r>
        <w:rPr>
          <w:rFonts w:ascii="Charis SIL" w:hAnsi="Charis SIL" w:eastAsia="Charis SIL"/>
          <w:b w:val="0"/>
          <w:i/>
          <w:color w:val="000000"/>
          <w:sz w:val="16"/>
        </w:rPr>
        <w:t>E</w:t>
      </w:r>
      <w:r>
        <w:rPr>
          <w:rFonts w:ascii="Courier" w:hAnsi="Courier" w:eastAsia="Courier"/>
          <w:b w:val="0"/>
          <w:i/>
          <w:color w:val="000000"/>
          <w:sz w:val="12"/>
        </w:rPr>
        <w:t>k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(</w:t>
      </w:r>
      <w:r>
        <w:rPr>
          <w:rFonts w:ascii="Charis SIL" w:hAnsi="Charis SIL" w:eastAsia="Charis SIL"/>
          <w:b w:val="0"/>
          <w:i/>
          <w:color w:val="000000"/>
          <w:sz w:val="16"/>
        </w:rPr>
        <w:t>x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⊗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E</w:t>
      </w:r>
      <w:r>
        <w:rPr>
          <w:rFonts w:ascii="Courier" w:hAnsi="Courier" w:eastAsia="Courier"/>
          <w:b w:val="0"/>
          <w:i/>
          <w:color w:val="000000"/>
          <w:sz w:val="12"/>
        </w:rPr>
        <w:t>k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(</w:t>
      </w:r>
      <w:r>
        <w:rPr>
          <w:rFonts w:ascii="Charis SIL" w:hAnsi="Charis SIL" w:eastAsia="Charis SIL"/>
          <w:b w:val="0"/>
          <w:i/>
          <w:color w:val="000000"/>
          <w:sz w:val="16"/>
        </w:rPr>
        <w:t>y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 to obtain a ciphertext C, that corresponds to the encryption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x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×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y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which beforehand was assumed to be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different than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x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</w:t>
      </w:r>
      <w:r>
        <w:rPr>
          <w:rFonts w:ascii="Charis SIL" w:hAnsi="Charis SIL" w:eastAsia="Charis SIL"/>
          <w:b w:val="0"/>
          <w:i/>
          <w:color w:val="000000"/>
          <w:sz w:val="16"/>
        </w:rPr>
        <w:t>y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. Because of this, the attacker has obtained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ciphertext that corresponds to a plaintext,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x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×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that they know, but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whose ciphertext they have not observed previously. </w:t>
      </w:r>
    </w:p>
    <w:p>
      <w:pPr>
        <w:autoSpaceDN w:val="0"/>
        <w:autoSpaceDE w:val="0"/>
        <w:widowControl/>
        <w:spacing w:line="245" w:lineRule="auto" w:before="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Although malleable encryption schemes are secure under standard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Indistin-guishability under Chosen-Plaintext Attack (IND-CPA), they 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not secure un-der Indistinguishability under Adaptive Chosen-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Ciphertext Attack (IND-CCA2)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], as opposed to non-malleable cryp-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tosystems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14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Furthermore, it has been shown that some encryption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schemes that are IND-CPA become insecure when they encrypt their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own decryption key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15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often referred to as </w:t>
      </w:r>
      <w:r>
        <w:rPr>
          <w:rFonts w:ascii="Charis SIL" w:hAnsi="Charis SIL" w:eastAsia="Charis SIL"/>
          <w:b w:val="0"/>
          <w:i/>
          <w:color w:val="000000"/>
          <w:sz w:val="16"/>
        </w:rPr>
        <w:t>circular security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. As. 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0" w:after="0"/>
        <w:ind w:left="0" w:right="0" w:firstLine="0"/>
        <w:jc w:val="left"/>
      </w:pP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HE schemes encrypt their decryption key as part of the bootstrapping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process, they have circular security properties.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 TEE is an isolated computing environment guaranteeing to protect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both code and data loaded within it. Although various definitions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TEEs have been proposed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16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19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], Sabt et al.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20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 compare these def-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initions and formalize a description for TEEs by building on the notion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 </w:t>
      </w:r>
      <w:r>
        <w:rPr>
          <w:rFonts w:ascii="Charis SIL" w:hAnsi="Charis SIL" w:eastAsia="Charis SIL"/>
          <w:b w:val="0"/>
          <w:i/>
          <w:color w:val="000000"/>
          <w:sz w:val="16"/>
        </w:rPr>
        <w:t>separation kernel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, first described by Rushby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and define four main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security policies. </w:t>
      </w:r>
    </w:p>
    <w:p>
      <w:pPr>
        <w:autoSpaceDN w:val="0"/>
        <w:autoSpaceDE w:val="0"/>
        <w:widowControl/>
        <w:spacing w:line="245" w:lineRule="auto" w:before="0" w:after="0"/>
        <w:ind w:left="0" w:right="52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 TEE should guarantee the authenticity of the executed code,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including the integrity of the runtime state, such as CPU registers. It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should guarantee the confidentiality of code, data, and runtime state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persisted to secondary memory, for instance through encryption. A TEE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should have the possibility of provid-ing remote attestation, proving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trustworthiness for third-parties. Updates of content within a TEE should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be done securely. A TEE should resist all attacks that are performed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against main memory. Attacks performed through backdoor security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flaws should not be possible. Consequently, a TEE should be secure in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way that even an OS is separated and cannot access nor modify it. These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conditions warrant that tasks can be sent to third-parties and executed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within a TEE, without requiring trust in that party. This allows for data-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4" w:val="left"/>
        </w:tabs>
        <w:autoSpaceDE w:val="0"/>
        <w:widowControl/>
        <w:spacing w:line="242" w:lineRule="auto" w:before="0" w:after="0"/>
        <w:ind w:left="2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L. Brenna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13 (2022) 100118</w:t>
      </w:r>
    </w:p>
    <w:p>
      <w:pPr>
        <w:autoSpaceDN w:val="0"/>
        <w:autoSpaceDE w:val="0"/>
        <w:widowControl/>
        <w:spacing w:line="240" w:lineRule="auto" w:before="19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0700" cy="952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952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12"/>
        <w:sectPr>
          <w:pgSz w:w="11906" w:h="15874"/>
          <w:pgMar w:top="336" w:right="686" w:bottom="288" w:left="750" w:header="720" w:footer="720" w:gutter="0"/>
          <w:cols w:space="720" w:num="1" w:equalWidth="0"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42" w:after="0"/>
        <w:ind w:left="2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functionality to the Rust std:vec:Vec type, and are unambiguous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contrast to the original library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implementation. </w:t>
      </w:r>
    </w:p>
    <w:p>
      <w:pPr>
        <w:autoSpaceDN w:val="0"/>
        <w:autoSpaceDE w:val="0"/>
        <w:widowControl/>
        <w:spacing w:line="260" w:lineRule="exact" w:before="0" w:after="0"/>
        <w:ind w:left="0" w:right="0" w:firstLine="0"/>
        <w:jc w:val="center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own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data they reference or whether the pointers reference memory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Structures with pointer-fields in C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++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do not specify whether they </w:t>
      </w:r>
    </w:p>
    <w:p>
      <w:pPr>
        <w:autoSpaceDN w:val="0"/>
        <w:autoSpaceDE w:val="0"/>
        <w:widowControl/>
        <w:spacing w:line="208" w:lineRule="exact" w:before="52" w:after="0"/>
        <w:ind w:left="0" w:right="0" w:firstLine="0"/>
        <w:jc w:val="center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given to it dur-ing initialization. For instance in the case of struct Data {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val: Vec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&lt;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i32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&gt;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} versus struct Data { val: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&amp;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mut [i32]} (lifetime anno-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tations elided for brevity). This distinction is necessary for Rust, as it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tracks ownership. In TFHE-rs, we chose the former as it is more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manageable than the latter, and it seems that the TFHE library chose this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solution as well, based on their usage. Integer and floating-point data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types have direct equivalents in Rust, and are thus translated directly. </w:t>
      </w:r>
    </w:p>
    <w:p>
      <w:pPr>
        <w:autoSpaceDN w:val="0"/>
        <w:autoSpaceDE w:val="0"/>
        <w:widowControl/>
        <w:spacing w:line="245" w:lineRule="auto" w:before="0" w:after="0"/>
        <w:ind w:left="2" w:right="52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TFHE source code has some structures where a field is a pointer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values within a dynamically-allocated array that a different field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same structure also references, i.e. self-referential structures. When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one moves a value in memory, the referenced value in the self-referential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structure is invalidated. This makes them inherently dangerous and thus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disallowed by the type system in Rust. As a solution, we chose to remove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these fields and access the values directly, at the loss of some readability. </w:t>
      </w:r>
    </w:p>
    <w:p>
      <w:pPr>
        <w:autoSpaceDN w:val="0"/>
        <w:autoSpaceDE w:val="0"/>
        <w:widowControl/>
        <w:spacing w:line="210" w:lineRule="exact" w:before="50" w:after="0"/>
        <w:ind w:left="2" w:right="52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TFHE library also has some occurrences of void pointers meant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be specialized by a Fast Fourier Transform (FFT) implementation.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use of these pointers is somewhat equivalent to Rust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trait system which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allows multiple implementations while providing a stable interface.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Since we do not aim to allow multiple implementations of the FFT, we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could avoid this abstraction. </w:t>
      </w:r>
    </w:p>
    <w:p>
      <w:pPr>
        <w:autoSpaceDN w:val="0"/>
        <w:autoSpaceDE w:val="0"/>
        <w:widowControl/>
        <w:spacing w:line="240" w:lineRule="auto" w:before="176" w:after="0"/>
        <w:ind w:left="2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3.2. Parameter sets </w:t>
      </w:r>
    </w:p>
    <w:p>
      <w:pPr>
        <w:autoSpaceDN w:val="0"/>
        <w:autoSpaceDE w:val="0"/>
        <w:widowControl/>
        <w:spacing w:line="245" w:lineRule="auto" w:before="158" w:after="0"/>
        <w:ind w:left="2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TFHE-rs supports creating keys of different security levels. Choosing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pa-rameters for encryption schemes based on LWE is complicated, 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choosing a parameter set with incompatible values might lead to 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insecure or slow sys-tem. Our implementation currently supports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two parameter-sets defined in TFHE-c, which have estimated security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levels of 80-bit and 128-bit, known as bit security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28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However,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key size is not directly proportional to the secu-rity level, as in AES,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where a security level of 128-bit equates to a 128 bits key size. In TFHE,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 security level of 128-bit equates to a ~ 24 MB bootstrapping key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29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default parameter set in our library is the 128-bit security version 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cryptographers do recommend 128-bit security to be safe until theo-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retically the year 2090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28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40" w:lineRule="auto" w:before="174" w:after="0"/>
        <w:ind w:left="2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3.3. Serialization </w:t>
      </w:r>
    </w:p>
    <w:p>
      <w:pPr>
        <w:autoSpaceDN w:val="0"/>
        <w:autoSpaceDE w:val="0"/>
        <w:widowControl/>
        <w:spacing w:line="245" w:lineRule="auto" w:before="158" w:after="0"/>
        <w:ind w:left="2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All data structures that might need to be transmitted are serializable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and deserializable, using the Rust package Serde.</w:t>
      </w:r>
      <w:r>
        <w:rPr>
          <w:rFonts w:ascii="Charis SIL" w:hAnsi="Charis SIL" w:eastAsia="Charis SIL"/>
          <w:b w:val="0"/>
          <w:i w:val="0"/>
          <w:color w:val="2196D1"/>
          <w:sz w:val="12"/>
        </w:rPr>
        <w:t xml:space="preserve">3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Serde designs seri-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alization and deserialization so that any data structure that implements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one of two traits can be serialized or deserialized to one of the tens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different serialization for-mats supported. This is unlike the TFHE li-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brary, where serialization of data can only be done through specific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functions for reading and writing files and streams. These functions 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somewhat limited and do not allow the developer to specify the serial-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ization format. In TFHE-rs, a macro allows deriving the implementation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automatically, such as (line 3 highlights derive macro): </w:t>
      </w:r>
    </w:p>
    <w:p>
      <w:pPr>
        <w:autoSpaceDN w:val="0"/>
        <w:autoSpaceDE w:val="0"/>
        <w:widowControl/>
        <w:spacing w:line="252" w:lineRule="auto" w:before="588" w:after="0"/>
        <w:ind w:left="108" w:right="0" w:firstLine="0"/>
        <w:jc w:val="left"/>
      </w:pPr>
      <w:r>
        <w:rPr>
          <w:w w:val="103.91317367553712"/>
          <w:rFonts w:ascii="Charis SIL" w:hAnsi="Charis SIL" w:eastAsia="Charis SIL"/>
          <w:b w:val="0"/>
          <w:i w:val="0"/>
          <w:color w:val="000000"/>
          <w:sz w:val="10"/>
        </w:rPr>
        <w:t xml:space="preserve">3 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7" w:history="1">
          <w:r>
            <w:rPr>
              <w:rStyle w:val="Hyperlink"/>
            </w:rPr>
            <w:t>https://crates.io/crates/serde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or their homepage 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8" w:history="1">
          <w:r>
            <w:rPr>
              <w:rStyle w:val="Hyperlink"/>
            </w:rPr>
            <w:t>https://serde.rs/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</w:p>
    <w:p>
      <w:pPr>
        <w:sectPr>
          <w:type w:val="continuous"/>
          <w:pgSz w:w="11906" w:h="15874"/>
          <w:pgMar w:top="336" w:right="686" w:bottom="288" w:left="750" w:header="720" w:footer="720" w:gutter="0"/>
          <w:cols w:space="720" w:num="2" w:equalWidth="0"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36" w:right="686" w:bottom="288" w:left="750" w:header="720" w:footer="720" w:gutter="0"/>
          <w:cols w:space="720" w:num="2" w:equalWidth="0"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6325870</wp:posOffset>
            </wp:positionH>
            <wp:positionV relativeFrom="page">
              <wp:posOffset>984250</wp:posOffset>
            </wp:positionV>
            <wp:extent cx="217170" cy="75537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" cy="7553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6325870</wp:posOffset>
            </wp:positionH>
            <wp:positionV relativeFrom="page">
              <wp:posOffset>820419</wp:posOffset>
            </wp:positionV>
            <wp:extent cx="217170" cy="75537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" cy="7553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6680200</wp:posOffset>
            </wp:positionH>
            <wp:positionV relativeFrom="page">
              <wp:posOffset>2033270</wp:posOffset>
            </wp:positionV>
            <wp:extent cx="302259" cy="405089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259" cy="4050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4230370</wp:posOffset>
            </wp:positionH>
            <wp:positionV relativeFrom="page">
              <wp:posOffset>875030</wp:posOffset>
            </wp:positionV>
            <wp:extent cx="123189" cy="1518304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189" cy="151830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3911600</wp:posOffset>
            </wp:positionH>
            <wp:positionV relativeFrom="page">
              <wp:posOffset>698500</wp:posOffset>
            </wp:positionV>
            <wp:extent cx="3149600" cy="17907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790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495300</wp:posOffset>
            </wp:positionH>
            <wp:positionV relativeFrom="page">
              <wp:posOffset>7188200</wp:posOffset>
            </wp:positionV>
            <wp:extent cx="3149600" cy="18034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80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7319009</wp:posOffset>
            </wp:positionV>
            <wp:extent cx="2649219" cy="1624431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9219" cy="162443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L. Brenna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13 (2022) 100118</w:t>
      </w:r>
    </w:p>
    <w:p>
      <w:pPr>
        <w:autoSpaceDN w:val="0"/>
        <w:autoSpaceDE w:val="0"/>
        <w:widowControl/>
        <w:spacing w:line="242" w:lineRule="auto" w:before="168" w:after="0"/>
        <w:ind w:left="0" w:right="0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 xml:space="preserve">Table 1 </w:t>
      </w:r>
    </w:p>
    <w:p>
      <w:pPr>
        <w:autoSpaceDN w:val="0"/>
        <w:autoSpaceDE w:val="0"/>
        <w:widowControl/>
        <w:spacing w:line="240" w:lineRule="auto" w:before="0" w:after="20"/>
        <w:ind w:left="0" w:right="0" w:firstLine="0"/>
        <w:jc w:val="left"/>
      </w:pP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Summary of micro benchmarks.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89"/>
        <w:gridCol w:w="3489"/>
        <w:gridCol w:w="3489"/>
      </w:tblGrid>
      <w:tr>
        <w:trPr>
          <w:trHeight w:hRule="exact" w:val="260"/>
        </w:trPr>
        <w:tc>
          <w:tcPr>
            <w:tcW w:type="dxa" w:w="156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0" w:right="0" w:firstLine="0"/>
              <w:jc w:val="center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time (</w:t>
            </w:r>
            <w:r>
              <w:rPr>
                <w:w w:val="101.46578275240385"/>
                <w:rFonts w:ascii="STIX" w:hAnsi="STIX" w:eastAsia="STIX"/>
                <w:b w:val="0"/>
                <w:i w:val="0"/>
                <w:color w:val="000000"/>
                <w:sz w:val="13"/>
              </w:rPr>
              <w:t>μ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s) </w:t>
            </w:r>
          </w:p>
        </w:tc>
        <w:tc>
          <w:tcPr>
            <w:tcW w:type="dxa" w:w="185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" w:after="0"/>
              <w:ind w:left="0" w:right="82" w:firstLine="0"/>
              <w:jc w:val="righ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throughput (KiB s</w:t>
            </w:r>
            <w:r>
              <w:rPr>
                <w:w w:val="102.62677934434679"/>
                <w:rFonts w:ascii="TeX_CM_Maths_Symbols" w:hAnsi="TeX_CM_Maths_Symbols" w:eastAsia="TeX_CM_Maths_Symbols"/>
                <w:b w:val="0"/>
                <w:i w:val="0"/>
                <w:color w:val="000000"/>
                <w:sz w:val="9"/>
              </w:rPr>
              <w:t>−</w:t>
            </w:r>
            <w:r>
              <w:rPr>
                <w:w w:val="102.62677934434679"/>
                <w:rFonts w:ascii="Charis SIL" w:hAnsi="Charis SIL" w:eastAsia="Charis SIL"/>
                <w:b w:val="0"/>
                <w:i w:val="0"/>
                <w:color w:val="000000"/>
                <w:sz w:val="9"/>
              </w:rPr>
              <w:t>1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) </w:t>
            </w:r>
          </w:p>
        </w:tc>
      </w:tr>
      <w:tr>
        <w:trPr>
          <w:trHeight w:hRule="exact" w:val="614"/>
        </w:trPr>
        <w:tc>
          <w:tcPr>
            <w:tcW w:type="dxa" w:w="1568"/>
            <w:tcBorders>
              <w:top w:sz="4.0" w:val="single" w:color="#000000"/>
              <w:bottom w:sz="0.8000000000000682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4" w:after="0"/>
              <w:ind w:left="120" w:right="536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Encryption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Decryption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Key Generation </w:t>
            </w:r>
          </w:p>
        </w:tc>
        <w:tc>
          <w:tcPr>
            <w:tcW w:type="dxa" w:w="1600"/>
            <w:tcBorders>
              <w:top w:sz="4.0" w:val="single" w:color="#000000"/>
              <w:bottom w:sz="0.8000000000000682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4" w:after="0"/>
              <w:ind w:left="536" w:right="522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654 50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797 62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527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67 </w:t>
            </w:r>
          </w:p>
        </w:tc>
        <w:tc>
          <w:tcPr>
            <w:tcW w:type="dxa" w:w="1854"/>
            <w:tcBorders>
              <w:top w:sz="4.0" w:val="single" w:color="#000000"/>
              <w:bottom w:sz="0.8000000000000682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4" w:after="0"/>
              <w:ind w:left="432" w:right="872" w:firstLine="0"/>
              <w:jc w:val="righ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73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916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148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79 </w:t>
            </w:r>
          </w:p>
        </w:tc>
      </w:tr>
    </w:tbl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stan-dard deviations. These measurements are done without involving </w:t>
      </w:r>
    </w:p>
    <w:p>
      <w:pPr>
        <w:autoSpaceDN w:val="0"/>
        <w:autoSpaceDE w:val="0"/>
        <w:widowControl/>
        <w:spacing w:line="240" w:lineRule="auto" w:before="0" w:after="158"/>
        <w:ind w:left="0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SGX. Our measurements are summarized in 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Table 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tabs>
          <w:tab w:pos="238" w:val="left"/>
        </w:tabs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4.1.1. Encryption and decryption speed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encryption procedure is slower due to random number genera-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tion and allocation, whereas the decryption procedure consists of only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simple arithmetic. This implies that the throughput of decryption is also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twice as high as for encryption. </w:t>
      </w:r>
    </w:p>
    <w:p>
      <w:pPr>
        <w:autoSpaceDN w:val="0"/>
        <w:tabs>
          <w:tab w:pos="238" w:val="left"/>
        </w:tabs>
        <w:autoSpaceDE w:val="0"/>
        <w:widowControl/>
        <w:spacing w:line="240" w:lineRule="exact" w:before="178" w:after="0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4.1.2. Key generation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key generation procedure generates the secret symmetric key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used for encrypting and decrypting data in the TFHE scheme, and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bootstrapping key and the key-switching keys which are required during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bootstrapping process. We collectively name these the bootstrapping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keys for brevity, as it is the only process using them. The key generation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uses an average of 527</w:t>
      </w:r>
      <w:r>
        <w:rPr>
          <w:rFonts w:ascii="Charis SIL" w:hAnsi="Charis SIL" w:eastAsia="Charis SIL"/>
          <w:b w:val="0"/>
          <w:i/>
          <w:color w:val="000000"/>
          <w:sz w:val="16"/>
        </w:rPr>
        <w:t>.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67 </w:t>
      </w:r>
      <w:r>
        <w:rPr>
          <w:w w:val="103.05415391921997"/>
          <w:rFonts w:ascii="STIX" w:hAnsi="STIX" w:eastAsia="STIX"/>
          <w:b w:val="0"/>
          <w:i w:val="0"/>
          <w:color w:val="000000"/>
          <w:sz w:val="16"/>
        </w:rPr>
        <w:t>μ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±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24</w:t>
      </w:r>
      <w:r>
        <w:rPr>
          <w:rFonts w:ascii="Charis SIL" w:hAnsi="Charis SIL" w:eastAsia="Charis SIL"/>
          <w:b w:val="0"/>
          <w:i/>
          <w:color w:val="000000"/>
          <w:sz w:val="16"/>
        </w:rPr>
        <w:t>.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269 </w:t>
      </w:r>
      <w:r>
        <w:rPr>
          <w:w w:val="103.05415391921997"/>
          <w:rFonts w:ascii="STIX" w:hAnsi="STIX" w:eastAsia="STIX"/>
          <w:b w:val="0"/>
          <w:i w:val="0"/>
          <w:color w:val="000000"/>
          <w:sz w:val="16"/>
        </w:rPr>
        <w:t>μ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to generate the keys. As this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process depends heavily on random number generation, it is affected by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fluctuations in time used to generate num-bers. </w:t>
      </w:r>
    </w:p>
    <w:p>
      <w:pPr>
        <w:autoSpaceDN w:val="0"/>
        <w:autoSpaceDE w:val="0"/>
        <w:widowControl/>
        <w:spacing w:line="240" w:lineRule="auto" w:before="174" w:after="0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4.2. Bootstrapping </w:t>
      </w:r>
    </w:p>
    <w:p>
      <w:pPr>
        <w:autoSpaceDN w:val="0"/>
        <w:autoSpaceDE w:val="0"/>
        <w:widowControl/>
        <w:spacing w:line="245" w:lineRule="auto" w:before="158" w:after="0"/>
        <w:ind w:left="0" w:right="0" w:firstLine="24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bootstrapping procedure takes an LWE sample as input, along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with an output message encoded in the message space and the boot-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strapping keys. As shown in 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Fig. 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the average execution time of a single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bootstrapping procedure is 1</w:t>
      </w:r>
      <w:r>
        <w:rPr>
          <w:rFonts w:ascii="Charis SIL" w:hAnsi="Charis SIL" w:eastAsia="Charis SIL"/>
          <w:b w:val="0"/>
          <w:i/>
          <w:color w:val="000000"/>
          <w:sz w:val="16"/>
        </w:rPr>
        <w:t>.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1937 s, significantly higher than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implementation of the original paper taking around 53 ms on similar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hardware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29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 and improved work leading to around 13 ms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25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45" w:lineRule="auto" w:before="0" w:after="0"/>
        <w:ind w:left="0" w:right="0" w:firstLine="24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However, the TFHE affords some optimizations we have not imple-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mented in TFHE-rs. Firstly, it uses the Lagrange half-complex repre-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sentation, which reduces the number of multiplications required in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bootstrapping procedure by nearly a third. It also reduces the number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external products required, the expensive operation performed in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bootstrapping procedure. Secondly, the original implementation uses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FFT processors based on SIMD instruction sets such as AVX, providing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large speedups. The outliers observed in the figure are, similarly to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outliers in the decryption and encryption procedures, likely related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interactions with other processes using the CPU. As most of the samples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fall in a near-identical spot, it is reasonable to assume most results will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lie in this range. Additionally, this procedure is deterministic and was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benchmarked using the same inputs, so we assume that the outliers can </w:t>
      </w:r>
    </w:p>
    <w:p>
      <w:pPr>
        <w:autoSpaceDN w:val="0"/>
        <w:autoSpaceDE w:val="0"/>
        <w:widowControl/>
        <w:spacing w:line="240" w:lineRule="auto" w:before="3152" w:after="0"/>
        <w:ind w:left="0" w:right="225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571500" cy="76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26" w:after="0"/>
        <w:ind w:left="0" w:right="0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1.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Detailed view of the estimated PDF of bootstrapping. The mean estimate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is 1.1937 </w:t>
      </w:r>
      <w:r>
        <w:rPr>
          <w:w w:val="102.47142655508858"/>
          <w:rFonts w:ascii="Charis SIL" w:hAnsi="Charis SIL" w:eastAsia="Charis SIL"/>
          <w:b w:val="0"/>
          <w:i/>
          <w:color w:val="000000"/>
          <w:sz w:val="14"/>
        </w:rPr>
        <w:t xml:space="preserve">s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and the median is 1.1969 </w:t>
      </w:r>
      <w:r>
        <w:rPr>
          <w:w w:val="102.47142655508858"/>
          <w:rFonts w:ascii="Charis SIL" w:hAnsi="Charis SIL" w:eastAsia="Charis SIL"/>
          <w:b w:val="0"/>
          <w:i/>
          <w:color w:val="000000"/>
          <w:sz w:val="14"/>
        </w:rPr>
        <w:t xml:space="preserve">s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with a std. deviation of 13.234 ms.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4" w:val="left"/>
        </w:tabs>
        <w:autoSpaceDE w:val="0"/>
        <w:widowControl/>
        <w:spacing w:line="242" w:lineRule="auto" w:before="0" w:after="144"/>
        <w:ind w:left="2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L. Brenna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13 (2022) 100118</w:t>
      </w:r>
    </w:p>
    <w:p>
      <w:pPr>
        <w:sectPr>
          <w:pgSz w:w="11906" w:h="15874"/>
          <w:pgMar w:top="336" w:right="686" w:bottom="288" w:left="750" w:header="720" w:footer="720" w:gutter="0"/>
          <w:cols w:space="720" w:num="1" w:equalWidth="0">
            <w:col w:w="10470" w:space="0"/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340" w:lineRule="exact" w:before="0" w:after="0"/>
        <w:ind w:left="2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disclosing information about their actual wealth to each other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Essentially it aims to calculate the following: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a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=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b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where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b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represent the wealth of the two parties, respectively, and are private. 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208" w:after="0"/>
        <w:ind w:left="2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4.3.2. Fused millionaire problem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increase the computational load in our experiments, we consider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 fused problem of Yao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 Millionaires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’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problem and the socialist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millionaire problem. In this problem, we aim to figure out the total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ordering of two parties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’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wealth while keeping their actual wealth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private. That is to say when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represents party A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wealth, and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b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party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B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s, and both are private, we want to figure out which one of the three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cases is true: </w:t>
      </w:r>
    </w:p>
    <w:p>
      <w:pPr>
        <w:autoSpaceDN w:val="0"/>
        <w:autoSpaceDE w:val="0"/>
        <w:widowControl/>
        <w:spacing w:line="210" w:lineRule="exact" w:before="290" w:after="0"/>
        <w:ind w:left="90" w:right="2934" w:firstLine="0"/>
        <w:jc w:val="both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A is wealthier than B </w:t>
      </w:r>
      <w:r>
        <w:br/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B is wealthier than A </w:t>
      </w:r>
      <w:r>
        <w:br/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A and B have equal wealth </w:t>
      </w:r>
    </w:p>
    <w:p>
      <w:pPr>
        <w:autoSpaceDN w:val="0"/>
        <w:autoSpaceDE w:val="0"/>
        <w:widowControl/>
        <w:spacing w:line="245" w:lineRule="auto" w:before="76" w:after="0"/>
        <w:ind w:left="2" w:right="52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We solve this problem by encrypting the values using the TFHE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scheme. Technically, this requires two parties to compute on encrypted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data jointly using a multi-key setup. Multi-key HE is possible, as shown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in Ref.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34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which conveniently turns the TFHE scheme we use into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multi-key TFHE scheme. </w:t>
      </w:r>
    </w:p>
    <w:p>
      <w:pPr>
        <w:autoSpaceDN w:val="0"/>
        <w:autoSpaceDE w:val="0"/>
        <w:widowControl/>
        <w:spacing w:line="245" w:lineRule="auto" w:before="0" w:after="0"/>
        <w:ind w:left="2" w:right="52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Using the multi-key TFHE scheme, the two parties would encode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encrypt their respective amount of wealth, transmit them to a computing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node, where their partial evaluation keys are combined, and then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comparisons computed. </w:t>
      </w:r>
    </w:p>
    <w:p>
      <w:pPr>
        <w:autoSpaceDN w:val="0"/>
        <w:tabs>
          <w:tab w:pos="240" w:val="left"/>
        </w:tabs>
        <w:autoSpaceDE w:val="0"/>
        <w:widowControl/>
        <w:spacing w:line="245" w:lineRule="auto" w:before="156" w:after="0"/>
        <w:ind w:left="2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4.3.3. Implementation of the fused millionaire problem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We start by producing the binary decomposition of the two values.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We use two 32-bit signed integers for this purpose. For each of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values, we decompose them into bytes in big-endian order, then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decompose those into the individual bits. We use big-endian as we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implemented the circuits we use to work on big-endian values. Then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each bit is individually encrypted with our TFHE implementation. This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results in two pairs of 32 ciphertexts representing the encryption of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two values. In a multi-key setup, the two parties perform these actions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separately after completing a key-exchange protocol. Note that our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implementation of the TFHE scheme does not support multi-key setups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as we based it on an implementation that also did not support it.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However, supporting it would only necessitate adding a key combina-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tion step that scales linearly with the number of parties. </w:t>
      </w:r>
    </w:p>
    <w:p>
      <w:pPr>
        <w:autoSpaceDN w:val="0"/>
        <w:autoSpaceDE w:val="0"/>
        <w:widowControl/>
        <w:spacing w:line="262" w:lineRule="exact" w:before="0" w:after="0"/>
        <w:ind w:left="2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After this, the setup phase is complete. We then perform the com-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parison circuit equivalent to computing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a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≤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b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the equality circuit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equivalent to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a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=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b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both computing on a list of encrypted bits (two pairs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of 32-bits) producing encrypted results. These two circuits are inde-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pendent and are thus evaluable in parallel, although our implementation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performs them sequentially. </w:t>
      </w:r>
    </w:p>
    <w:p>
      <w:pPr>
        <w:autoSpaceDN w:val="0"/>
        <w:autoSpaceDE w:val="0"/>
        <w:widowControl/>
        <w:spacing w:line="240" w:lineRule="auto" w:before="166" w:after="0"/>
        <w:ind w:left="2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4.4. TFHE-rs with and without SGX </w:t>
      </w:r>
    </w:p>
    <w:p>
      <w:pPr>
        <w:autoSpaceDN w:val="0"/>
        <w:autoSpaceDE w:val="0"/>
        <w:widowControl/>
        <w:spacing w:line="245" w:lineRule="auto" w:before="156" w:after="0"/>
        <w:ind w:left="2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Next, we evaluate and compare the performance of TFHE-rs with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with-out the use of SGX. We repeat each experiment 25 times, timing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only the relevant sections. Running with 80-bit security, TFHE-rs with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SGX finished with an arithmetic mean of 90</w:t>
      </w:r>
      <w:r>
        <w:rPr>
          <w:rFonts w:ascii="Charis SIL" w:hAnsi="Charis SIL" w:eastAsia="Charis SIL"/>
          <w:b w:val="0"/>
          <w:i/>
          <w:color w:val="000000"/>
          <w:sz w:val="16"/>
        </w:rPr>
        <w:t>.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504 s and a standard de-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viation of 0</w:t>
      </w:r>
      <w:r>
        <w:rPr>
          <w:rFonts w:ascii="Charis SIL" w:hAnsi="Charis SIL" w:eastAsia="Charis SIL"/>
          <w:b w:val="0"/>
          <w:i/>
          <w:color w:val="000000"/>
          <w:sz w:val="16"/>
        </w:rPr>
        <w:t>.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602 86 s while the FHE-only version finished in 116</w:t>
      </w:r>
      <w:r>
        <w:rPr>
          <w:rFonts w:ascii="Charis SIL" w:hAnsi="Charis SIL" w:eastAsia="Charis SIL"/>
          <w:b w:val="0"/>
          <w:i/>
          <w:color w:val="000000"/>
          <w:sz w:val="16"/>
        </w:rPr>
        <w:t>.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08 s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 standard deviation of 2</w:t>
      </w:r>
      <w:r>
        <w:rPr>
          <w:rFonts w:ascii="Charis SIL" w:hAnsi="Charis SIL" w:eastAsia="Charis SIL"/>
          <w:b w:val="0"/>
          <w:i/>
          <w:color w:val="000000"/>
          <w:sz w:val="16"/>
        </w:rPr>
        <w:t>.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3548 s. These results indicate that TFHE-rs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approximately 28% faster with SGX. </w:t>
      </w:r>
    </w:p>
    <w:p>
      <w:pPr>
        <w:autoSpaceDN w:val="0"/>
        <w:autoSpaceDE w:val="0"/>
        <w:widowControl/>
        <w:spacing w:line="245" w:lineRule="auto" w:before="0" w:after="0"/>
        <w:ind w:left="2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There is known overhead associated with SGX memory encryption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and pag-ing. However, we explain the performance improvement be-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tween the two ver-sions of TFHE-rs by how an SGX enclave handles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memory. For this, we profiled our non SGX program using the 128-bit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security parameter set, which is the one that uses most memory, with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memory profiler for Linux.</w:t>
      </w:r>
      <w:r>
        <w:rPr>
          <w:rFonts w:ascii="Charis SIL" w:hAnsi="Charis SIL" w:eastAsia="Charis SIL"/>
          <w:b w:val="0"/>
          <w:i w:val="0"/>
          <w:color w:val="2196D1"/>
          <w:sz w:val="12"/>
        </w:rPr>
        <w:t xml:space="preserve">8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observed memory usage over time is </w:t>
      </w:r>
    </w:p>
    <w:p>
      <w:pPr>
        <w:autoSpaceDN w:val="0"/>
        <w:autoSpaceDE w:val="0"/>
        <w:widowControl/>
        <w:spacing w:line="252" w:lineRule="auto" w:before="378" w:after="0"/>
        <w:ind w:left="108" w:right="0" w:firstLine="0"/>
        <w:jc w:val="left"/>
      </w:pPr>
      <w:r>
        <w:rPr>
          <w:w w:val="103.91317367553712"/>
          <w:rFonts w:ascii="Charis SIL" w:hAnsi="Charis SIL" w:eastAsia="Charis SIL"/>
          <w:b w:val="0"/>
          <w:i w:val="0"/>
          <w:color w:val="000000"/>
          <w:sz w:val="10"/>
        </w:rPr>
        <w:t xml:space="preserve">8 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27" w:history="1">
          <w:r>
            <w:rPr>
              <w:rStyle w:val="Hyperlink"/>
            </w:rPr>
            <w:t>https://github.com/koute/memory-profile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>r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. </w:t>
      </w:r>
    </w:p>
    <w:p>
      <w:pPr>
        <w:sectPr>
          <w:type w:val="continuous"/>
          <w:pgSz w:w="11906" w:h="15874"/>
          <w:pgMar w:top="336" w:right="686" w:bottom="288" w:left="750" w:header="720" w:footer="720" w:gutter="0"/>
          <w:cols w:space="720" w:num="2" w:equalWidth="0"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36" w:right="686" w:bottom="288" w:left="750" w:header="720" w:footer="720" w:gutter="0"/>
          <w:cols w:space="720" w:num="2" w:equalWidth="0"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3336290</wp:posOffset>
            </wp:positionH>
            <wp:positionV relativeFrom="page">
              <wp:posOffset>704850</wp:posOffset>
            </wp:positionV>
            <wp:extent cx="1297939" cy="971931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97939" cy="97193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5217160</wp:posOffset>
            </wp:positionH>
            <wp:positionV relativeFrom="page">
              <wp:posOffset>737870</wp:posOffset>
            </wp:positionV>
            <wp:extent cx="1337310" cy="971758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97175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698500</wp:posOffset>
            </wp:positionV>
            <wp:extent cx="3632200" cy="10668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066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1376680</wp:posOffset>
            </wp:positionH>
            <wp:positionV relativeFrom="page">
              <wp:posOffset>703580</wp:posOffset>
            </wp:positionV>
            <wp:extent cx="1254759" cy="971525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54759" cy="97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1028700</wp:posOffset>
            </wp:positionH>
            <wp:positionV relativeFrom="page">
              <wp:posOffset>698500</wp:posOffset>
            </wp:positionV>
            <wp:extent cx="1612900" cy="9779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977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94"/>
        <w:gridCol w:w="2094"/>
        <w:gridCol w:w="2094"/>
        <w:gridCol w:w="2094"/>
        <w:gridCol w:w="2094"/>
      </w:tblGrid>
      <w:tr>
        <w:trPr>
          <w:trHeight w:hRule="exact" w:val="2148"/>
        </w:trPr>
        <w:tc>
          <w:tcPr>
            <w:tcW w:type="dxa" w:w="1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L. Brenna et al. 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8" w:after="0"/>
              <w:ind w:left="0" w:right="3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" cy="508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28" w:after="0"/>
              <w:ind w:left="0" w:right="5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635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28" w:after="0"/>
              <w:ind w:left="5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6200" cy="508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14" w:firstLine="0"/>
              <w:jc w:val="right"/>
            </w:pPr>
            <w:r>
              <w:rPr>
                <w:w w:val="98.09230657724234"/>
                <w:rFonts w:ascii="Charis SIL" w:hAnsi="Charis SIL" w:eastAsia="Charis SIL"/>
                <w:b w:val="0"/>
                <w:i/>
                <w:color w:val="000000"/>
                <w:sz w:val="13"/>
              </w:rPr>
              <w:t>Array 13 (2022) 100118</w:t>
            </w:r>
          </w:p>
        </w:tc>
      </w:tr>
    </w:tbl>
    <w:p>
      <w:pPr>
        <w:autoSpaceDN w:val="0"/>
        <w:tabs>
          <w:tab w:pos="5388" w:val="left"/>
          <w:tab w:pos="8388" w:val="left"/>
        </w:tabs>
        <w:autoSpaceDE w:val="0"/>
        <w:widowControl/>
        <w:spacing w:line="240" w:lineRule="auto" w:before="20" w:after="0"/>
        <w:ind w:left="22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" cy="889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92100" cy="889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92100" cy="889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4408" w:val="left"/>
        </w:tabs>
        <w:autoSpaceDE w:val="0"/>
        <w:widowControl/>
        <w:spacing w:line="240" w:lineRule="auto" w:before="200" w:after="0"/>
        <w:ind w:left="8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397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97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302000" cy="1397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88000" cy="1397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75300" cy="127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808" w:val="left"/>
        </w:tabs>
        <w:autoSpaceDE w:val="0"/>
        <w:widowControl/>
        <w:spacing w:line="240" w:lineRule="auto" w:before="60" w:after="0"/>
        <w:ind w:left="8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95400" cy="1016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479800" cy="1397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2" w:lineRule="auto" w:before="122" w:after="0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3.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Memory usage characteristics for FHE with the default system allocator. </w:t>
      </w:r>
    </w:p>
    <w:p>
      <w:pPr>
        <w:autoSpaceDN w:val="0"/>
        <w:autoSpaceDE w:val="0"/>
        <w:widowControl/>
        <w:spacing w:line="240" w:lineRule="auto" w:before="38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0700" cy="24257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425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8" w:after="0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4.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Execution times of our fused millionaire problem. Experiments were performed 25 times and respective standard deviations are represented by the vertical </w:t>
      </w:r>
    </w:p>
    <w:p>
      <w:pPr>
        <w:autoSpaceDN w:val="0"/>
        <w:autoSpaceDE w:val="0"/>
        <w:widowControl/>
        <w:spacing w:line="240" w:lineRule="auto" w:before="0" w:after="194"/>
        <w:ind w:left="0" w:right="0" w:firstLine="0"/>
        <w:jc w:val="left"/>
      </w:pP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error bars.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338" w:lineRule="exact" w:before="4" w:after="0"/>
        <w:ind w:left="0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around 1</w:t>
      </w:r>
      <w:r>
        <w:rPr>
          <w:rFonts w:ascii="Charis SIL" w:hAnsi="Charis SIL" w:eastAsia="Charis SIL"/>
          <w:b w:val="0"/>
          <w:i/>
          <w:color w:val="000000"/>
          <w:sz w:val="16"/>
        </w:rPr>
        <w:t>.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7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×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performance slowdown compared to not running in SGX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with PHE. Execution time grows linearly with the number of summed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entries, as expected. </w:t>
      </w:r>
    </w:p>
    <w:p>
      <w:pPr>
        <w:autoSpaceDN w:val="0"/>
        <w:tabs>
          <w:tab w:pos="238" w:val="left"/>
        </w:tabs>
        <w:autoSpaceDE w:val="0"/>
        <w:widowControl/>
        <w:spacing w:line="220" w:lineRule="exact" w:before="40" w:after="0"/>
        <w:ind w:left="0" w:right="0" w:firstLine="0"/>
        <w:jc w:val="left"/>
      </w:pP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SAFETY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39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combines PHE and SGX to securely process genome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data to identify genetic risk factors for diseases. This data is quite sen-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sitive and often comes with strict regulations on how to process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store it. By combining Paillier encryption with SGX they created a sys-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computing techniques.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tem which achieved a 4</w:t>
      </w:r>
      <w:r>
        <w:rPr>
          <w:rFonts w:ascii="Charis SIL" w:hAnsi="Charis SIL" w:eastAsia="Charis SIL"/>
          <w:b w:val="0"/>
          <w:i/>
          <w:color w:val="000000"/>
          <w:sz w:val="16"/>
        </w:rPr>
        <w:t>.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8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×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speedup compared to existing secure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TEEFHE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40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 is an example of combining FHE with SGX by per-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forming the bootstrapping step within SGX. They use the BGV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27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scheme implemented in Simple Encrypted Arithmetic Library (SEAL)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modify the library to run within SGX. They distribute the work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across several nodes, where some nodes process the ciphertexts using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homomorphic operations in untrusted environ-ments. When nodes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require the bootstrapping procedure, they transmit them to a node with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SEAL library running within SGX. SGX enclaves perform encryption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decryption, preserving data and code integrity and confidential-ity,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as they do not consider side-channel attacks. Decrypting and encrypting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 ciphertext removes the encoded noise and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refreshes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ciphertext,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effectively doing the same as a bootstrapping operation, but at a lower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cost. As the un-trusted compute servers perform computations on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encrypted data, they do not preserve data integrity in the case of 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attack. </w:t>
      </w:r>
    </w:p>
    <w:p>
      <w:pPr>
        <w:autoSpaceDN w:val="0"/>
        <w:autoSpaceDE w:val="0"/>
        <w:widowControl/>
        <w:spacing w:line="240" w:lineRule="auto" w:before="0" w:after="0"/>
        <w:ind w:left="238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 large corpus of work exists that address the confidentiality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44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L. Brenna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13 (2022) 100118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28" w:after="0"/>
        <w:ind w:left="0" w:right="52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ORAM clients internal memory are oblivious. An ORAM client is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pro-gram which accesses an external resource (an ORAM server)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through oblivious techniques. These doubly-oblivious techniques ensure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that even if an adversary were to observe accesses to a client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internal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memory, it could learn no informa-tion on the data. Oblix additionally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designs oblivious algorithms that are more efficient than earlier work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and implements a contact number discovery service akin to Signal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service implemented in SGX as a demonstration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46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They use different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techniques than Signal, but achieve speedups ranging from ~ 9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×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to ~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140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×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faster while strengthening security at the same time, by utilizing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doubly-oblivious techniques. </w:t>
      </w:r>
    </w:p>
    <w:p>
      <w:pPr>
        <w:autoSpaceDN w:val="0"/>
        <w:autoSpaceDE w:val="0"/>
        <w:widowControl/>
        <w:spacing w:line="210" w:lineRule="exact" w:before="50" w:after="0"/>
        <w:ind w:left="0" w:right="52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The CacheOut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6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attack exploits the fact that hardware-cache that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flushed and overwritten can still be recovered. CacheOut can even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selectively choose parts of data to leak with relatively high efficiency,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unlike previous attacks where the attacker could only observe the leaked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data the CPU enclave was currently accessing. This attack requires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hardware fixes and proves once again that SGX enclaves do not fully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protect the confidentiality of data and code in enclaves, and that other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protective measures are required. SGAxe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47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exploits the CacheOut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attack to compromise both the confidentiality but also the integrity of 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en-clave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memory. The attack extracts the secret attestation key used by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enclaves to prove that they are genuine, meaning a malicious attacker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such as a malicious cloud vendor could pass a fake enclave for a real one,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tricking the client. This attack compromises many security guarantees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needed in our hybrid TEE and FHE solution, but most importantly, it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compromises the integrity guarantees required for our system to work. </w:t>
      </w:r>
    </w:p>
    <w:p>
      <w:pPr>
        <w:autoSpaceDN w:val="0"/>
        <w:autoSpaceDE w:val="0"/>
        <w:widowControl/>
        <w:spacing w:line="220" w:lineRule="exact" w:before="4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The Load Value Injection (LVI) attack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48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builds on the Meltdown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49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 attack to inject the attacker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 data into the victim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data stream.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This vulnera-bility breaches the data integrity guarantees that SGX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should provide as it opens the possibility for the victim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code to execute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on the attacker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data, breaking all the correctness guarantees of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user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code. Additionally, it might lead to software crashes by injecting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data structured in a format the victim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code did not expect. Patching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LVI necessitates extensive software patches, estimated to impact per-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formance of SGX enclaves between 2</w:t>
      </w:r>
      <w:r>
        <w:rPr>
          <w:rFonts w:ascii="STIX" w:hAnsi="STIX" w:eastAsia="STIX"/>
          <w:b w:val="0"/>
          <w:i w:val="0"/>
          <w:color w:val="000000"/>
          <w:sz w:val="16"/>
        </w:rPr>
        <w:t>–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19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×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. </w:t>
      </w:r>
    </w:p>
    <w:p>
      <w:pPr>
        <w:autoSpaceDN w:val="0"/>
        <w:autoSpaceDE w:val="0"/>
        <w:widowControl/>
        <w:spacing w:line="240" w:lineRule="auto" w:before="88" w:after="0"/>
        <w:ind w:left="0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6. Concluding remarks </w:t>
      </w:r>
    </w:p>
    <w:p>
      <w:pPr>
        <w:autoSpaceDN w:val="0"/>
        <w:autoSpaceDE w:val="0"/>
        <w:widowControl/>
        <w:spacing w:line="240" w:lineRule="exact" w:before="178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This paper presented and evaluated the TFHE-rs library for per-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forming FHE, specifically the TFHE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29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scheme, written in pure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memory-safe Rust. It embeds in SGX as a single dependency by using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Fortanix Rust EDP. Our TFHE-rs implementation was based on 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existing library written in a mix of C and C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++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25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There is no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user-required configuration apart from the minimum required for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creating an SGX enclave. TFHE-rs provides pre-made circuits to make it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easy for users to create common circuits and built-in serialization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deserialization support for easy transfer to and from enclaves. </w:t>
      </w:r>
    </w:p>
    <w:p>
      <w:pPr>
        <w:autoSpaceDN w:val="0"/>
        <w:autoSpaceDE w:val="0"/>
        <w:widowControl/>
        <w:spacing w:line="210" w:lineRule="exact" w:before="52" w:after="0"/>
        <w:ind w:left="0" w:right="52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We evaluated the performance characteristics of TFHE-rs with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without an SGX enclave and found that the performance overhead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negligible. The evaluation showed that using TFHE-rs with SGX is 3%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faster than a version of TFHE-rs without SGX. This result is not in line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with what we conjectured, which was that TFHE-rs with SGX should be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slower. Based on our experience, we conjecture that specific memory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management implementations particularly affects performance.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default system allocator on Linux (libc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malloc) was 28% slower than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dlmalloc allocator used by the Fortanix Rust EDP in the SGX setup.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As such, a system with a similar setup to ours should emphasize low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memory usage and experiment with different allocators to ensure that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they stay within the memory limits imposed by SGX. However,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measured stan-dard deviation does account for most of the performance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difference, and the benchmarks themselves take long enough for this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discrepancy to be due to envi-ronmental factors in our experimental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setup (i.e., due to system load). Overall, this is a positive result, as our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hybrid solution is both more secure and faster. </w:t>
      </w:r>
    </w:p>
    <w:p>
      <w:pPr>
        <w:autoSpaceDN w:val="0"/>
        <w:autoSpaceDE w:val="0"/>
        <w:widowControl/>
        <w:spacing w:line="245" w:lineRule="auto" w:before="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Thus, we conclude that using FHE operations within SGX, written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memory-safe language Rust, is both feasible and provides several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6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L. Brenna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13 (2022) 100118</w:t>
      </w:r>
    </w:p>
    <w:p>
      <w:pPr>
        <w:sectPr>
          <w:pgSz w:w="11906" w:h="15874"/>
          <w:pgMar w:top="336" w:right="720" w:bottom="288" w:left="752" w:header="720" w:footer="720" w:gutter="0"/>
          <w:cols w:space="720" w:num="1" w:equalWidth="0"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48" w:after="0"/>
        <w:ind w:left="330" w:right="0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[23]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6" w:history="1">
          <w:r>
            <w:rPr>
              <w:rStyle w:val="Hyperlink"/>
            </w:rPr>
            <w:t>Genkin D, Shamir A, Tromer E. RSA key extraction via low-bandwidth acoustic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6" w:history="1">
          <w:r>
            <w:rPr>
              <w:rStyle w:val="Hyperlink"/>
            </w:rPr>
            <w:t xml:space="preserve">cryptanalysis. In: Garay JA, Gennaro R, editors. Advances in cryptology 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46" w:history="1">
          <w:r>
            <w:rPr>
              <w:rStyle w:val="Hyperlink"/>
            </w:rPr>
            <w:t xml:space="preserve">– 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6" w:history="1">
          <w:r>
            <w:rPr>
              <w:rStyle w:val="Hyperlink"/>
            </w:rPr>
            <w:t>CRYPT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6" w:history="1">
          <w:r>
            <w:rPr>
              <w:rStyle w:val="Hyperlink"/>
            </w:rPr>
            <w:t>O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6" w:history="1">
          <w:r>
            <w:rPr>
              <w:rStyle w:val="Hyperlink"/>
            </w:rPr>
            <w:t>2014, springer berlin heidelberg. Berlin: Heidel- berg; 2014. p. 444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46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6" w:history="1">
          <w:r>
            <w:rPr>
              <w:rStyle w:val="Hyperlink"/>
            </w:rPr>
            <w:t>61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0" w:lineRule="exact" w:before="50" w:after="0"/>
        <w:ind w:left="330" w:right="170" w:hanging="330"/>
        <w:jc w:val="both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[24]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Chillotti I, Gama N, Georgieva M, Izabach</w:t>
          </w:r>
        </w:hyperlink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t>`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ene M. TFHE: fast fully hom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omorphic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encryption over the Torus. J Cryptol 2019;33.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7" w:history="1">
          <w:r>
            <w:rPr>
              <w:rStyle w:val="Hyperlink"/>
            </w:rPr>
            <w:t>https://doi.org/10.1007/s00145-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7" w:history="1">
          <w:r>
            <w:rPr>
              <w:rStyle w:val="Hyperlink"/>
            </w:rPr>
            <w:t>019-09319-x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330" w:val="left"/>
        </w:tabs>
        <w:autoSpaceDE w:val="0"/>
        <w:widowControl/>
        <w:spacing w:line="158" w:lineRule="exact" w:before="5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[25]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7" w:history="1">
          <w:r>
            <w:rPr>
              <w:rStyle w:val="Hyperlink"/>
            </w:rPr>
            <w:t>Chillotti I, G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8" w:history="1">
          <w:r>
            <w:rPr>
              <w:rStyle w:val="Hyperlink"/>
            </w:rPr>
            <w:t>ama N, Georgieva M, Izabach</w:t>
          </w:r>
        </w:hyperlink>
      </w:r>
      <w:r>
        <w:rPr>
          <w:w w:val="98.09076602642352"/>
          <w:rFonts w:ascii="TeX_CM_Roman" w:hAnsi="TeX_CM_Roman" w:eastAsia="TeX_CM_Roman"/>
          <w:b w:val="0"/>
          <w:i w:val="0"/>
          <w:color w:val="2196D1"/>
          <w:sz w:val="13"/>
        </w:rPr>
        <w:hyperlink r:id="rId48" w:history="1">
          <w:r>
            <w:rPr>
              <w:rStyle w:val="Hyperlink"/>
            </w:rPr>
            <w:t>`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8" w:history="1">
          <w:r>
            <w:rPr>
              <w:rStyle w:val="Hyperlink"/>
            </w:rPr>
            <w:t>ene M. TFHE: fast fully homomorphic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8" w:history="1">
          <w:r>
            <w:rPr>
              <w:rStyle w:val="Hyperlink"/>
            </w:rPr>
            <w:t>encryption library. Technical Report August 2016 [Https://tfhe.github.io/tfhe/]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2" w:lineRule="exact" w:before="44" w:after="0"/>
        <w:ind w:left="330" w:right="144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[26]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9" w:history="1">
          <w:r>
            <w:rPr>
              <w:rStyle w:val="Hyperlink"/>
            </w:rPr>
            <w:t>Cheon JH, Kim A, Kim M, Song Y. Homomorphic encryption for arithmetic of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9" w:history="1">
          <w:r>
            <w:rPr>
              <w:rStyle w:val="Hyperlink"/>
            </w:rPr>
            <w:t>approximate numbers. In: Takagi T, Peyrin T, editors. Advances in cryptology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49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9" w:history="1">
          <w:r>
            <w:rPr>
              <w:rStyle w:val="Hyperlink"/>
            </w:rPr>
            <w:t>ASIACRYPT 2017, springer international pub- lishing, cham; 2017. p. 409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49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9" w:history="1">
          <w:r>
            <w:rPr>
              <w:rStyle w:val="Hyperlink"/>
            </w:rPr>
            <w:t>37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30" w:right="78" w:hanging="330"/>
        <w:jc w:val="both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[27]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Brakerski Z, Gentry C, Vaikuntanathan V. Fully homomorphic encryp- tion with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out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bootstrapping. Cryptology ePrint Archive, Report 2011/277 2011.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0" w:history="1">
          <w:r>
            <w:rPr>
              <w:rStyle w:val="Hyperlink"/>
            </w:rPr>
            <w:t>https://eprint.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0" w:history="1">
          <w:r>
            <w:rPr>
              <w:rStyle w:val="Hyperlink"/>
            </w:rPr>
            <w:t>iacr.org/2011/277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330" w:val="left"/>
        </w:tabs>
        <w:autoSpaceDE w:val="0"/>
        <w:widowControl/>
        <w:spacing w:line="245" w:lineRule="auto" w:before="0" w:after="0"/>
        <w:ind w:left="0" w:right="144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[28]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0" w:history="1">
          <w:r>
            <w:rPr>
              <w:rStyle w:val="Hyperlink"/>
            </w:rPr>
            <w:t>Lenstra AK. Key le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1" w:history="1">
          <w:r>
            <w:rPr>
              <w:rStyle w:val="Hyperlink"/>
            </w:rPr>
            <w:t>ngths. Contribution to the handbook of information security.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1" w:history="1">
          <w:r>
            <w:rPr>
              <w:rStyle w:val="Hyperlink"/>
            </w:rPr>
            <w:t>2010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tabs>
          <w:tab w:pos="330" w:val="left"/>
        </w:tabs>
        <w:autoSpaceDE w:val="0"/>
        <w:widowControl/>
        <w:spacing w:line="160" w:lineRule="exact" w:before="5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[29]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1" w:history="1">
          <w:r>
            <w:rPr>
              <w:rStyle w:val="Hyperlink"/>
            </w:rPr>
            <w:t>Chill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2" w:history="1">
          <w:r>
            <w:rPr>
              <w:rStyle w:val="Hyperlink"/>
            </w:rPr>
            <w:t>otti I, Gama N, Georgieva M, Izabach</w:t>
          </w:r>
        </w:hyperlink>
      </w:r>
      <w:r>
        <w:rPr>
          <w:w w:val="98.09076602642352"/>
          <w:rFonts w:ascii="TeX_CM_Roman" w:hAnsi="TeX_CM_Roman" w:eastAsia="TeX_CM_Roman"/>
          <w:b w:val="0"/>
          <w:i w:val="0"/>
          <w:color w:val="2196D1"/>
          <w:sz w:val="13"/>
        </w:rPr>
        <w:hyperlink r:id="rId52" w:history="1">
          <w:r>
            <w:rPr>
              <w:rStyle w:val="Hyperlink"/>
            </w:rPr>
            <w:t>`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2" w:history="1">
          <w:r>
            <w:rPr>
              <w:rStyle w:val="Hyperlink"/>
            </w:rPr>
            <w:t>ene M. Faster fully homo- morphic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2" w:history="1">
          <w:r>
            <w:rPr>
              <w:rStyle w:val="Hyperlink"/>
            </w:rPr>
            <w:t>encryption: bootstrapping in less than 0.1 seconds. In: Cheon JH, Takagi T, edi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2" w:history="1">
          <w:r>
            <w:rPr>
              <w:rStyle w:val="Hyperlink"/>
            </w:rPr>
            <w:t>tors.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</w:p>
    <w:p>
      <w:pPr>
        <w:autoSpaceDN w:val="0"/>
        <w:autoSpaceDE w:val="0"/>
        <w:widowControl/>
        <w:spacing w:line="160" w:lineRule="exact" w:before="54" w:after="0"/>
        <w:ind w:left="330" w:right="288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2" w:history="1">
          <w:r>
            <w:rPr>
              <w:rStyle w:val="Hyperlink"/>
            </w:rPr>
            <w:t xml:space="preserve">Advances in cryptology 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52" w:history="1">
          <w:r>
            <w:rPr>
              <w:rStyle w:val="Hyperlink"/>
            </w:rPr>
            <w:t xml:space="preserve">– 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2" w:history="1">
          <w:r>
            <w:rPr>
              <w:rStyle w:val="Hyperlink"/>
            </w:rPr>
            <w:t>asiacrypt 2016. Berlin, Heidelberg: Springer Berlin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2" w:history="1">
          <w:r>
            <w:rPr>
              <w:rStyle w:val="Hyperlink"/>
            </w:rPr>
            <w:t>Heidelberg; 2016. p. 3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52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2" w:history="1">
          <w:r>
            <w:rPr>
              <w:rStyle w:val="Hyperlink"/>
            </w:rPr>
            <w:t>33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0" w:lineRule="exact" w:before="50" w:after="0"/>
        <w:ind w:left="330" w:right="144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[30]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Yao AC. Protocols for secu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re computations, in: proceedings of the 23rd annual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symposium on foundations of computer science. In: SFCS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82, IEEE computer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society, Washington, DC, USA; 1982. p. 160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4.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3" w:history="1">
          <w:r>
            <w:rPr>
              <w:rStyle w:val="Hyperlink"/>
            </w:rPr>
            <w:t>https://doi.org/10.1109/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3" w:history="1">
          <w:r>
            <w:rPr>
              <w:rStyle w:val="Hyperlink"/>
            </w:rPr>
            <w:t>SFCS.1982.88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3" w:history="1">
          <w:r>
            <w:rPr>
              <w:rStyle w:val="Hyperlink"/>
            </w:rPr>
            <w:t>https://doi.org/10.1109/SFCS.19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3" w:history="1">
          <w:r>
            <w:rPr>
              <w:rStyle w:val="Hyperlink"/>
            </w:rPr>
            <w:t>82.88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58" w:lineRule="exact" w:before="56" w:after="0"/>
        <w:ind w:left="330" w:right="0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[31]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3" w:history="1">
          <w:r>
            <w:rPr>
              <w:rStyle w:val="Hyperlink"/>
            </w:rPr>
            <w:t>Ioannidis I, Gr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4" w:history="1">
          <w:r>
            <w:rPr>
              <w:rStyle w:val="Hyperlink"/>
            </w:rPr>
            <w:t>a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3" w:history="1">
          <w:r>
            <w:rPr>
              <w:rStyle w:val="Hyperlink"/>
            </w:rPr>
            <w:t>ma A. An efficient protocol for Y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3" w:history="1">
          <w:r>
            <w:rPr>
              <w:rStyle w:val="Hyperlink"/>
            </w:rPr>
            <w:t>a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>o</w:t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53" w:history="1">
          <w:r>
            <w:rPr>
              <w:rStyle w:val="Hyperlink"/>
            </w:rPr>
            <w:t>’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3" w:history="1">
          <w:r>
            <w:rPr>
              <w:rStyle w:val="Hyperlink"/>
            </w:rPr>
            <w:t>s mi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4" w:history="1">
          <w:r>
            <w:rPr>
              <w:rStyle w:val="Hyperlink"/>
            </w:rPr>
            <w:t>llionaires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54" w:history="1">
          <w:r>
            <w:rPr>
              <w:rStyle w:val="Hyperlink"/>
            </w:rPr>
            <w:t xml:space="preserve">’ 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4" w:history="1">
          <w:r>
            <w:rPr>
              <w:rStyle w:val="Hyperlink"/>
            </w:rPr>
            <w:t>problem, in: 36th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4" w:history="1">
          <w:r>
            <w:rPr>
              <w:rStyle w:val="Hyperlink"/>
            </w:rPr>
            <w:t>annual Hawaii international conference on system sciences. Proceedings of the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4" w:history="1">
          <w:r>
            <w:rPr>
              <w:rStyle w:val="Hyperlink"/>
            </w:rPr>
            <w:t>2003;2003:6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56" w:lineRule="exact" w:before="60" w:after="0"/>
        <w:ind w:left="330" w:right="144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[32]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4" w:history="1">
          <w:r>
            <w:rPr>
              <w:rStyle w:val="Hyperlink"/>
            </w:rPr>
            <w:t>Lin H-y, Tze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5" w:history="1">
          <w:r>
            <w:rPr>
              <w:rStyle w:val="Hyperlink"/>
            </w:rPr>
            <w:t>ng W-g. An efficient solution to the millionaire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>s</w:t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55" w:history="1">
          <w:r>
            <w:rPr>
              <w:rStyle w:val="Hyperlink"/>
            </w:rPr>
            <w:t xml:space="preserve">’ 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5" w:history="1">
          <w:r>
            <w:rPr>
              <w:rStyle w:val="Hyperlink"/>
            </w:rPr>
            <w:t>problem based on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5" w:history="1">
          <w:r>
            <w:rPr>
              <w:rStyle w:val="Hyperlink"/>
            </w:rPr>
            <w:t>homomorphic encryption. In: In ACNS 2005, vol. 3531; 2005. p. 456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55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5" w:history="1">
          <w:r>
            <w:rPr>
              <w:rStyle w:val="Hyperlink"/>
            </w:rPr>
            <w:t>66. of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5" w:history="1">
          <w:r>
            <w:rPr>
              <w:rStyle w:val="Hyperlink"/>
            </w:rPr>
            <w:t>Lecture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2" w:lineRule="exact" w:before="46" w:after="0"/>
        <w:ind w:left="330" w:right="144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[33]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5" w:history="1">
          <w:r>
            <w:rPr>
              <w:rStyle w:val="Hyperlink"/>
            </w:rPr>
            <w:t>Jakobss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6" w:history="1">
          <w:r>
            <w:rPr>
              <w:rStyle w:val="Hyperlink"/>
            </w:rPr>
            <w:t>on M, Yung M. Proving without knowing: on oblivious, agnos- tic and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6" w:history="1">
          <w:r>
            <w:rPr>
              <w:rStyle w:val="Hyperlink"/>
            </w:rPr>
            <w:t xml:space="preserve">blindfolded provers. In: Koblitz N, editor. Advances in cryptology 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56" w:history="1">
          <w:r>
            <w:rPr>
              <w:rStyle w:val="Hyperlink"/>
            </w:rPr>
            <w:t xml:space="preserve">— 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6" w:history="1">
          <w:r>
            <w:rPr>
              <w:rStyle w:val="Hyperlink"/>
            </w:rPr>
            <w:t xml:space="preserve">crypto 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56" w:history="1">
          <w:r>
            <w:rPr>
              <w:rStyle w:val="Hyperlink"/>
            </w:rPr>
            <w:t>’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6" w:history="1">
          <w:r>
            <w:rPr>
              <w:rStyle w:val="Hyperlink"/>
            </w:rPr>
            <w:t>9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6" w:history="1">
          <w:r>
            <w:rPr>
              <w:rStyle w:val="Hyperlink"/>
            </w:rPr>
            <w:t>6.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6" w:history="1">
          <w:r>
            <w:rPr>
              <w:rStyle w:val="Hyperlink"/>
            </w:rPr>
            <w:t>Berlin, Heidelberg: Springer Berlin Heidelberg; 1996. p. 186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56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6" w:history="1">
          <w:r>
            <w:rPr>
              <w:rStyle w:val="Hyperlink"/>
            </w:rPr>
            <w:t>200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242" w:lineRule="auto" w:before="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[34]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Chen H, Chillotti I, Song Y. Multi-key homomophic encryption fr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om TFHE. </w:t>
      </w:r>
    </w:p>
    <w:p>
      <w:pPr>
        <w:autoSpaceDN w:val="0"/>
        <w:autoSpaceDE w:val="0"/>
        <w:widowControl/>
        <w:spacing w:line="245" w:lineRule="auto" w:before="0" w:after="0"/>
        <w:ind w:left="330" w:right="432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Cryptology ePrint Archive, Report 2019/116 2019.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7" w:history="1">
          <w:r>
            <w:rPr>
              <w:rStyle w:val="Hyperlink"/>
            </w:rPr>
            <w:t>https://eprint.iacr.org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7" w:history="1">
          <w:r>
            <w:rPr>
              <w:rStyle w:val="Hyperlink"/>
            </w:rPr>
            <w:t>/2019/116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330" w:val="left"/>
        </w:tabs>
        <w:autoSpaceDE w:val="0"/>
        <w:widowControl/>
        <w:spacing w:line="166" w:lineRule="exact" w:before="44" w:after="0"/>
        <w:ind w:left="0" w:right="432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[35]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7" w:history="1">
          <w:r>
            <w:rPr>
              <w:rStyle w:val="Hyperlink"/>
            </w:rPr>
            <w:t>Drucker N,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8" w:history="1">
          <w:r>
            <w:rPr>
              <w:rStyle w:val="Hyperlink"/>
            </w:rPr>
            <w:t xml:space="preserve"> Gueron S. Achieving trustworthy homomorphic encryption by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8" w:history="1">
          <w:r>
            <w:rPr>
              <w:rStyle w:val="Hyperlink"/>
            </w:rPr>
            <w:t>combining it with a trusted execution environment. JoWUA 2018;9:86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58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8" w:history="1">
          <w:r>
            <w:rPr>
              <w:rStyle w:val="Hyperlink"/>
            </w:rPr>
            <w:t>9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8" w:history="1">
          <w:r>
            <w:rPr>
              <w:rStyle w:val="Hyperlink"/>
            </w:rPr>
            <w:t>9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2" w:lineRule="exact" w:before="46" w:after="0"/>
        <w:ind w:left="330" w:right="0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[36]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Popa RA, Redfield CMS, Zeldovich N, Balakrishnan H. CryptDB: protectin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g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confidentiality with encrypted query processing, in: pro- ceedings of the twenty-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third ACM symposium on operating sys- tems principles. In: SOSP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11, ACM, New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York, NY, USA; 2011. p. 85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100.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9" w:history="1">
          <w:r>
            <w:rPr>
              <w:rStyle w:val="Hyperlink"/>
            </w:rPr>
            <w:t>https://doi.org/10.1145/2043556.2043566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240" w:lineRule="auto" w:before="0" w:after="0"/>
        <w:ind w:left="330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http://doi.acm.org/10.1145/2043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 xml:space="preserve">556.2043566. </w:t>
          </w:r>
        </w:hyperlink>
      </w:r>
    </w:p>
    <w:p>
      <w:pPr>
        <w:autoSpaceDN w:val="0"/>
        <w:tabs>
          <w:tab w:pos="330" w:val="left"/>
        </w:tabs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[37] Tetali SD, Lesani M, Majumdar R, Millstein T. MrCrypt: static anal- ysis for secure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cloud computations, in: proceedings of the 2013 ACM SIGPLAN international </w:t>
      </w:r>
    </w:p>
    <w:p>
      <w:pPr>
        <w:sectPr>
          <w:type w:val="continuous"/>
          <w:pgSz w:w="11906" w:h="15874"/>
          <w:pgMar w:top="336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5122" w:space="0"/>
            <w:col w:w="5348" w:space="0"/>
            <w:col w:w="10470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6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8</w:t>
      </w:r>
    </w:p>
    <w:sectPr w:rsidR="00FC693F" w:rsidRPr="0006063C" w:rsidSect="00034616">
      <w:type w:val="nextColumn"/>
      <w:pgSz w:w="11906" w:h="15874"/>
      <w:pgMar w:top="336" w:right="720" w:bottom="288" w:left="752" w:header="720" w:footer="720" w:gutter="0"/>
      <w:cols w:space="720" w:num="2" w:equalWidth="0">
        <w:col w:w="5096" w:space="0"/>
        <w:col w:w="5338" w:space="0"/>
        <w:col w:w="10433" w:space="0"/>
        <w:col w:w="5120" w:space="0"/>
        <w:col w:w="5348" w:space="0"/>
        <w:col w:w="10468" w:space="0"/>
        <w:col w:w="5120" w:space="0"/>
        <w:col w:w="5348" w:space="0"/>
        <w:col w:w="10468" w:space="0"/>
        <w:col w:w="5122" w:space="0"/>
        <w:col w:w="5348" w:space="0"/>
        <w:col w:w="10470" w:space="0"/>
        <w:col w:w="5120" w:space="0"/>
        <w:col w:w="5348" w:space="0"/>
        <w:col w:w="10468" w:space="0"/>
        <w:col w:w="5122" w:space="0"/>
        <w:col w:w="5348" w:space="0"/>
        <w:col w:w="10470" w:space="0"/>
        <w:col w:w="5120" w:space="0"/>
        <w:col w:w="5348" w:space="0"/>
        <w:col w:w="10468" w:space="0"/>
        <w:col w:w="10484" w:space="0"/>
        <w:col w:w="5240" w:space="0"/>
        <w:col w:w="5244" w:space="0"/>
        <w:col w:w="1048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1.100118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sciencedirect.com/journal/array" TargetMode="External"/><Relationship Id="rId13" Type="http://schemas.openxmlformats.org/officeDocument/2006/relationships/hyperlink" Target="mailto:lars.brenna@uit.no" TargetMode="External"/><Relationship Id="rId14" Type="http://schemas.openxmlformats.org/officeDocument/2006/relationships/hyperlink" Target="mailto:larslars.brenna@gmail.com" TargetMode="External"/><Relationship Id="rId15" Type="http://schemas.openxmlformats.org/officeDocument/2006/relationships/hyperlink" Target="http://creativecommons.org/licenses/by/4.0/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s://crates.io/crates/serde" TargetMode="External"/><Relationship Id="rId18" Type="http://schemas.openxmlformats.org/officeDocument/2006/relationships/hyperlink" Target="https://serde.rs/" TargetMode="External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hyperlink" Target="https://github.com/koute/memory-profiler" TargetMode="External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hyperlink" Target="http://refhub.elsevier.com/S2590-0056(21)00056-4/sref23" TargetMode="External"/><Relationship Id="rId47" Type="http://schemas.openxmlformats.org/officeDocument/2006/relationships/hyperlink" Target="https://doi.org/10.1007/s00145-019-09319-x" TargetMode="External"/><Relationship Id="rId48" Type="http://schemas.openxmlformats.org/officeDocument/2006/relationships/hyperlink" Target="http://refhub.elsevier.com/S2590-0056(21)00056-4/sref25" TargetMode="External"/><Relationship Id="rId49" Type="http://schemas.openxmlformats.org/officeDocument/2006/relationships/hyperlink" Target="http://refhub.elsevier.com/S2590-0056(21)00056-4/sref26" TargetMode="External"/><Relationship Id="rId50" Type="http://schemas.openxmlformats.org/officeDocument/2006/relationships/hyperlink" Target="https://eprint.iacr.org/2011/277" TargetMode="External"/><Relationship Id="rId51" Type="http://schemas.openxmlformats.org/officeDocument/2006/relationships/hyperlink" Target="http://refhub.elsevier.com/S2590-0056(21)00056-4/sref28" TargetMode="External"/><Relationship Id="rId52" Type="http://schemas.openxmlformats.org/officeDocument/2006/relationships/hyperlink" Target="http://refhub.elsevier.com/S2590-0056(21)00056-4/sref29" TargetMode="External"/><Relationship Id="rId53" Type="http://schemas.openxmlformats.org/officeDocument/2006/relationships/hyperlink" Target="https://doi.org/10.1109/SFCS.1982.88" TargetMode="External"/><Relationship Id="rId54" Type="http://schemas.openxmlformats.org/officeDocument/2006/relationships/hyperlink" Target="http://refhub.elsevier.com/S2590-0056(21)00056-4/sref31" TargetMode="External"/><Relationship Id="rId55" Type="http://schemas.openxmlformats.org/officeDocument/2006/relationships/hyperlink" Target="http://refhub.elsevier.com/S2590-0056(21)00056-4/sref32" TargetMode="External"/><Relationship Id="rId56" Type="http://schemas.openxmlformats.org/officeDocument/2006/relationships/hyperlink" Target="http://refhub.elsevier.com/S2590-0056(21)00056-4/sref33" TargetMode="External"/><Relationship Id="rId57" Type="http://schemas.openxmlformats.org/officeDocument/2006/relationships/hyperlink" Target="https://eprint.iacr.org/2019/116" TargetMode="External"/><Relationship Id="rId58" Type="http://schemas.openxmlformats.org/officeDocument/2006/relationships/hyperlink" Target="http://refhub.elsevier.com/S2590-0056(21)00056-4/sref35" TargetMode="External"/><Relationship Id="rId59" Type="http://schemas.openxmlformats.org/officeDocument/2006/relationships/hyperlink" Target="https://doi.org/10.1145/2043556.20435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