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572770</wp:posOffset>
            </wp:positionV>
            <wp:extent cx="327660" cy="32459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459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571500</wp:posOffset>
            </wp:positionV>
            <wp:extent cx="406400" cy="419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41"/>
        <w:gridCol w:w="3241"/>
        <w:gridCol w:w="3241"/>
      </w:tblGrid>
      <w:tr>
        <w:trPr>
          <w:trHeight w:hRule="exact" w:val="25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7 ( 2014 )  20 – 25 </w:t>
            </w:r>
          </w:p>
        </w:tc>
        <w:tc>
          <w:tcPr>
            <w:tcW w:type="dxa" w:w="32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57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 2nd AASRI Conference on Power and Energy Systems </w:t>
      </w:r>
    </w:p>
    <w:p>
      <w:pPr>
        <w:autoSpaceDN w:val="0"/>
        <w:autoSpaceDE w:val="0"/>
        <w:widowControl/>
        <w:spacing w:line="230" w:lineRule="auto" w:before="26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Trading with Renewable Energy Sources in Slovakia </w:t>
      </w:r>
    </w:p>
    <w:p>
      <w:pPr>
        <w:autoSpaceDN w:val="0"/>
        <w:autoSpaceDE w:val="0"/>
        <w:widowControl/>
        <w:spacing w:line="233" w:lineRule="auto" w:before="2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Adriana Csikosova*, Maria Antosova, Katarina Culkova</w:t>
      </w:r>
    </w:p>
    <w:p>
      <w:pPr>
        <w:autoSpaceDN w:val="0"/>
        <w:autoSpaceDE w:val="0"/>
        <w:widowControl/>
        <w:spacing w:line="17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Technical university of Košice, Faculty BERG, Park Komenského 19, 042 01 Košice, Slovakia </w:t>
      </w:r>
    </w:p>
    <w:p>
      <w:pPr>
        <w:autoSpaceDN w:val="0"/>
        <w:autoSpaceDE w:val="0"/>
        <w:widowControl/>
        <w:spacing w:line="204" w:lineRule="exact" w:before="954" w:after="0"/>
        <w:ind w:left="41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34" w:after="148"/>
        <w:ind w:left="416" w:right="4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We can discuss about renewable energy sources from various points of view and with orientation to the various partial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problematic. Extent of the contribution no way allows approaching the problematic in its whole complexity. In spite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this we will look at one of its side, mainly trading with renewable energy sources (RES) in area of electrical engineering.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Goal of the contribution is to search main factors, influencing trading with chosen RES in Slovakian energetic market with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closer orientation to the market with electricity, where influencing factors present energetic legislation, system of support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for electricity production from RES, price regulation, final price of electricity with tariff of system’s service.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723"/>
      </w:tblGrid>
      <w:tr>
        <w:trPr>
          <w:trHeight w:hRule="exact" w:val="60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© 2014 The Authors. Published by Elsevier B. V.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Open access under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© 2013 Published by Elsevier B.V.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Peer-review under responsibility of Scientific Committee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Selection and/or peer review under responsibility of American Applied Science Research Institute </w:t>
            </w:r>
          </w:p>
        </w:tc>
      </w:tr>
    </w:tbl>
    <w:p>
      <w:pPr>
        <w:autoSpaceDN w:val="0"/>
        <w:autoSpaceDE w:val="0"/>
        <w:widowControl/>
        <w:spacing w:line="176" w:lineRule="exact" w:before="194" w:after="0"/>
        <w:ind w:left="41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Renewable energy sources, market with electricity, energetic legislation, support tools at RES market </w:t>
      </w:r>
    </w:p>
    <w:p>
      <w:pPr>
        <w:autoSpaceDN w:val="0"/>
        <w:autoSpaceDE w:val="0"/>
        <w:widowControl/>
        <w:spacing w:line="228" w:lineRule="exact" w:before="468" w:after="0"/>
        <w:ind w:left="41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52" w:after="0"/>
        <w:ind w:left="416" w:right="40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Renewable energy sources (RES) became in last time one of the main theme during discussions about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energetic. Goals of European Union to 2020 had become one of the impulses for their gradual dominance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 interviews, among which we can speak about goal to achieve 20% rate of RES on energetic mix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2020. Electricity production from RES is one of the particular forms of electricity production that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preferred access, guaranteed by legislation and connection to the system, as well as preferred transition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 and taking of produced electricity that serves for covering of losses in distribution system (BNSR, </w:t>
      </w:r>
    </w:p>
    <w:p>
      <w:pPr>
        <w:autoSpaceDN w:val="0"/>
        <w:autoSpaceDE w:val="0"/>
        <w:widowControl/>
        <w:spacing w:line="200" w:lineRule="exact" w:before="746" w:after="0"/>
        <w:ind w:left="656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+421-55-602-2929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adriana.csikosova@tuke.sk </w:t>
      </w:r>
    </w:p>
    <w:p>
      <w:pPr>
        <w:autoSpaceDN w:val="0"/>
        <w:autoSpaceDE w:val="0"/>
        <w:widowControl/>
        <w:spacing w:line="200" w:lineRule="exact" w:before="1834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Open access under</w:t>
      </w:r>
      <w:r>
        <w:rPr>
          <w:rFonts w:ascii="TimesNewRomanPSMT" w:hAnsi="TimesNewRomanPSMT" w:eastAsia="TimesNewRomanPSMT"/>
          <w:b w:val="0"/>
          <w:i w:val="0"/>
          <w:color w:val="0000FF"/>
          <w:sz w:val="1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14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10.1016/j.aasri.2014.05.023 </w:t>
      </w:r>
    </w:p>
    <w:p>
      <w:pPr>
        <w:sectPr>
          <w:pgSz w:w="10885" w:h="14854"/>
          <w:pgMar w:top="438" w:right="590" w:bottom="2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40" w:val="left"/>
        </w:tabs>
        <w:autoSpaceDE w:val="0"/>
        <w:widowControl/>
        <w:spacing w:line="176" w:lineRule="exact" w:before="0" w:after="0"/>
        <w:ind w:left="27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Adriana Csikosova et al. /  AASRI Procedia  7 ( 2014 )  20 – 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</w:t>
      </w:r>
    </w:p>
    <w:p>
      <w:pPr>
        <w:autoSpaceDN w:val="0"/>
        <w:autoSpaceDE w:val="0"/>
        <w:widowControl/>
        <w:spacing w:line="228" w:lineRule="auto" w:before="440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2012). </w:t>
      </w:r>
    </w:p>
    <w:p>
      <w:pPr>
        <w:autoSpaceDN w:val="0"/>
        <w:autoSpaceDE w:val="0"/>
        <w:widowControl/>
        <w:spacing w:line="228" w:lineRule="exact" w:before="260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Slovak market with electricity produced from RES </w:t>
      </w:r>
    </w:p>
    <w:p>
      <w:pPr>
        <w:autoSpaceDN w:val="0"/>
        <w:autoSpaceDE w:val="0"/>
        <w:widowControl/>
        <w:spacing w:line="247" w:lineRule="auto" w:before="250" w:after="0"/>
        <w:ind w:left="192" w:right="43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Production of electricity from RES is one of the special forms of electric energy production that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guaranteed and preferred access and connection to the system, preferred transition or distribution, as well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takes off produced electricity that serves for covering of losses in distribution system. Electricity, produced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RES is using for covering of losses in regional distribution systems for fixed prices, given by Bureau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 sector regulation (BNSRS) decree. Difference among fix prices of electricity and market prices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electricity on losses is paid to operator of distribution system through tariff of system’s service. Determination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accreditation of ways, processes and conditions of prices creation for electricity production from RES is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hand of BNSR that is organ of state administration of price regulation in net sector together with Council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regulation (Tauš, Taušová, 2009). </w:t>
      </w:r>
    </w:p>
    <w:p>
      <w:pPr>
        <w:autoSpaceDN w:val="0"/>
        <w:autoSpaceDE w:val="0"/>
        <w:widowControl/>
        <w:spacing w:line="247" w:lineRule="auto" w:before="18" w:after="0"/>
        <w:ind w:left="192" w:right="438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Slovakia, similarly as in majority of EU membership states there are used regulating processes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revived RES market. In 2009 method of price roof started to be used instead of revenue method, or so-called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“revenue cap”. Method of price roof is considered as “price cap, by which stabilization of prices during whole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regulating period is achieved with considering of new investments to net industry in electro energetic and gas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industry (BNSR, 2010). </w:t>
      </w:r>
    </w:p>
    <w:p>
      <w:pPr>
        <w:autoSpaceDN w:val="0"/>
        <w:autoSpaceDE w:val="0"/>
        <w:widowControl/>
        <w:spacing w:line="238" w:lineRule="exact" w:before="8" w:after="0"/>
        <w:ind w:left="190" w:right="44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of the possible supporting of production of electricity from RES means </w:t>
      </w:r>
      <w:r>
        <w:rPr>
          <w:rFonts w:ascii="Times" w:hAnsi="Times" w:eastAsia="Times"/>
          <w:b/>
          <w:i/>
          <w:color w:val="000000"/>
          <w:sz w:val="20"/>
        </w:rPr>
        <w:t>providing of surcharge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produced electric energy from RES (</w:t>
      </w:r>
      <w:r>
        <w:rPr>
          <w:rFonts w:ascii="Times" w:hAnsi="Times" w:eastAsia="Times"/>
          <w:b/>
          <w:i/>
          <w:color w:val="000000"/>
          <w:sz w:val="20"/>
        </w:rPr>
        <w:t>so-called green bonus, surplus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In spite official conception of “green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bonus” is not used in Slovakia, its principle means producer sales produced electricity to final client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businessman with electricity, and moreover he has right to cash from operator of regional distribution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green bonuses. Such system started to be applied in Slovakia by acceptance of amending act No. 309/2009 Z.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z. about RES support and highly effective combined production. </w:t>
      </w:r>
    </w:p>
    <w:p>
      <w:pPr>
        <w:autoSpaceDN w:val="0"/>
        <w:autoSpaceDE w:val="0"/>
        <w:widowControl/>
        <w:spacing w:line="236" w:lineRule="exact" w:before="10" w:after="0"/>
        <w:ind w:left="190" w:right="438" w:firstLine="238"/>
        <w:jc w:val="both"/>
      </w:pPr>
      <w:r>
        <w:rPr>
          <w:rFonts w:ascii="Times" w:hAnsi="Times" w:eastAsia="Times"/>
          <w:b/>
          <w:i/>
          <w:color w:val="000000"/>
          <w:sz w:val="20"/>
        </w:rPr>
        <w:t xml:space="preserve">New price of electricity,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determined by BNSR for following period (not more then 3 years) </w:t>
      </w:r>
      <w:r>
        <w:rPr>
          <w:rFonts w:ascii="Times" w:hAnsi="Times" w:eastAsia="Times"/>
          <w:b/>
          <w:i/>
          <w:color w:val="000000"/>
          <w:sz w:val="20"/>
        </w:rPr>
        <w:t xml:space="preserve">cannot be less </w:t>
      </w:r>
      <w:r>
        <w:rPr>
          <w:rFonts w:ascii="Times" w:hAnsi="Times" w:eastAsia="Times"/>
          <w:b/>
          <w:i/>
          <w:color w:val="000000"/>
          <w:sz w:val="20"/>
        </w:rPr>
        <w:t xml:space="preserve">then 90 % of price, relevant in running period.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establishment is not relating to the determination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electric energy price for equipment of electricity producer, using solar or wind energy (Law No. 309/2009). </w:t>
      </w:r>
    </w:p>
    <w:p>
      <w:pPr>
        <w:autoSpaceDN w:val="0"/>
        <w:autoSpaceDE w:val="0"/>
        <w:widowControl/>
        <w:spacing w:line="245" w:lineRule="auto" w:before="18" w:after="0"/>
        <w:ind w:left="190" w:right="43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Table 1 summarizes construction of electricity price for electricity, produced from RES, which consists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price of electricity on loss and surcharge. At the same time table 1 illustrates way of calculation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individual items and specification of correspondent paragraph of Law No. 309/2009 Z. z. about RES support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highly effective combined production, to which all correspondent items relate. </w:t>
      </w:r>
    </w:p>
    <w:p>
      <w:pPr>
        <w:autoSpaceDN w:val="0"/>
        <w:autoSpaceDE w:val="0"/>
        <w:widowControl/>
        <w:spacing w:line="230" w:lineRule="auto" w:before="222" w:after="244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Price of electricity, produced from 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1905"/>
        <w:gridCol w:w="1905"/>
        <w:gridCol w:w="1905"/>
        <w:gridCol w:w="1905"/>
        <w:gridCol w:w="1905"/>
      </w:tblGrid>
      <w:tr>
        <w:trPr>
          <w:trHeight w:hRule="exact" w:val="380"/>
        </w:trPr>
        <w:tc>
          <w:tcPr>
            <w:tcW w:type="dxa" w:w="255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Price of electricity from RES </w:t>
            </w:r>
          </w:p>
        </w:tc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Price of electricity for covering of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losses</w:t>
            </w:r>
          </w:p>
        </w:tc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Surcharge</w:t>
            </w:r>
          </w:p>
        </w:tc>
      </w:tr>
      <w:tr>
        <w:trPr>
          <w:trHeight w:hRule="exact" w:val="356"/>
        </w:trPr>
        <w:tc>
          <w:tcPr>
            <w:tcW w:type="dxa" w:w="255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§ 6 article 1a) Law No. 309/2009 Z.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z.</w:t>
            </w:r>
          </w:p>
        </w:tc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§ 6 article 1b) Law No. 309/2009 Z.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z. </w:t>
            </w:r>
          </w:p>
        </w:tc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§ 6 article 1c) Law No. 309/2009 Z. z.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40" w:bottom="1440" w:left="818" w:header="720" w:footer="720" w:gutter="0"/>
          <w:cols w:space="720" w:num="1" w:equalWidth="0">
            <w:col w:w="952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22"/>
        <w:gridCol w:w="4822"/>
      </w:tblGrid>
      <w:tr>
        <w:trPr>
          <w:trHeight w:hRule="exact" w:val="240"/>
        </w:trPr>
        <w:tc>
          <w:tcPr>
            <w:tcW w:type="dxa" w:w="1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5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Adriana Csikosova et al. /  AASRI Procedia  7 ( 2014 )  20 – 25 </w:t>
            </w:r>
          </w:p>
        </w:tc>
      </w:tr>
    </w:tbl>
    <w:p>
      <w:pPr>
        <w:autoSpaceDN w:val="0"/>
        <w:autoSpaceDE w:val="0"/>
        <w:widowControl/>
        <w:spacing w:line="3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3.9999999999999" w:type="dxa"/>
      </w:tblPr>
      <w:tblGrid>
        <w:gridCol w:w="1929"/>
        <w:gridCol w:w="1929"/>
        <w:gridCol w:w="1929"/>
        <w:gridCol w:w="1929"/>
        <w:gridCol w:w="1929"/>
      </w:tblGrid>
      <w:tr>
        <w:trPr>
          <w:trHeight w:hRule="exact" w:val="2674"/>
        </w:trPr>
        <w:tc>
          <w:tcPr>
            <w:tcW w:type="dxa" w:w="255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Approved or defined by  ÚRSO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according § 12 article 1a) Law No.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276/2001 Z. z. about regulation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net industry and about change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completion of some legislation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according later decrees </w:t>
            </w:r>
          </w:p>
        </w:tc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=</w:t>
            </w:r>
          </w:p>
        </w:tc>
        <w:tc>
          <w:tcPr>
            <w:tcW w:type="dxa" w:w="2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Arithmetical average of electricity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prices for covering of losses for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operators of regional distribution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systems (approved or defined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BNSR) </w:t>
            </w:r>
          </w:p>
        </w:tc>
        <w:tc>
          <w:tcPr>
            <w:tcW w:type="dxa" w:w="4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+</w:t>
            </w:r>
          </w:p>
        </w:tc>
        <w:tc>
          <w:tcPr>
            <w:tcW w:type="dxa" w:w="29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9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Difference between electricity price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price of electricity for losses that operator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regional distribution system pays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electricity producer, where equipment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electricity producer is connected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system, or it is existing at the limited area </w:t>
            </w:r>
          </w:p>
        </w:tc>
      </w:tr>
    </w:tbl>
    <w:p>
      <w:pPr>
        <w:autoSpaceDN w:val="0"/>
        <w:autoSpaceDE w:val="0"/>
        <w:widowControl/>
        <w:spacing w:line="230" w:lineRule="auto" w:before="218" w:after="0"/>
        <w:ind w:left="3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Source: Law No 309/20009 Z. z. </w:t>
      </w:r>
    </w:p>
    <w:p>
      <w:pPr>
        <w:autoSpaceDN w:val="0"/>
        <w:tabs>
          <w:tab w:pos="544" w:val="left"/>
        </w:tabs>
        <w:autoSpaceDE w:val="0"/>
        <w:widowControl/>
        <w:spacing w:line="245" w:lineRule="auto" w:before="260" w:after="0"/>
        <w:ind w:left="308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Following table 2 illustrates prices of electricity, produced from chosen RES, mainly small hydroelectric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plant, solar energy, wind energy and biomass. </w:t>
      </w:r>
    </w:p>
    <w:p>
      <w:pPr>
        <w:autoSpaceDN w:val="0"/>
        <w:autoSpaceDE w:val="0"/>
        <w:widowControl/>
        <w:spacing w:line="230" w:lineRule="auto" w:before="222" w:after="246"/>
        <w:ind w:left="3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2. Review of purchase prices of electricity from RES in Slovakia in 2013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2.0" w:type="dxa"/>
      </w:tblPr>
      <w:tblGrid>
        <w:gridCol w:w="3215"/>
        <w:gridCol w:w="3215"/>
        <w:gridCol w:w="3215"/>
      </w:tblGrid>
      <w:tr>
        <w:trPr>
          <w:trHeight w:hRule="exact" w:val="632"/>
        </w:trPr>
        <w:tc>
          <w:tcPr>
            <w:tcW w:type="dxa" w:w="3952"/>
            <w:tcBorders>
              <w:start w:sz="7.199999999999989" w:val="single" w:color="#000000"/>
              <w:top w:sz="8.0" w:val="single" w:color="#000000"/>
              <w:end w:sz="8.0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Source </w:t>
            </w:r>
          </w:p>
        </w:tc>
        <w:tc>
          <w:tcPr>
            <w:tcW w:type="dxa" w:w="3272"/>
            <w:tcBorders>
              <w:start w:sz="8.0" w:val="single" w:color="#000000"/>
              <w:top w:sz="8.0" w:val="single" w:color="#000000"/>
              <w:end w:sz="7.199999999999818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2"/>
            <w:tcBorders>
              <w:start w:sz="7.199999999999818" w:val="single" w:color="#000000"/>
              <w:top w:sz="8.0" w:val="single" w:color="#000000"/>
              <w:end w:sz="8.0" w:val="single" w:color="#000000"/>
              <w:bottom w:sz="17.600000000000364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144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Purchase prices in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€/MWh</w:t>
            </w:r>
          </w:p>
        </w:tc>
      </w:tr>
      <w:tr>
        <w:trPr>
          <w:trHeight w:hRule="exact" w:val="332"/>
        </w:trPr>
        <w:tc>
          <w:tcPr>
            <w:tcW w:type="dxa" w:w="3952"/>
            <w:vMerge w:val="restart"/>
            <w:tcBorders>
              <w:start w:sz="7.199999999999989" w:val="single" w:color="#000000"/>
              <w:top w:sz="17.600000000000364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0" w:after="0"/>
              <w:ind w:left="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Water energy with total installed capacity of electricity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producer’s equipment </w:t>
            </w:r>
          </w:p>
        </w:tc>
        <w:tc>
          <w:tcPr>
            <w:tcW w:type="dxa" w:w="3272"/>
            <w:tcBorders>
              <w:start w:sz="8.0" w:val="single" w:color="#000000"/>
              <w:top w:sz="17.600000000000364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1 MW including </w:t>
            </w:r>
          </w:p>
        </w:tc>
        <w:tc>
          <w:tcPr>
            <w:tcW w:type="dxa" w:w="1612"/>
            <w:tcBorders>
              <w:start w:sz="7.199999999999818" w:val="single" w:color="#000000"/>
              <w:top w:sz="17.600000000000364" w:val="single" w:color="#000000"/>
              <w:end w:sz="8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109,80</w:t>
            </w:r>
          </w:p>
        </w:tc>
      </w:tr>
      <w:tr>
        <w:trPr>
          <w:trHeight w:hRule="exact" w:val="320"/>
        </w:trPr>
        <w:tc>
          <w:tcPr>
            <w:tcW w:type="dxa" w:w="3215"/>
            <w:vMerge/>
            <w:tcBorders>
              <w:start w:sz="7.199999999999989" w:val="single" w:color="#000000"/>
              <w:top w:sz="17.600000000000364" w:val="single" w:color="#000000"/>
              <w:end w:sz="8.0" w:val="single" w:color="#000000"/>
              <w:bottom w:sz="7.200000000000273" w:val="single" w:color="#000000"/>
            </w:tcBorders>
          </w:tcPr>
          <w:p/>
        </w:tc>
        <w:tc>
          <w:tcPr>
            <w:tcW w:type="dxa" w:w="327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from 1 MW to 5 MW including </w:t>
            </w:r>
          </w:p>
        </w:tc>
        <w:tc>
          <w:tcPr>
            <w:tcW w:type="dxa" w:w="161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97,98</w:t>
            </w:r>
          </w:p>
        </w:tc>
      </w:tr>
      <w:tr>
        <w:trPr>
          <w:trHeight w:hRule="exact" w:val="320"/>
        </w:trPr>
        <w:tc>
          <w:tcPr>
            <w:tcW w:type="dxa" w:w="3215"/>
            <w:vMerge/>
            <w:tcBorders>
              <w:start w:sz="7.199999999999989" w:val="single" w:color="#000000"/>
              <w:top w:sz="17.600000000000364" w:val="single" w:color="#000000"/>
              <w:end w:sz="8.0" w:val="single" w:color="#000000"/>
              <w:bottom w:sz="7.200000000000273" w:val="single" w:color="#000000"/>
            </w:tcBorders>
          </w:tcPr>
          <w:p/>
        </w:tc>
        <w:tc>
          <w:tcPr>
            <w:tcW w:type="dxa" w:w="3272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over 5 MW </w:t>
            </w:r>
          </w:p>
        </w:tc>
        <w:tc>
          <w:tcPr>
            <w:tcW w:type="dxa" w:w="1612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61,72</w:t>
            </w:r>
          </w:p>
        </w:tc>
      </w:tr>
      <w:tr>
        <w:trPr>
          <w:trHeight w:hRule="exact" w:val="762"/>
        </w:trPr>
        <w:tc>
          <w:tcPr>
            <w:tcW w:type="dxa" w:w="7224"/>
            <w:gridSpan w:val="2"/>
            <w:tcBorders>
              <w:start w:sz="7.199999999999989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0" w:after="0"/>
              <w:ind w:left="9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Solar energy with total installed capacity of electricity producer’s equipment to 100 kW that is placed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roof construction or circuit covering of one building, connected with earth by fix basis </w:t>
            </w:r>
          </w:p>
        </w:tc>
        <w:tc>
          <w:tcPr>
            <w:tcW w:type="dxa" w:w="1612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2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119,11</w:t>
            </w:r>
          </w:p>
        </w:tc>
      </w:tr>
      <w:tr>
        <w:trPr>
          <w:trHeight w:hRule="exact" w:val="318"/>
        </w:trPr>
        <w:tc>
          <w:tcPr>
            <w:tcW w:type="dxa" w:w="7224"/>
            <w:gridSpan w:val="2"/>
            <w:tcBorders>
              <w:start w:sz="7.199999999999989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Wind energy </w:t>
            </w:r>
          </w:p>
        </w:tc>
        <w:tc>
          <w:tcPr>
            <w:tcW w:type="dxa" w:w="161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79,29</w:t>
            </w:r>
          </w:p>
        </w:tc>
      </w:tr>
      <w:tr>
        <w:trPr>
          <w:trHeight w:hRule="exact" w:val="322"/>
        </w:trPr>
        <w:tc>
          <w:tcPr>
            <w:tcW w:type="dxa" w:w="3952"/>
            <w:vMerge w:val="restart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2" w:after="0"/>
              <w:ind w:left="9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Common burning or common burning by combined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production: </w:t>
            </w:r>
          </w:p>
        </w:tc>
        <w:tc>
          <w:tcPr>
            <w:tcW w:type="dxa" w:w="3272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 deliberately cultivated biomass </w:t>
            </w:r>
          </w:p>
        </w:tc>
        <w:tc>
          <w:tcPr>
            <w:tcW w:type="dxa" w:w="1612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112,24</w:t>
            </w:r>
          </w:p>
        </w:tc>
      </w:tr>
      <w:tr>
        <w:trPr>
          <w:trHeight w:hRule="exact" w:val="320"/>
        </w:trPr>
        <w:tc>
          <w:tcPr>
            <w:tcW w:type="dxa" w:w="3215"/>
            <w:vMerge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327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 other waste biomass </w:t>
            </w:r>
          </w:p>
        </w:tc>
        <w:tc>
          <w:tcPr>
            <w:tcW w:type="dxa" w:w="1612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122,64</w:t>
            </w:r>
          </w:p>
        </w:tc>
      </w:tr>
      <w:tr>
        <w:trPr>
          <w:trHeight w:hRule="exact" w:val="318"/>
        </w:trPr>
        <w:tc>
          <w:tcPr>
            <w:tcW w:type="dxa" w:w="3215"/>
            <w:vMerge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327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 corny straw </w:t>
            </w:r>
          </w:p>
        </w:tc>
        <w:tc>
          <w:tcPr>
            <w:tcW w:type="dxa" w:w="1612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154,27</w:t>
            </w:r>
          </w:p>
        </w:tc>
      </w:tr>
      <w:tr>
        <w:trPr>
          <w:trHeight w:hRule="exact" w:val="322"/>
        </w:trPr>
        <w:tc>
          <w:tcPr>
            <w:tcW w:type="dxa" w:w="3215"/>
            <w:vMerge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3272"/>
            <w:tcBorders>
              <w:start w:sz="8.0" w:val="single" w:color="#000000"/>
              <w:top w:sz="7.200000000000273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4. bio liquid </w:t>
            </w:r>
          </w:p>
        </w:tc>
        <w:tc>
          <w:tcPr>
            <w:tcW w:type="dxa" w:w="1612"/>
            <w:tcBorders>
              <w:start w:sz="7.199999999999818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115,01</w:t>
            </w:r>
          </w:p>
        </w:tc>
      </w:tr>
    </w:tbl>
    <w:p>
      <w:pPr>
        <w:autoSpaceDN w:val="0"/>
        <w:autoSpaceDE w:val="0"/>
        <w:widowControl/>
        <w:spacing w:line="230" w:lineRule="auto" w:before="218" w:after="0"/>
        <w:ind w:left="3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Source: Announcement BNSR NO. 184/2012 </w:t>
      </w:r>
    </w:p>
    <w:p>
      <w:pPr>
        <w:autoSpaceDN w:val="0"/>
        <w:autoSpaceDE w:val="0"/>
        <w:widowControl/>
        <w:spacing w:line="247" w:lineRule="auto" w:before="260" w:after="0"/>
        <w:ind w:left="308" w:right="44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Except of undeniable convenience of system for purchase prices by guarantee of investors stability,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brings also several risks, mainly considerable increasing of final price of electricity. In spite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developing competition on market in area of electricity sale partially decreases final price of electricity,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height is considerably influenced by tariff of system’s operation. Growth of tariff price during last period had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characteristic mainly due to the RES support, meanwhile greatest part of support belong to photovoltaic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power plants. </w:t>
      </w:r>
    </w:p>
    <w:p>
      <w:pPr>
        <w:sectPr>
          <w:pgSz w:w="10885" w:h="14854"/>
          <w:pgMar w:top="368" w:right="588" w:bottom="1440" w:left="652" w:header="720" w:footer="720" w:gutter="0"/>
          <w:cols w:space="720" w:num="1" w:equalWidth="0">
            <w:col w:w="9646" w:space="0"/>
            <w:col w:w="952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3200400</wp:posOffset>
            </wp:positionV>
            <wp:extent cx="3670300" cy="20447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044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84" w:val="left"/>
        </w:tabs>
        <w:autoSpaceDE w:val="0"/>
        <w:widowControl/>
        <w:spacing w:line="176" w:lineRule="exact" w:before="0" w:after="0"/>
        <w:ind w:left="26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Adriana Csikosova et al. /  AASRI Procedia  7 ( 2014 )  20 – 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</w:t>
      </w:r>
    </w:p>
    <w:p>
      <w:pPr>
        <w:autoSpaceDN w:val="0"/>
        <w:autoSpaceDE w:val="0"/>
        <w:widowControl/>
        <w:spacing w:line="228" w:lineRule="exact" w:before="426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Support tools on RES market </w:t>
      </w:r>
    </w:p>
    <w:p>
      <w:pPr>
        <w:autoSpaceDN w:val="0"/>
        <w:autoSpaceDE w:val="0"/>
        <w:widowControl/>
        <w:spacing w:line="245" w:lineRule="auto" w:before="252" w:after="0"/>
        <w:ind w:left="192" w:right="3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 market is given by demand and supply. Supply consists from supplement and costs of RES and it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defined in investment and production phase of given project, orientated to RES using. On the other hand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demand on RES is stimulated by tools, orientated to consumption. </w:t>
      </w:r>
    </w:p>
    <w:p>
      <w:pPr>
        <w:autoSpaceDN w:val="0"/>
        <w:autoSpaceDE w:val="0"/>
        <w:widowControl/>
        <w:spacing w:line="245" w:lineRule="auto" w:before="18" w:after="0"/>
        <w:ind w:left="192" w:right="3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Next relations can be observed among price and volume. One group of tools has influence to the 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prices, or it strikes for easy trading with RES on market by price surcharges, the other group has legal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characteristic and it prescribes minimal volume of energy, produced from RES that has to be produced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consumed (Dijk 2003). </w:t>
      </w:r>
    </w:p>
    <w:p>
      <w:pPr>
        <w:autoSpaceDN w:val="0"/>
        <w:tabs>
          <w:tab w:pos="430" w:val="left"/>
        </w:tabs>
        <w:autoSpaceDE w:val="0"/>
        <w:widowControl/>
        <w:spacing w:line="245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Intensity of RES development in individual EU states is rather different. It depends partially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geographical place and natural givenness of the country, but mainly on power of supportive tools applying. </w:t>
      </w:r>
    </w:p>
    <w:p>
      <w:pPr>
        <w:autoSpaceDN w:val="0"/>
        <w:autoSpaceDE w:val="0"/>
        <w:widowControl/>
        <w:spacing w:line="245" w:lineRule="auto" w:before="18" w:after="282"/>
        <w:ind w:left="192" w:right="38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Development of support of RES energy production in 2009-2011 is documented by Figure 1, from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results significantly increased RES support in 2011, manifested also at final prices of electricity, meanwhile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biggest rate of electricity production from RES belongs to photovoltaic (illustrated at Figure 2).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9471"/>
      </w:tblGrid>
      <w:tr>
        <w:trPr>
          <w:trHeight w:hRule="exact" w:val="3920"/>
        </w:trPr>
        <w:tc>
          <w:tcPr>
            <w:tcW w:type="dxa" w:w="6554"/>
            <w:tcBorders>
              <w:start w:sz="0.9599999785423279" w:val="single" w:color="#919191"/>
              <w:top w:sz="0.9599999785423279" w:val="single" w:color="#919191"/>
              <w:end w:sz="0.9599999785423279" w:val="single" w:color="#919191"/>
              <w:bottom w:sz="0.9599999785423279" w:val="single" w:color="#9191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36" w:val="left"/>
              </w:tabs>
              <w:autoSpaceDE w:val="0"/>
              <w:widowControl/>
              <w:spacing w:line="257" w:lineRule="auto" w:before="44" w:after="212"/>
              <w:ind w:left="394" w:right="864" w:firstLine="0"/>
              <w:jc w:val="left"/>
            </w:pPr>
            <w:r>
              <w:rPr>
                <w:w w:val="101.65661403111048"/>
                <w:rFonts w:ascii="Calibri" w:hAnsi="Calibri" w:eastAsia="Calibri"/>
                <w:b w:val="0"/>
                <w:i w:val="0"/>
                <w:color w:val="000000"/>
                <w:sz w:val="14"/>
              </w:rPr>
              <w:t xml:space="preserve">16 </w:t>
            </w:r>
            <w:r>
              <w:br/>
            </w:r>
            <w:r>
              <w:tab/>
            </w:r>
            <w:r>
              <w:rPr>
                <w:w w:val="101.65661403111048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0,1093 </w:t>
            </w:r>
            <w:r>
              <w:rPr>
                <w:w w:val="101.65661403111048"/>
                <w:rFonts w:ascii="Calibri" w:hAnsi="Calibri" w:eastAsia="Calibri"/>
                <w:b w:val="0"/>
                <w:i w:val="0"/>
                <w:color w:val="000000"/>
                <w:sz w:val="14"/>
              </w:rPr>
              <w:t xml:space="preserve">14 </w:t>
            </w:r>
            <w:r>
              <w:br/>
            </w:r>
            <w:r>
              <w:tab/>
            </w:r>
            <w:r>
              <w:rPr>
                <w:w w:val="101.65661403111048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3,6934 </w:t>
            </w:r>
            <w:r>
              <w:rPr>
                <w:w w:val="101.65661403111048"/>
                <w:rFonts w:ascii="Calibri" w:hAnsi="Calibri" w:eastAsia="Calibri"/>
                <w:b w:val="0"/>
                <w:i w:val="0"/>
                <w:color w:val="000000"/>
                <w:sz w:val="14"/>
              </w:rPr>
              <w:t>12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1638"/>
              <w:gridCol w:w="1638"/>
              <w:gridCol w:w="1638"/>
              <w:gridCol w:w="1638"/>
            </w:tblGrid>
            <w:tr>
              <w:trPr>
                <w:trHeight w:hRule="exact" w:val="324"/>
              </w:trPr>
              <w:tc>
                <w:tcPr>
                  <w:tcW w:type="dxa" w:w="260"/>
                  <w:vMerge w:val="restart"/>
                  <w:tcBorders/>
                  <w:tcMar>
                    <w:start w:w="0" w:type="dxa"/>
                    <w:end w:w="0" w:type="dxa"/>
                  </w:tcMar>
                  <w:textDirection w:val="btLr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88" w:after="0"/>
                    <w:ind w:left="0" w:right="220" w:firstLine="0"/>
                    <w:jc w:val="right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eur/MWh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60" w:after="0"/>
                    <w:ind w:left="74" w:right="0" w:firstLine="0"/>
                    <w:jc w:val="left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10</w:t>
                  </w:r>
                </w:p>
              </w:tc>
              <w:tc>
                <w:tcPr>
                  <w:tcW w:type="dxa" w:w="25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810" w:after="0"/>
                    <w:ind w:left="0" w:right="732" w:firstLine="0"/>
                    <w:jc w:val="right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0,0777</w:t>
                  </w:r>
                </w:p>
              </w:tc>
              <w:tc>
                <w:tcPr>
                  <w:tcW w:type="dxa" w:w="1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68" w:after="0"/>
                    <w:ind w:left="0" w:right="414" w:firstLine="0"/>
                    <w:jc w:val="right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2,2306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638"/>
                  <w:vMerge/>
                  <w:tcBorders/>
                </w:tcPr>
                <w:p/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134" w:after="0"/>
                    <w:ind w:left="158" w:right="0" w:firstLine="0"/>
                    <w:jc w:val="left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8</w:t>
                  </w:r>
                </w:p>
              </w:tc>
              <w:tc>
                <w:tcPr>
                  <w:tcW w:type="dxa" w:w="1638"/>
                  <w:vMerge/>
                  <w:tcBorders/>
                </w:tcPr>
                <w:p/>
              </w:tc>
              <w:tc>
                <w:tcPr>
                  <w:tcW w:type="dxa" w:w="1638"/>
                  <w:vMerge/>
                  <w:tcBorders/>
                </w:tcPr>
                <w:p/>
              </w:tc>
            </w:tr>
            <w:tr>
              <w:trPr>
                <w:trHeight w:hRule="exact" w:val="324"/>
              </w:trPr>
              <w:tc>
                <w:tcPr>
                  <w:tcW w:type="dxa" w:w="1638"/>
                  <w:vMerge/>
                  <w:tcBorders/>
                </w:tcPr>
                <w:p/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134" w:after="0"/>
                    <w:ind w:left="158" w:right="0" w:firstLine="0"/>
                    <w:jc w:val="left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6</w:t>
                  </w:r>
                </w:p>
              </w:tc>
              <w:tc>
                <w:tcPr>
                  <w:tcW w:type="dxa" w:w="1638"/>
                  <w:vMerge/>
                  <w:tcBorders/>
                </w:tcPr>
                <w:p/>
              </w:tc>
              <w:tc>
                <w:tcPr>
                  <w:tcW w:type="dxa" w:w="1638"/>
                  <w:vMerge/>
                  <w:tcBorders/>
                </w:tcPr>
                <w:p/>
              </w:tc>
            </w:tr>
            <w:tr>
              <w:trPr>
                <w:trHeight w:hRule="exact" w:val="368"/>
              </w:trPr>
              <w:tc>
                <w:tcPr>
                  <w:tcW w:type="dxa" w:w="1638"/>
                  <w:vMerge/>
                  <w:tcBorders/>
                </w:tcPr>
                <w:p/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212" w:after="0"/>
                    <w:ind w:left="158" w:right="0" w:firstLine="0"/>
                    <w:jc w:val="left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4</w:t>
                  </w:r>
                </w:p>
              </w:tc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82" w:after="0"/>
                    <w:ind w:left="0" w:right="732" w:firstLine="0"/>
                    <w:jc w:val="right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3,0969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130" w:after="0"/>
                    <w:ind w:left="0" w:right="414" w:firstLine="0"/>
                    <w:jc w:val="right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8,8048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0" w:lineRule="auto" w:before="24" w:after="6"/>
              <w:ind w:left="1412" w:right="0" w:firstLine="0"/>
              <w:jc w:val="left"/>
            </w:pPr>
            <w:r>
              <w:rPr>
                <w:w w:val="101.65661403111048"/>
                <w:rFonts w:ascii="Calibri" w:hAnsi="Calibri" w:eastAsia="Calibri"/>
                <w:b/>
                <w:i w:val="0"/>
                <w:color w:val="000000"/>
                <w:sz w:val="14"/>
              </w:rPr>
              <w:t>0,0000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655"/>
              <w:gridCol w:w="655"/>
              <w:gridCol w:w="655"/>
              <w:gridCol w:w="655"/>
              <w:gridCol w:w="655"/>
              <w:gridCol w:w="655"/>
              <w:gridCol w:w="655"/>
              <w:gridCol w:w="655"/>
              <w:gridCol w:w="655"/>
              <w:gridCol w:w="655"/>
            </w:tblGrid>
            <w:tr>
              <w:trPr>
                <w:trHeight w:hRule="exact" w:val="292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82" w:after="0"/>
                    <w:ind w:left="0" w:right="0" w:firstLine="0"/>
                    <w:jc w:val="center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2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auto" w:before="160" w:after="0"/>
                    <w:ind w:left="0" w:right="376" w:firstLine="0"/>
                    <w:jc w:val="right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2,2574</w:t>
                  </w:r>
                </w:p>
              </w:tc>
              <w:tc>
                <w:tcPr>
                  <w:tcW w:type="dxa" w:w="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944" w:after="0"/>
                    <w:ind w:left="0" w:right="0" w:firstLine="0"/>
                    <w:jc w:val="center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RES</w:t>
                  </w:r>
                </w:p>
              </w:tc>
              <w:tc>
                <w:tcPr>
                  <w:tcW w:type="dxa" w:w="2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52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" cy="635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944" w:after="0"/>
                    <w:ind w:left="0" w:right="0" w:firstLine="0"/>
                    <w:jc w:val="center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CPEH</w:t>
                  </w:r>
                </w:p>
              </w:tc>
              <w:tc>
                <w:tcPr>
                  <w:tcW w:type="dxa" w:w="6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4" w:after="0"/>
                    <w:ind w:left="0" w:right="0" w:firstLine="0"/>
                    <w:jc w:val="center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1,4073</w:t>
                  </w:r>
                </w:p>
              </w:tc>
              <w:tc>
                <w:tcPr>
                  <w:tcW w:type="dxa" w:w="2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52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" cy="635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944" w:after="0"/>
                    <w:ind w:left="22" w:right="0" w:firstLine="0"/>
                    <w:jc w:val="left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OSME</w:t>
                  </w:r>
                </w:p>
              </w:tc>
              <w:tc>
                <w:tcPr>
                  <w:tcW w:type="dxa" w:w="12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672" w:after="0"/>
                    <w:ind w:left="0" w:right="0" w:firstLine="0"/>
                    <w:jc w:val="center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2011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6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192" w:after="0"/>
                    <w:ind w:left="0" w:right="0" w:firstLine="0"/>
                    <w:jc w:val="center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0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20" w:after="0"/>
                    <w:ind w:left="336" w:right="0" w:firstLine="0"/>
                    <w:jc w:val="left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 xml:space="preserve">0,1161 </w:t>
                  </w: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0,3484</w:t>
                  </w:r>
                </w:p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22" w:after="0"/>
                    <w:ind w:left="0" w:right="0" w:firstLine="0"/>
                    <w:jc w:val="center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1,7022</w:t>
                  </w:r>
                </w:p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</w:tr>
            <w:tr>
              <w:trPr>
                <w:trHeight w:hRule="exact" w:val="160"/>
              </w:trPr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30" w:after="0"/>
                    <w:ind w:left="0" w:right="436" w:firstLine="0"/>
                    <w:jc w:val="right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2009</w:t>
                  </w:r>
                </w:p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30" w:after="0"/>
                    <w:ind w:left="0" w:right="118" w:firstLine="0"/>
                    <w:jc w:val="right"/>
                  </w:pPr>
                  <w:r>
                    <w:rPr>
                      <w:w w:val="101.65661403111048"/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2010</w:t>
                  </w:r>
                </w:p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</w:tr>
            <w:tr>
              <w:trPr>
                <w:trHeight w:hRule="exact" w:val="302"/>
              </w:trPr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60" w:after="0"/>
                    <w:ind w:left="0" w:right="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508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6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508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50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auto" w:before="152" w:after="0"/>
                    <w:ind w:left="0" w:right="0" w:firstLine="0"/>
                    <w:jc w:val="center"/>
                  </w:pPr>
                  <w:r>
                    <w:rPr>
                      <w:w w:val="101.65661403111048"/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PPNO</w:t>
                  </w:r>
                </w:p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  <w:tc>
                <w:tcPr>
                  <w:tcW w:type="dxa" w:w="65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4" w:lineRule="auto" w:before="250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1. Structure of traffic for system’s operation in 2009-2011 (Holjen�ík, 2011) </w:t>
      </w:r>
    </w:p>
    <w:p>
      <w:pPr>
        <w:autoSpaceDN w:val="0"/>
        <w:tabs>
          <w:tab w:pos="912" w:val="left"/>
        </w:tabs>
        <w:autoSpaceDE w:val="0"/>
        <w:widowControl/>
        <w:spacing w:line="245" w:lineRule="auto" w:before="234" w:after="0"/>
        <w:ind w:left="192" w:right="47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Legend: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RES – Renewable energy sources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CPEH – Combined production of electricity and heat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PPNO – power plant Nováky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OSME – Organizations of short term market with energy </w:t>
      </w:r>
    </w:p>
    <w:p>
      <w:pPr>
        <w:sectPr>
          <w:pgSz w:w="10885" w:h="14854"/>
          <w:pgMar w:top="368" w:right="540" w:bottom="1440" w:left="874" w:header="720" w:footer="720" w:gutter="0"/>
          <w:cols w:space="720" w:num="1" w:equalWidth="0">
            <w:col w:w="9472" w:space="0"/>
            <w:col w:w="9646" w:space="0"/>
            <w:col w:w="952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2425700</wp:posOffset>
            </wp:positionV>
            <wp:extent cx="330200" cy="203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1257300</wp:posOffset>
            </wp:positionV>
            <wp:extent cx="2552700" cy="14478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4216400</wp:posOffset>
            </wp:positionH>
            <wp:positionV relativeFrom="page">
              <wp:posOffset>1739900</wp:posOffset>
            </wp:positionV>
            <wp:extent cx="279400" cy="2032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4178300</wp:posOffset>
            </wp:positionH>
            <wp:positionV relativeFrom="page">
              <wp:posOffset>2184400</wp:posOffset>
            </wp:positionV>
            <wp:extent cx="279400" cy="2159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2946400</wp:posOffset>
            </wp:positionH>
            <wp:positionV relativeFrom="page">
              <wp:posOffset>2730500</wp:posOffset>
            </wp:positionV>
            <wp:extent cx="342900" cy="2032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2628900</wp:posOffset>
            </wp:positionV>
            <wp:extent cx="292100" cy="203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22"/>
        <w:gridCol w:w="4822"/>
      </w:tblGrid>
      <w:tr>
        <w:trPr>
          <w:trHeight w:hRule="exact" w:val="240"/>
        </w:trPr>
        <w:tc>
          <w:tcPr>
            <w:tcW w:type="dxa" w:w="16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5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Adriana Csikosova et al. /  AASRI Procedia  7 ( 2014 )  20 – 25 </w:t>
            </w:r>
          </w:p>
        </w:tc>
      </w:tr>
    </w:tbl>
    <w:p>
      <w:pPr>
        <w:autoSpaceDN w:val="0"/>
        <w:autoSpaceDE w:val="0"/>
        <w:widowControl/>
        <w:spacing w:line="3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32.0" w:type="dxa"/>
      </w:tblPr>
      <w:tblGrid>
        <w:gridCol w:w="9645"/>
      </w:tblGrid>
      <w:tr>
        <w:trPr>
          <w:trHeight w:hRule="exact" w:val="3540"/>
        </w:trPr>
        <w:tc>
          <w:tcPr>
            <w:tcW w:type="dxa" w:w="5392"/>
            <w:tcBorders>
              <w:start w:sz="0.9599999785423279" w:val="single" w:color="#919191"/>
              <w:top w:sz="0.9599999785423279" w:val="single" w:color="#919191"/>
              <w:end w:sz="0.9599999785423279" w:val="single" w:color="#919191"/>
              <w:bottom w:sz="0.9599999785423279" w:val="single" w:color="#91919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773" w:type="dxa"/>
            </w:tblPr>
            <w:tblGrid>
              <w:gridCol w:w="899"/>
              <w:gridCol w:w="899"/>
              <w:gridCol w:w="899"/>
              <w:gridCol w:w="899"/>
              <w:gridCol w:w="899"/>
              <w:gridCol w:w="899"/>
            </w:tblGrid>
            <w:tr>
              <w:trPr>
                <w:trHeight w:hRule="exact" w:val="242"/>
              </w:trPr>
              <w:tc>
                <w:tcPr>
                  <w:tcW w:type="dxa" w:w="6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224" w:after="0"/>
                    <w:ind w:left="42" w:right="0" w:firstLine="0"/>
                    <w:jc w:val="left"/>
                  </w:pPr>
                  <w:r>
                    <w:rPr>
                      <w:w w:val="98.02266359329224"/>
                      <w:rFonts w:ascii="Calibri" w:hAnsi="Calibri" w:eastAsia="Calibri"/>
                      <w:b/>
                      <w:i w:val="0"/>
                      <w:color w:val="000000"/>
                      <w:sz w:val="16"/>
                    </w:rPr>
                    <w:t>49,63%</w:t>
                  </w:r>
                </w:p>
              </w:tc>
              <w:tc>
                <w:tcPr>
                  <w:tcW w:type="dxa" w:w="9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auto" w:before="2216" w:after="0"/>
                    <w:ind w:left="136" w:right="0" w:firstLine="0"/>
                    <w:jc w:val="left"/>
                  </w:pPr>
                  <w:r>
                    <w:rPr>
                      <w:w w:val="98.02266359329224"/>
                      <w:rFonts w:ascii="Calibri" w:hAnsi="Calibri" w:eastAsia="Calibri"/>
                      <w:b/>
                      <w:i w:val="0"/>
                      <w:color w:val="000000"/>
                      <w:sz w:val="16"/>
                    </w:rPr>
                    <w:t>0,04%</w:t>
                  </w:r>
                </w:p>
              </w:tc>
              <w:tc>
                <w:tcPr>
                  <w:tcW w:type="dxa" w:w="14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2368" w:after="0"/>
                    <w:ind w:left="0" w:right="558" w:firstLine="0"/>
                    <w:jc w:val="right"/>
                  </w:pPr>
                  <w:r>
                    <w:rPr>
                      <w:w w:val="98.02266359329224"/>
                      <w:rFonts w:ascii="Calibri" w:hAnsi="Calibri" w:eastAsia="Calibri"/>
                      <w:b/>
                      <w:i w:val="0"/>
                      <w:color w:val="000000"/>
                      <w:sz w:val="16"/>
                    </w:rPr>
                    <w:t>18,47%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auto" w:before="60" w:after="0"/>
                    <w:ind w:left="0" w:right="354" w:firstLine="0"/>
                    <w:jc w:val="right"/>
                  </w:pPr>
                  <w:r>
                    <w:rPr>
                      <w:w w:val="98.02266359329224"/>
                      <w:rFonts w:ascii="Calibri" w:hAnsi="Calibri" w:eastAsia="Calibri"/>
                      <w:b/>
                      <w:i w:val="0"/>
                      <w:color w:val="000000"/>
                      <w:sz w:val="16"/>
                    </w:rPr>
                    <w:t>11,78%</w:t>
                  </w:r>
                </w:p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76200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110" w:after="0"/>
                    <w:ind w:left="30" w:right="0" w:firstLine="0"/>
                    <w:jc w:val="left"/>
                  </w:pPr>
                  <w:r>
                    <w:rPr>
                      <w:w w:val="98.02266359329224"/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Biomass</w:t>
                  </w:r>
                </w:p>
              </w:tc>
            </w:tr>
            <w:tr>
              <w:trPr>
                <w:trHeight w:hRule="exact" w:val="104"/>
              </w:trPr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13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566" w:after="0"/>
                    <w:ind w:left="0" w:right="22" w:firstLine="0"/>
                    <w:jc w:val="right"/>
                  </w:pPr>
                  <w:r>
                    <w:rPr>
                      <w:w w:val="98.02266359329224"/>
                      <w:rFonts w:ascii="Calibri" w:hAnsi="Calibri" w:eastAsia="Calibri"/>
                      <w:b/>
                      <w:i w:val="0"/>
                      <w:color w:val="000000"/>
                      <w:sz w:val="16"/>
                    </w:rPr>
                    <w:t>9,26%</w:t>
                  </w:r>
                </w:p>
              </w:tc>
              <w:tc>
                <w:tcPr>
                  <w:tcW w:type="dxa" w:w="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8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6350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99"/>
                  <w:vMerge/>
                  <w:tcBorders/>
                </w:tcPr>
                <w:p/>
              </w:tc>
            </w:tr>
            <w:tr>
              <w:trPr>
                <w:trHeight w:hRule="exact" w:val="290"/>
              </w:trPr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68" w:after="0"/>
                    <w:ind w:left="30" w:right="0" w:firstLine="0"/>
                    <w:jc w:val="left"/>
                  </w:pPr>
                  <w:r>
                    <w:rPr>
                      <w:w w:val="98.02266359329224"/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Biogas</w:t>
                  </w:r>
                </w:p>
              </w:tc>
            </w:tr>
            <w:tr>
              <w:trPr>
                <w:trHeight w:hRule="exact" w:val="346"/>
              </w:trPr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6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76200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auto" w:before="84" w:after="0"/>
                    <w:ind w:left="30" w:right="0" w:firstLine="0"/>
                    <w:jc w:val="left"/>
                  </w:pPr>
                  <w:r>
                    <w:rPr>
                      <w:w w:val="98.02266359329224"/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Wind</w:t>
                  </w:r>
                </w:p>
              </w:tc>
            </w:tr>
            <w:tr>
              <w:trPr>
                <w:trHeight w:hRule="exact" w:val="261"/>
              </w:trPr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13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536" w:after="0"/>
                    <w:ind w:left="0" w:right="90" w:firstLine="0"/>
                    <w:jc w:val="right"/>
                  </w:pPr>
                  <w:r>
                    <w:rPr>
                      <w:w w:val="98.02266359329224"/>
                      <w:rFonts w:ascii="Calibri" w:hAnsi="Calibri" w:eastAsia="Calibri"/>
                      <w:b/>
                      <w:i w:val="0"/>
                      <w:color w:val="000000"/>
                      <w:sz w:val="16"/>
                    </w:rPr>
                    <w:t>0,05%</w:t>
                  </w:r>
                </w:p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76200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42" w:after="0"/>
                    <w:ind w:left="30" w:right="0" w:firstLine="0"/>
                    <w:jc w:val="left"/>
                  </w:pPr>
                  <w:r>
                    <w:rPr>
                      <w:w w:val="98.02266359329224"/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Water</w:t>
                  </w:r>
                </w:p>
              </w:tc>
            </w:tr>
            <w:tr>
              <w:trPr>
                <w:trHeight w:hRule="exact" w:val="319"/>
              </w:trPr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76200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auto" w:before="72" w:after="0"/>
                    <w:ind w:left="30" w:right="0" w:firstLine="0"/>
                    <w:jc w:val="left"/>
                  </w:pPr>
                  <w:r>
                    <w:rPr>
                      <w:w w:val="98.02266359329224"/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CPEH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76200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7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58" w:after="0"/>
                    <w:ind w:left="0" w:right="0" w:firstLine="0"/>
                    <w:jc w:val="center"/>
                  </w:pPr>
                  <w:r>
                    <w:rPr>
                      <w:w w:val="98.02266359329224"/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Geothermal</w:t>
                  </w:r>
                </w:p>
              </w:tc>
            </w:tr>
            <w:tr>
              <w:trPr>
                <w:trHeight w:hRule="exact" w:val="752"/>
              </w:trPr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899"/>
                  <w:vMerge/>
                  <w:tcBorders/>
                </w:tcPr>
                <w:p/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64" w:after="0"/>
                    <w:ind w:left="0" w:right="284" w:firstLine="0"/>
                    <w:jc w:val="right"/>
                  </w:pPr>
                  <w:r>
                    <w:rPr>
                      <w:w w:val="98.02266359329224"/>
                      <w:rFonts w:ascii="Calibri" w:hAnsi="Calibri" w:eastAsia="Calibri"/>
                      <w:b/>
                      <w:i w:val="0"/>
                      <w:color w:val="000000"/>
                      <w:sz w:val="16"/>
                    </w:rPr>
                    <w:t>10,77%</w:t>
                  </w:r>
                </w:p>
              </w:tc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88900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889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9" w:lineRule="auto" w:before="102" w:after="0"/>
                    <w:ind w:left="30" w:right="0" w:firstLine="0"/>
                    <w:jc w:val="left"/>
                  </w:pPr>
                  <w:r>
                    <w:rPr>
                      <w:w w:val="98.02266359329224"/>
                      <w:rFonts w:ascii="Calibri" w:hAnsi="Calibri" w:eastAsia="Calibri"/>
                      <w:b w:val="0"/>
                      <w:i w:val="0"/>
                      <w:color w:val="000000"/>
                      <w:sz w:val="16"/>
                    </w:rPr>
                    <w:t>Solar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4" w:lineRule="auto" w:before="262" w:after="0"/>
        <w:ind w:left="3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2. Rate of RES and combined production support in tariff for system operation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(Holjen�ík 2011) </w:t>
      </w:r>
    </w:p>
    <w:p>
      <w:pPr>
        <w:autoSpaceDN w:val="0"/>
        <w:autoSpaceDE w:val="0"/>
        <w:widowControl/>
        <w:spacing w:line="245" w:lineRule="auto" w:before="244" w:after="0"/>
        <w:ind w:left="312" w:right="43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mentioned we can deduce that in spite in 2011 individual items of electric energy price were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increased, there was even occurring of several items decrease, not excluding power electricity, there occurred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increasing of final price of electric energy for households averagely about 4,82% as a whole. </w:t>
      </w:r>
    </w:p>
    <w:p>
      <w:pPr>
        <w:autoSpaceDN w:val="0"/>
        <w:autoSpaceDE w:val="0"/>
        <w:widowControl/>
        <w:spacing w:line="230" w:lineRule="exact" w:before="258" w:after="0"/>
        <w:ind w:left="31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Conclusion </w:t>
      </w:r>
    </w:p>
    <w:p>
      <w:pPr>
        <w:autoSpaceDN w:val="0"/>
        <w:autoSpaceDE w:val="0"/>
        <w:widowControl/>
        <w:spacing w:line="250" w:lineRule="auto" w:before="250" w:after="0"/>
        <w:ind w:left="312" w:right="43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of support of electricity production from RES connects very closely with RES trading in area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energetic. Prevailing and mostly used support tool is system of purchase prices, many times in combination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surcharges to market price that is used in majority of EU countries. Similarly effective seems to be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support by the way of investment donations and tax measurements that are used in large measure as well.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of obligatory quota in combination with trading green certificates is used as main system of support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Belgium, Romania, Poland, Italy and Great Britain. System of tender is less used tool for RES support and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 time it is realized in Ireland, Latvia, Italy or Great Britain. In connection with dominated purchase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prices we can discuss about convenience of this system, since according some opinions this system of support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deforms market and it is not sufficiently effective. System of obligatory quota is trying to be forefront as well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system of green certificates, which could bring more of market environment and at the same time more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intensive development of electricity production from RES. But new member states are against that, since they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apply system of purchase prices and creation of market system with green certificates would be in short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very demanding, till unrealizable. Due to the mentioned new member states are orientated rather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increasing of quality of present supporting systems. </w:t>
      </w:r>
    </w:p>
    <w:p>
      <w:pPr>
        <w:autoSpaceDN w:val="0"/>
        <w:autoSpaceDE w:val="0"/>
        <w:widowControl/>
        <w:spacing w:line="247" w:lineRule="auto" w:before="18" w:after="0"/>
        <w:ind w:left="312" w:right="43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Companies, acting in Slovakian energetic sector would welcome finishing of regulation of energy prices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areas, where various suppliers exist, since by this way product’s competition would be enabled. Price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deregulation presents trend that is promoting also by European Commission. In case we consider fact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price of commodity element would be created in area, where there are no natural monopoly, according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demand and offer, it lead to the decreasing of final price of energy. From the determined findings we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generalize that open markets with properly acting competition cannot exist in long time with regulated final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prices of energy. </w:t>
      </w:r>
    </w:p>
    <w:p>
      <w:pPr>
        <w:sectPr>
          <w:pgSz w:w="10885" w:h="14854"/>
          <w:pgMar w:top="368" w:right="588" w:bottom="1374" w:left="652" w:header="720" w:footer="720" w:gutter="0"/>
          <w:cols w:space="720" w:num="1" w:equalWidth="0">
            <w:col w:w="9646" w:space="0"/>
            <w:col w:w="9472" w:space="0"/>
            <w:col w:w="9646" w:space="0"/>
            <w:col w:w="952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76" w:lineRule="exact" w:before="0" w:after="0"/>
        <w:ind w:left="266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Adriana Csikosova et al. /  AASRI Procedia  7 ( 2014 )  20 – 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</w:t>
      </w:r>
    </w:p>
    <w:p>
      <w:pPr>
        <w:autoSpaceDN w:val="0"/>
        <w:autoSpaceDE w:val="0"/>
        <w:widowControl/>
        <w:spacing w:line="228" w:lineRule="exact" w:before="390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30" w:lineRule="auto" w:before="248" w:after="0"/>
        <w:ind w:left="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is partial result of project solving VEGA MŠVVaŠ SR 1/0176/13  and 1/1033/12. </w:t>
      </w:r>
    </w:p>
    <w:p>
      <w:pPr>
        <w:autoSpaceDN w:val="0"/>
        <w:autoSpaceDE w:val="0"/>
        <w:widowControl/>
        <w:spacing w:line="228" w:lineRule="exact" w:before="482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0" w:after="0"/>
        <w:ind w:left="192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Dijk, A. L. et al. 2003. </w:t>
      </w:r>
      <w:r>
        <w:rPr>
          <w:rFonts w:ascii="Times" w:hAnsi="Times" w:eastAsia="Times"/>
          <w:b w:val="0"/>
          <w:i/>
          <w:color w:val="000000"/>
          <w:sz w:val="20"/>
        </w:rPr>
        <w:t>Renewable Energy Policies and Market Developments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Brusel: European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Commission, 56 p. </w:t>
      </w:r>
    </w:p>
    <w:p>
      <w:pPr>
        <w:autoSpaceDN w:val="0"/>
        <w:autoSpaceDE w:val="0"/>
        <w:widowControl/>
        <w:spacing w:line="226" w:lineRule="exact" w:before="40" w:after="0"/>
        <w:ind w:left="1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Holjen�ík, J. 2011. </w:t>
      </w:r>
      <w:r>
        <w:rPr>
          <w:rFonts w:ascii="Times" w:hAnsi="Times" w:eastAsia="Times"/>
          <w:b w:val="0"/>
          <w:i/>
          <w:color w:val="000000"/>
          <w:sz w:val="20"/>
        </w:rPr>
        <w:t>Regula�ná politika na nastávajúce regula�né obdobie 2012 – 2016.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Bratislava,  Rada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 reguláciu,  [on-line]  http://www.urso.gov.sk/sk/rpr/regulacna-politika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[3] Bureau of net sector regulation (BNSR). 2012.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Správa o dodržiavaní pravidiel pre fungovanie trhu s </w:t>
      </w:r>
      <w:r>
        <w:rPr>
          <w:rFonts w:ascii="Times" w:hAnsi="Times" w:eastAsia="Times"/>
          <w:b w:val="0"/>
          <w:i/>
          <w:color w:val="000000"/>
          <w:sz w:val="20"/>
        </w:rPr>
        <w:t>elektrinou a plynom za rok 2011 a o opatreniach na ich dodržiavanie.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[on-line]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http://www.urso.gov.sk/doc/dokumenty/Sprava-o-dodrziavani_PTE_PTP.pdf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BNSR. 2010. </w:t>
      </w:r>
      <w:r>
        <w:rPr>
          <w:rFonts w:ascii="Times" w:hAnsi="Times" w:eastAsia="Times"/>
          <w:b w:val="0"/>
          <w:i/>
          <w:color w:val="000000"/>
          <w:sz w:val="20"/>
        </w:rPr>
        <w:t>Výro�ná správa 2010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 [on-line]   http://www.urso.gov.sk/doc/vs/VS2010_sk.pdf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Tauš, P. , Taušová, M. 2009. </w:t>
      </w:r>
      <w:r>
        <w:rPr>
          <w:rFonts w:ascii="Times" w:hAnsi="Times" w:eastAsia="Times"/>
          <w:b w:val="0"/>
          <w:i/>
          <w:color w:val="000000"/>
          <w:sz w:val="20"/>
        </w:rPr>
        <w:t>Economical analysis of FV power  plants  according  installed performance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5" w:lineRule="auto" w:before="8" w:after="0"/>
        <w:ind w:left="1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In: Acta Montanistica Slovaca, 14, No. 1 (2009), pp. 92-97.  ISSN 1335-1788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Law No. 309/2009 Z. z. o podpore obnovite�ných zdrojov energie a vysoko ú�innej kombinovanej výroby. </w:t>
      </w:r>
    </w:p>
    <w:sectPr w:rsidR="00FC693F" w:rsidRPr="0006063C" w:rsidSect="00034616">
      <w:pgSz w:w="10885" w:h="14854"/>
      <w:pgMar w:top="368" w:right="540" w:bottom="1440" w:left="868" w:header="720" w:footer="720" w:gutter="0"/>
      <w:cols w:space="720" w:num="1" w:equalWidth="0">
        <w:col w:w="9478" w:space="0"/>
        <w:col w:w="9646" w:space="0"/>
        <w:col w:w="9472" w:space="0"/>
        <w:col w:w="9646" w:space="0"/>
        <w:col w:w="9528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