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163 –</w:t>
      </w:r>
      <w:r>
        <w:rPr>
          <w:color w:val="231F20"/>
          <w:spacing w:val="-1"/>
          <w:sz w:val="16"/>
        </w:rPr>
        <w:t> </w:t>
      </w:r>
      <w:r>
        <w:rPr>
          <w:color w:val="231F20"/>
          <w:spacing w:val="-5"/>
          <w:sz w:val="16"/>
        </w:rPr>
        <w:t>168</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163"/>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7238656">
                <wp:simplePos x="0" y="0"/>
                <wp:positionH relativeFrom="page">
                  <wp:posOffset>395998</wp:posOffset>
                </wp:positionH>
                <wp:positionV relativeFrom="page">
                  <wp:posOffset>1668005</wp:posOffset>
                </wp:positionV>
                <wp:extent cx="6161405"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61405" cy="6331585"/>
                          <a:chExt cx="6161405" cy="6331585"/>
                        </a:xfrm>
                      </wpg:grpSpPr>
                      <wps:wsp>
                        <wps:cNvPr id="4" name="Graphic 4"/>
                        <wps:cNvSpPr/>
                        <wps:spPr>
                          <a:xfrm>
                            <a:off x="0" y="0"/>
                            <a:ext cx="6161405" cy="6331585"/>
                          </a:xfrm>
                          <a:custGeom>
                            <a:avLst/>
                            <a:gdLst/>
                            <a:ahLst/>
                            <a:cxnLst/>
                            <a:rect l="l" t="t" r="r" b="b"/>
                            <a:pathLst>
                              <a:path w="6161405" h="6331585">
                                <a:moveTo>
                                  <a:pt x="6161087" y="0"/>
                                </a:moveTo>
                                <a:lnTo>
                                  <a:pt x="0" y="0"/>
                                </a:lnTo>
                                <a:lnTo>
                                  <a:pt x="0" y="6331331"/>
                                </a:lnTo>
                                <a:lnTo>
                                  <a:pt x="6161087" y="6331331"/>
                                </a:lnTo>
                                <a:lnTo>
                                  <a:pt x="6161087"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2948177"/>
                            <a:ext cx="5652770" cy="2654935"/>
                          </a:xfrm>
                          <a:custGeom>
                            <a:avLst/>
                            <a:gdLst/>
                            <a:ahLst/>
                            <a:cxnLst/>
                            <a:rect l="l" t="t" r="r" b="b"/>
                            <a:pathLst>
                              <a:path w="5652770" h="2654935">
                                <a:moveTo>
                                  <a:pt x="5652516" y="2648724"/>
                                </a:moveTo>
                                <a:lnTo>
                                  <a:pt x="0" y="2648724"/>
                                </a:lnTo>
                                <a:lnTo>
                                  <a:pt x="0" y="2654808"/>
                                </a:lnTo>
                                <a:lnTo>
                                  <a:pt x="5652516" y="2654808"/>
                                </a:lnTo>
                                <a:lnTo>
                                  <a:pt x="5652516" y="2648724"/>
                                </a:lnTo>
                                <a:close/>
                              </a:path>
                              <a:path w="5652770" h="265493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54"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08000" y="4866995"/>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85.15pt;height:498.55pt;mso-position-horizontal-relative:page;mso-position-vertical-relative:page;z-index:-16077824" id="docshapegroup1" coordorigin="624,2627" coordsize="9703,9971">
                <v:rect style="position:absolute;left:623;top:2626;width:9703;height:9971" id="docshape2" filled="true" fillcolor="#ffffff" stroked="false">
                  <v:fill type="solid"/>
                </v:rect>
                <v:shape style="position:absolute;left:784;top:7269;width:8902;height:4181" id="docshape3" coordorigin="785,7270" coordsize="8902,4181" path="m9686,11441l785,11441,785,11450,9686,11450,9686,11441xm9686,7270l785,7270,785,7279,9686,7279,9686,7270xe" filled="true" fillcolor="#000000" stroked="false">
                  <v:path arrowok="t"/>
                  <v:fill type="solid"/>
                </v:shape>
                <v:line style="position:absolute" from="823,11671" to="1675,11671" stroked="true" strokeweight=".564533pt" strokecolor="#1e1d20">
                  <v:stroke dashstyle="solid"/>
                </v:line>
                <v:rect style="position:absolute;left:793;top:10291;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5" w:right="3"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4" w:lineRule="auto" w:before="250"/>
        <w:jc w:val="center"/>
      </w:pPr>
      <w:r>
        <w:rPr/>
        <w:t>A</w:t>
      </w:r>
      <w:r>
        <w:rPr>
          <w:spacing w:val="-4"/>
        </w:rPr>
        <w:t> </w:t>
      </w:r>
      <w:r>
        <w:rPr/>
        <w:t>Study</w:t>
      </w:r>
      <w:r>
        <w:rPr>
          <w:spacing w:val="-4"/>
        </w:rPr>
        <w:t> </w:t>
      </w:r>
      <w:r>
        <w:rPr/>
        <w:t>of</w:t>
      </w:r>
      <w:r>
        <w:rPr>
          <w:spacing w:val="-7"/>
        </w:rPr>
        <w:t> </w:t>
      </w:r>
      <w:r>
        <w:rPr/>
        <w:t>Relationships</w:t>
      </w:r>
      <w:r>
        <w:rPr>
          <w:spacing w:val="-4"/>
        </w:rPr>
        <w:t> </w:t>
      </w:r>
      <w:r>
        <w:rPr/>
        <w:t>among</w:t>
      </w:r>
      <w:r>
        <w:rPr>
          <w:spacing w:val="-7"/>
        </w:rPr>
        <w:t> </w:t>
      </w:r>
      <w:r>
        <w:rPr/>
        <w:t>Green</w:t>
      </w:r>
      <w:r>
        <w:rPr>
          <w:spacing w:val="-5"/>
        </w:rPr>
        <w:t> </w:t>
      </w:r>
      <w:r>
        <w:rPr/>
        <w:t>Consumption</w:t>
      </w:r>
      <w:r>
        <w:rPr>
          <w:spacing w:val="-5"/>
        </w:rPr>
        <w:t> </w:t>
      </w:r>
      <w:r>
        <w:rPr/>
        <w:t>Attitude, Perceived Risk, Perceived Value toward Hydrogen-Electric Motorcycle Purchase Intention</w:t>
      </w:r>
    </w:p>
    <w:p>
      <w:pPr>
        <w:spacing w:before="237"/>
        <w:ind w:left="5" w:right="2" w:firstLine="0"/>
        <w:jc w:val="center"/>
        <w:rPr>
          <w:sz w:val="26"/>
        </w:rPr>
      </w:pPr>
      <w:r>
        <w:rPr>
          <w:sz w:val="26"/>
        </w:rPr>
        <w:t>Han-Shen</w:t>
      </w:r>
      <w:r>
        <w:rPr>
          <w:spacing w:val="-6"/>
          <w:sz w:val="26"/>
        </w:rPr>
        <w:t> </w:t>
      </w:r>
      <w:r>
        <w:rPr>
          <w:sz w:val="26"/>
        </w:rPr>
        <w:t>Chen</w:t>
      </w:r>
      <w:r>
        <w:rPr>
          <w:sz w:val="26"/>
          <w:vertAlign w:val="superscript"/>
        </w:rPr>
        <w:t>a,b</w:t>
      </w:r>
      <w:r>
        <w:rPr>
          <w:sz w:val="26"/>
          <w:vertAlign w:val="baseline"/>
        </w:rPr>
        <w:t>,</w:t>
      </w:r>
      <w:r>
        <w:rPr>
          <w:spacing w:val="-9"/>
          <w:sz w:val="26"/>
          <w:vertAlign w:val="baseline"/>
        </w:rPr>
        <w:t> </w:t>
      </w:r>
      <w:r>
        <w:rPr>
          <w:sz w:val="26"/>
          <w:vertAlign w:val="baseline"/>
        </w:rPr>
        <w:t>Chia-Yon</w:t>
      </w:r>
      <w:r>
        <w:rPr>
          <w:spacing w:val="-8"/>
          <w:sz w:val="26"/>
          <w:vertAlign w:val="baseline"/>
        </w:rPr>
        <w:t> </w:t>
      </w:r>
      <w:r>
        <w:rPr>
          <w:sz w:val="26"/>
          <w:vertAlign w:val="baseline"/>
        </w:rPr>
        <w:t>Chen</w:t>
      </w:r>
      <w:r>
        <w:rPr>
          <w:sz w:val="26"/>
          <w:vertAlign w:val="superscript"/>
        </w:rPr>
        <w:t>c</w:t>
      </w:r>
      <w:r>
        <w:rPr>
          <w:sz w:val="26"/>
          <w:vertAlign w:val="baseline"/>
        </w:rPr>
        <w:t>,</w:t>
      </w:r>
      <w:r>
        <w:rPr>
          <w:spacing w:val="-9"/>
          <w:sz w:val="26"/>
          <w:vertAlign w:val="baseline"/>
        </w:rPr>
        <w:t> </w:t>
      </w:r>
      <w:r>
        <w:rPr>
          <w:sz w:val="26"/>
          <w:vertAlign w:val="baseline"/>
        </w:rPr>
        <w:t>Han-Kuan</w:t>
      </w:r>
      <w:r>
        <w:rPr>
          <w:spacing w:val="-9"/>
          <w:sz w:val="26"/>
          <w:vertAlign w:val="baseline"/>
        </w:rPr>
        <w:t> </w:t>
      </w:r>
      <w:r>
        <w:rPr>
          <w:sz w:val="26"/>
          <w:vertAlign w:val="baseline"/>
        </w:rPr>
        <w:t>Chen</w:t>
      </w:r>
      <w:r>
        <w:rPr>
          <w:sz w:val="26"/>
          <w:vertAlign w:val="superscript"/>
        </w:rPr>
        <w:t>c</w:t>
      </w:r>
      <w:r>
        <w:rPr>
          <w:sz w:val="26"/>
          <w:vertAlign w:val="baseline"/>
        </w:rPr>
        <w:t>,</w:t>
      </w:r>
      <w:r>
        <w:rPr>
          <w:spacing w:val="-8"/>
          <w:sz w:val="26"/>
          <w:vertAlign w:val="baseline"/>
        </w:rPr>
        <w:t> </w:t>
      </w:r>
      <w:r>
        <w:rPr>
          <w:sz w:val="26"/>
          <w:vertAlign w:val="baseline"/>
        </w:rPr>
        <w:t>Tsuifang</w:t>
      </w:r>
      <w:r>
        <w:rPr>
          <w:spacing w:val="-9"/>
          <w:sz w:val="26"/>
          <w:vertAlign w:val="baseline"/>
        </w:rPr>
        <w:t> </w:t>
      </w:r>
      <w:r>
        <w:rPr>
          <w:spacing w:val="-2"/>
          <w:sz w:val="26"/>
          <w:vertAlign w:val="baseline"/>
        </w:rPr>
        <w:t>Hsieh</w:t>
      </w:r>
      <w:r>
        <w:rPr>
          <w:spacing w:val="-2"/>
          <w:sz w:val="26"/>
          <w:vertAlign w:val="superscript"/>
        </w:rPr>
        <w:t>d,</w:t>
      </w:r>
      <w:r>
        <w:rPr>
          <w:spacing w:val="-2"/>
          <w:sz w:val="26"/>
          <w:vertAlign w:val="baseline"/>
        </w:rPr>
        <w:t>*</w:t>
      </w:r>
    </w:p>
    <w:p>
      <w:pPr>
        <w:spacing w:line="259" w:lineRule="auto" w:before="178"/>
        <w:ind w:left="1430" w:right="1425" w:firstLine="0"/>
        <w:jc w:val="center"/>
        <w:rPr>
          <w:i/>
          <w:sz w:val="16"/>
        </w:rPr>
      </w:pPr>
      <w:r>
        <w:rPr>
          <w:i/>
          <w:sz w:val="16"/>
          <w:vertAlign w:val="superscript"/>
        </w:rPr>
        <w:t>a</w:t>
      </w:r>
      <w:r>
        <w:rPr>
          <w:i/>
          <w:sz w:val="16"/>
          <w:vertAlign w:val="baseline"/>
        </w:rPr>
        <w:t>School</w:t>
      </w:r>
      <w:r>
        <w:rPr>
          <w:i/>
          <w:spacing w:val="-4"/>
          <w:sz w:val="16"/>
          <w:vertAlign w:val="baseline"/>
        </w:rPr>
        <w:t> </w:t>
      </w:r>
      <w:r>
        <w:rPr>
          <w:i/>
          <w:sz w:val="16"/>
          <w:vertAlign w:val="baseline"/>
        </w:rPr>
        <w:t>of</w:t>
      </w:r>
      <w:r>
        <w:rPr>
          <w:i/>
          <w:spacing w:val="-4"/>
          <w:sz w:val="16"/>
          <w:vertAlign w:val="baseline"/>
        </w:rPr>
        <w:t> </w:t>
      </w:r>
      <w:r>
        <w:rPr>
          <w:i/>
          <w:sz w:val="16"/>
          <w:vertAlign w:val="baseline"/>
        </w:rPr>
        <w:t>Diet</w:t>
      </w:r>
      <w:r>
        <w:rPr>
          <w:i/>
          <w:spacing w:val="-4"/>
          <w:sz w:val="16"/>
          <w:vertAlign w:val="baseline"/>
        </w:rPr>
        <w:t> </w:t>
      </w:r>
      <w:r>
        <w:rPr>
          <w:i/>
          <w:sz w:val="16"/>
          <w:vertAlign w:val="baseline"/>
        </w:rPr>
        <w:t>and</w:t>
      </w:r>
      <w:r>
        <w:rPr>
          <w:i/>
          <w:spacing w:val="-3"/>
          <w:sz w:val="16"/>
          <w:vertAlign w:val="baseline"/>
        </w:rPr>
        <w:t> </w:t>
      </w:r>
      <w:r>
        <w:rPr>
          <w:i/>
          <w:sz w:val="16"/>
          <w:vertAlign w:val="baseline"/>
        </w:rPr>
        <w:t>Restaurant</w:t>
      </w:r>
      <w:r>
        <w:rPr>
          <w:i/>
          <w:spacing w:val="-4"/>
          <w:sz w:val="16"/>
          <w:vertAlign w:val="baseline"/>
        </w:rPr>
        <w:t> </w:t>
      </w:r>
      <w:r>
        <w:rPr>
          <w:i/>
          <w:sz w:val="16"/>
          <w:vertAlign w:val="baseline"/>
        </w:rPr>
        <w:t>Management,</w:t>
      </w:r>
      <w:r>
        <w:rPr>
          <w:i/>
          <w:spacing w:val="-4"/>
          <w:sz w:val="16"/>
          <w:vertAlign w:val="baseline"/>
        </w:rPr>
        <w:t> </w:t>
      </w:r>
      <w:r>
        <w:rPr>
          <w:i/>
          <w:sz w:val="16"/>
          <w:vertAlign w:val="baseline"/>
        </w:rPr>
        <w:t>Chung</w:t>
      </w:r>
      <w:r>
        <w:rPr>
          <w:i/>
          <w:spacing w:val="-4"/>
          <w:sz w:val="16"/>
          <w:vertAlign w:val="baseline"/>
        </w:rPr>
        <w:t> </w:t>
      </w:r>
      <w:r>
        <w:rPr>
          <w:i/>
          <w:sz w:val="16"/>
          <w:vertAlign w:val="baseline"/>
        </w:rPr>
        <w:t>Shan</w:t>
      </w:r>
      <w:r>
        <w:rPr>
          <w:i/>
          <w:spacing w:val="-4"/>
          <w:sz w:val="16"/>
          <w:vertAlign w:val="baseline"/>
        </w:rPr>
        <w:t> </w:t>
      </w:r>
      <w:r>
        <w:rPr>
          <w:i/>
          <w:sz w:val="16"/>
          <w:vertAlign w:val="baseline"/>
        </w:rPr>
        <w:t>Medical</w:t>
      </w:r>
      <w:r>
        <w:rPr>
          <w:i/>
          <w:spacing w:val="-4"/>
          <w:sz w:val="16"/>
          <w:vertAlign w:val="baseline"/>
        </w:rPr>
        <w:t> </w:t>
      </w:r>
      <w:r>
        <w:rPr>
          <w:i/>
          <w:sz w:val="16"/>
          <w:vertAlign w:val="baseline"/>
        </w:rPr>
        <w:t>University,</w:t>
      </w:r>
      <w:r>
        <w:rPr>
          <w:i/>
          <w:spacing w:val="-2"/>
          <w:sz w:val="16"/>
          <w:vertAlign w:val="baseline"/>
        </w:rPr>
        <w:t> </w:t>
      </w:r>
      <w:r>
        <w:rPr>
          <w:i/>
          <w:sz w:val="16"/>
          <w:vertAlign w:val="baseline"/>
        </w:rPr>
        <w:t>Taichung</w:t>
      </w:r>
      <w:r>
        <w:rPr>
          <w:i/>
          <w:spacing w:val="-3"/>
          <w:sz w:val="16"/>
          <w:vertAlign w:val="baseline"/>
        </w:rPr>
        <w:t> </w:t>
      </w:r>
      <w:r>
        <w:rPr>
          <w:i/>
          <w:sz w:val="16"/>
          <w:vertAlign w:val="baseline"/>
        </w:rPr>
        <w:t>402,Taiwan</w:t>
      </w:r>
      <w:r>
        <w:rPr>
          <w:i/>
          <w:spacing w:val="40"/>
          <w:sz w:val="16"/>
          <w:vertAlign w:val="baseline"/>
        </w:rPr>
        <w:t> </w:t>
      </w:r>
      <w:r>
        <w:rPr>
          <w:i/>
          <w:sz w:val="16"/>
          <w:vertAlign w:val="superscript"/>
        </w:rPr>
        <w:t>b</w:t>
      </w:r>
      <w:r>
        <w:rPr>
          <w:i/>
          <w:sz w:val="16"/>
          <w:vertAlign w:val="baseline"/>
        </w:rPr>
        <w:t>Dept. of Medical Management, Chung Shan Medical University Hospital, Taichung 402,Taiwan</w:t>
      </w:r>
      <w:r>
        <w:rPr>
          <w:i/>
          <w:spacing w:val="40"/>
          <w:sz w:val="16"/>
          <w:vertAlign w:val="baseline"/>
        </w:rPr>
        <w:t> </w:t>
      </w:r>
      <w:r>
        <w:rPr>
          <w:i/>
          <w:sz w:val="16"/>
          <w:vertAlign w:val="superscript"/>
        </w:rPr>
        <w:t>c</w:t>
      </w:r>
      <w:r>
        <w:rPr>
          <w:i/>
          <w:sz w:val="16"/>
          <w:vertAlign w:val="baseline"/>
        </w:rPr>
        <w:t>Dept. of Resource Engineering, National Cheng Kung University, Tainan 701, Taiwan</w:t>
      </w:r>
    </w:p>
    <w:p>
      <w:pPr>
        <w:spacing w:before="4"/>
        <w:ind w:left="5" w:right="2" w:firstLine="0"/>
        <w:jc w:val="center"/>
        <w:rPr>
          <w:i/>
          <w:sz w:val="16"/>
        </w:rPr>
      </w:pPr>
      <w:r>
        <w:rPr>
          <w:i/>
          <w:sz w:val="16"/>
          <w:vertAlign w:val="superscript"/>
        </w:rPr>
        <w:t>d</w:t>
      </w:r>
      <w:r>
        <w:rPr>
          <w:i/>
          <w:sz w:val="16"/>
          <w:vertAlign w:val="baseline"/>
        </w:rPr>
        <w:t>Dept.</w:t>
      </w:r>
      <w:r>
        <w:rPr>
          <w:i/>
          <w:spacing w:val="-6"/>
          <w:sz w:val="16"/>
          <w:vertAlign w:val="baseline"/>
        </w:rPr>
        <w:t> </w:t>
      </w:r>
      <w:r>
        <w:rPr>
          <w:i/>
          <w:sz w:val="16"/>
          <w:vertAlign w:val="baseline"/>
        </w:rPr>
        <w:t>of</w:t>
      </w:r>
      <w:r>
        <w:rPr>
          <w:i/>
          <w:spacing w:val="-5"/>
          <w:sz w:val="16"/>
          <w:vertAlign w:val="baseline"/>
        </w:rPr>
        <w:t> </w:t>
      </w:r>
      <w:r>
        <w:rPr>
          <w:i/>
          <w:sz w:val="16"/>
          <w:vertAlign w:val="baseline"/>
        </w:rPr>
        <w:t>Hospitality</w:t>
      </w:r>
      <w:r>
        <w:rPr>
          <w:i/>
          <w:spacing w:val="-5"/>
          <w:sz w:val="16"/>
          <w:vertAlign w:val="baseline"/>
        </w:rPr>
        <w:t> </w:t>
      </w:r>
      <w:r>
        <w:rPr>
          <w:i/>
          <w:sz w:val="16"/>
          <w:vertAlign w:val="baseline"/>
        </w:rPr>
        <w:t>Management,</w:t>
      </w:r>
      <w:r>
        <w:rPr>
          <w:i/>
          <w:spacing w:val="-4"/>
          <w:sz w:val="16"/>
          <w:vertAlign w:val="baseline"/>
        </w:rPr>
        <w:t> </w:t>
      </w:r>
      <w:r>
        <w:rPr>
          <w:i/>
          <w:sz w:val="16"/>
          <w:vertAlign w:val="baseline"/>
        </w:rPr>
        <w:t>Taiwan</w:t>
      </w:r>
      <w:r>
        <w:rPr>
          <w:i/>
          <w:spacing w:val="-5"/>
          <w:sz w:val="16"/>
          <w:vertAlign w:val="baseline"/>
        </w:rPr>
        <w:t> </w:t>
      </w:r>
      <w:r>
        <w:rPr>
          <w:i/>
          <w:sz w:val="16"/>
          <w:vertAlign w:val="baseline"/>
        </w:rPr>
        <w:t>Hospitality</w:t>
      </w:r>
      <w:r>
        <w:rPr>
          <w:i/>
          <w:spacing w:val="-5"/>
          <w:sz w:val="16"/>
          <w:vertAlign w:val="baseline"/>
        </w:rPr>
        <w:t> </w:t>
      </w:r>
      <w:r>
        <w:rPr>
          <w:i/>
          <w:sz w:val="16"/>
          <w:vertAlign w:val="baseline"/>
        </w:rPr>
        <w:t>&amp;</w:t>
      </w:r>
      <w:r>
        <w:rPr>
          <w:i/>
          <w:spacing w:val="-9"/>
          <w:sz w:val="16"/>
          <w:vertAlign w:val="baseline"/>
        </w:rPr>
        <w:t> </w:t>
      </w:r>
      <w:r>
        <w:rPr>
          <w:i/>
          <w:sz w:val="16"/>
          <w:vertAlign w:val="baseline"/>
        </w:rPr>
        <w:t>Tourism</w:t>
      </w:r>
      <w:r>
        <w:rPr>
          <w:i/>
          <w:spacing w:val="-7"/>
          <w:sz w:val="16"/>
          <w:vertAlign w:val="baseline"/>
        </w:rPr>
        <w:t> </w:t>
      </w:r>
      <w:r>
        <w:rPr>
          <w:i/>
          <w:sz w:val="16"/>
          <w:vertAlign w:val="baseline"/>
        </w:rPr>
        <w:t>College,</w:t>
      </w:r>
      <w:r>
        <w:rPr>
          <w:i/>
          <w:spacing w:val="-5"/>
          <w:sz w:val="16"/>
          <w:vertAlign w:val="baseline"/>
        </w:rPr>
        <w:t> </w:t>
      </w:r>
      <w:r>
        <w:rPr>
          <w:i/>
          <w:sz w:val="16"/>
          <w:vertAlign w:val="baseline"/>
        </w:rPr>
        <w:t>Hualien</w:t>
      </w:r>
      <w:r>
        <w:rPr>
          <w:i/>
          <w:spacing w:val="-6"/>
          <w:sz w:val="16"/>
          <w:vertAlign w:val="baseline"/>
        </w:rPr>
        <w:t> </w:t>
      </w:r>
      <w:r>
        <w:rPr>
          <w:i/>
          <w:sz w:val="16"/>
          <w:vertAlign w:val="baseline"/>
        </w:rPr>
        <w:t>974,</w:t>
      </w:r>
      <w:r>
        <w:rPr>
          <w:i/>
          <w:spacing w:val="-3"/>
          <w:sz w:val="16"/>
          <w:vertAlign w:val="baseline"/>
        </w:rPr>
        <w:t> </w:t>
      </w:r>
      <w:r>
        <w:rPr>
          <w:i/>
          <w:spacing w:val="-2"/>
          <w:sz w:val="16"/>
          <w:vertAlign w:val="baseline"/>
        </w:rPr>
        <w:t>Taiwan</w:t>
      </w:r>
    </w:p>
    <w:p>
      <w:pPr>
        <w:pStyle w:val="BodyText"/>
        <w:rPr>
          <w:i/>
          <w:sz w:val="16"/>
        </w:rPr>
      </w:pPr>
    </w:p>
    <w:p>
      <w:pPr>
        <w:pStyle w:val="BodyText"/>
        <w:rPr>
          <w:i/>
          <w:sz w:val="16"/>
        </w:rPr>
      </w:pPr>
    </w:p>
    <w:p>
      <w:pPr>
        <w:pStyle w:val="BodyText"/>
        <w:rPr>
          <w:i/>
          <w:sz w:val="16"/>
        </w:rPr>
      </w:pPr>
    </w:p>
    <w:p>
      <w:pPr>
        <w:pStyle w:val="BodyText"/>
        <w:spacing w:before="124"/>
        <w:rPr>
          <w:i/>
          <w:sz w:val="16"/>
        </w:rPr>
      </w:pPr>
    </w:p>
    <w:p>
      <w:pPr>
        <w:spacing w:before="1"/>
        <w:ind w:left="293" w:right="0" w:firstLine="0"/>
        <w:jc w:val="left"/>
        <w:rPr>
          <w:sz w:val="18"/>
        </w:rPr>
      </w:pPr>
      <w:r>
        <w:rPr/>
        <mc:AlternateContent>
          <mc:Choice Requires="wps">
            <w:drawing>
              <wp:anchor distT="0" distB="0" distL="0" distR="0" allowOverlap="1" layoutInCell="1" locked="0" behindDoc="1" simplePos="0" relativeHeight="487237120">
                <wp:simplePos x="0" y="0"/>
                <wp:positionH relativeFrom="page">
                  <wp:posOffset>445808</wp:posOffset>
                </wp:positionH>
                <wp:positionV relativeFrom="paragraph">
                  <wp:posOffset>-124354</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9.791714pt;width:428.9pt;height:8.950pt;mso-position-horizontal-relative:page;mso-position-vertical-relative:paragraph;z-index:-1607936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pacing w:val="-2"/>
          <w:w w:val="110"/>
          <w:sz w:val="18"/>
        </w:rPr>
        <w:t>Abstract</w:t>
      </w:r>
    </w:p>
    <w:p>
      <w:pPr>
        <w:pStyle w:val="BodyText"/>
        <w:spacing w:before="27"/>
        <w:rPr>
          <w:sz w:val="18"/>
        </w:rPr>
      </w:pPr>
    </w:p>
    <w:p>
      <w:pPr>
        <w:spacing w:line="254" w:lineRule="auto" w:before="0"/>
        <w:ind w:left="293" w:right="284" w:firstLine="0"/>
        <w:jc w:val="both"/>
        <w:rPr>
          <w:sz w:val="18"/>
        </w:rPr>
      </w:pPr>
      <w:r>
        <w:rPr>
          <w:sz w:val="18"/>
        </w:rPr>
        <w:t>Taiwan has the Asia's highest density of motorcycle, which results in problems such as traffic jams and air pollution. To effectively reduce the motorcycle's impact to the ecosystem, in July 2009, Taiwanese government initiated the consumer and manufacturer encouragement project to promote electronic motorcycle industry. The purpose of this study is to</w:t>
      </w:r>
      <w:r>
        <w:rPr>
          <w:spacing w:val="40"/>
          <w:sz w:val="18"/>
        </w:rPr>
        <w:t> </w:t>
      </w:r>
      <w:r>
        <w:rPr>
          <w:sz w:val="18"/>
        </w:rPr>
        <w:t>discuss consumers' green consumption attitude, perceived risk and perceived value toward hydrogen-electric motorcycle purchase intention. Based on a structure equation modeling approach, it is concluded that: perceived risk and perceived value are significantly related to consumption attitude; consumption attitude is significantly related to hydrogen-electric motorcycle purchase intention; and perceived value is significantly related to purchase intention. However, perceived risk and hydrogen-electric motorcycle purchase intention has no relation. This research analyzes the key factors of consumer behaviors from customers' point of view and further discusses improvement solutions. The study can serve as a reference to government, cooperates and consumers in promoting, educating and marketing the green concepts.</w:t>
      </w:r>
    </w:p>
    <w:p>
      <w:pPr>
        <w:pStyle w:val="BodyText"/>
        <w:rPr>
          <w:sz w:val="16"/>
        </w:rPr>
      </w:pPr>
    </w:p>
    <w:p>
      <w:pPr>
        <w:pStyle w:val="BodyText"/>
        <w:spacing w:before="12"/>
        <w:rPr>
          <w:sz w:val="16"/>
        </w:rPr>
      </w:pPr>
    </w:p>
    <w:p>
      <w:pPr>
        <w:spacing w:before="0"/>
        <w:ind w:left="273" w:right="0" w:firstLine="0"/>
        <w:jc w:val="left"/>
        <w:rPr>
          <w:sz w:val="16"/>
        </w:rPr>
      </w:pPr>
      <w:r>
        <w:rPr/>
        <mc:AlternateContent>
          <mc:Choice Requires="wps">
            <w:drawing>
              <wp:anchor distT="0" distB="0" distL="0" distR="0" allowOverlap="1" layoutInCell="1" locked="0" behindDoc="1" simplePos="0" relativeHeight="487237632">
                <wp:simplePos x="0" y="0"/>
                <wp:positionH relativeFrom="page">
                  <wp:posOffset>516550</wp:posOffset>
                </wp:positionH>
                <wp:positionV relativeFrom="paragraph">
                  <wp:posOffset>-94790</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673302pt;margin-top:-7.463845pt;width:392.3pt;height:22.6pt;mso-position-horizontal-relative:page;mso-position-vertical-relative:paragraph;z-index:-16078848"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0"/>
        <w:ind w:left="28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45"/>
        <w:ind w:left="293" w:right="0" w:firstLine="0"/>
        <w:jc w:val="left"/>
        <w:rPr>
          <w:sz w:val="16"/>
        </w:rPr>
      </w:pPr>
      <w:r>
        <w:rPr>
          <w:i/>
          <w:sz w:val="16"/>
        </w:rPr>
        <w:t>Keywords:</w:t>
      </w:r>
      <w:r>
        <w:rPr>
          <w:i/>
          <w:spacing w:val="-10"/>
          <w:sz w:val="16"/>
        </w:rPr>
        <w:t> </w:t>
      </w:r>
      <w:r>
        <w:rPr>
          <w:sz w:val="16"/>
        </w:rPr>
        <w:t>green</w:t>
      </w:r>
      <w:r>
        <w:rPr>
          <w:spacing w:val="-5"/>
          <w:sz w:val="16"/>
        </w:rPr>
        <w:t> </w:t>
      </w:r>
      <w:r>
        <w:rPr>
          <w:sz w:val="16"/>
        </w:rPr>
        <w:t>consumption</w:t>
      </w:r>
      <w:r>
        <w:rPr>
          <w:spacing w:val="-7"/>
          <w:sz w:val="16"/>
        </w:rPr>
        <w:t> </w:t>
      </w:r>
      <w:r>
        <w:rPr>
          <w:sz w:val="16"/>
        </w:rPr>
        <w:t>attitude</w:t>
      </w:r>
      <w:r>
        <w:rPr>
          <w:color w:val="212121"/>
          <w:sz w:val="16"/>
        </w:rPr>
        <w:t>;</w:t>
      </w:r>
      <w:r>
        <w:rPr>
          <w:color w:val="212121"/>
          <w:spacing w:val="-6"/>
          <w:sz w:val="16"/>
        </w:rPr>
        <w:t> </w:t>
      </w:r>
      <w:r>
        <w:rPr>
          <w:color w:val="212121"/>
          <w:sz w:val="16"/>
        </w:rPr>
        <w:t>perceived</w:t>
      </w:r>
      <w:r>
        <w:rPr>
          <w:color w:val="212121"/>
          <w:spacing w:val="-5"/>
          <w:sz w:val="16"/>
        </w:rPr>
        <w:t> </w:t>
      </w:r>
      <w:r>
        <w:rPr>
          <w:color w:val="212121"/>
          <w:sz w:val="16"/>
        </w:rPr>
        <w:t>risk;</w:t>
      </w:r>
      <w:r>
        <w:rPr>
          <w:color w:val="212121"/>
          <w:spacing w:val="-7"/>
          <w:sz w:val="16"/>
        </w:rPr>
        <w:t> </w:t>
      </w:r>
      <w:r>
        <w:rPr>
          <w:sz w:val="16"/>
        </w:rPr>
        <w:t>perceived</w:t>
      </w:r>
      <w:r>
        <w:rPr>
          <w:spacing w:val="-6"/>
          <w:sz w:val="16"/>
        </w:rPr>
        <w:t> </w:t>
      </w:r>
      <w:r>
        <w:rPr>
          <w:sz w:val="16"/>
        </w:rPr>
        <w:t>value;</w:t>
      </w:r>
      <w:r>
        <w:rPr>
          <w:spacing w:val="-8"/>
          <w:sz w:val="16"/>
        </w:rPr>
        <w:t> </w:t>
      </w:r>
      <w:r>
        <w:rPr>
          <w:sz w:val="16"/>
        </w:rPr>
        <w:t>purchase</w:t>
      </w:r>
      <w:r>
        <w:rPr>
          <w:spacing w:val="-7"/>
          <w:sz w:val="16"/>
        </w:rPr>
        <w:t> </w:t>
      </w:r>
      <w:r>
        <w:rPr>
          <w:sz w:val="16"/>
        </w:rPr>
        <w:t>intention;</w:t>
      </w:r>
      <w:r>
        <w:rPr>
          <w:spacing w:val="-8"/>
          <w:sz w:val="16"/>
        </w:rPr>
        <w:t> </w:t>
      </w:r>
      <w:r>
        <w:rPr>
          <w:color w:val="212121"/>
          <w:sz w:val="16"/>
        </w:rPr>
        <w:t>hydrogen-electric</w:t>
      </w:r>
      <w:r>
        <w:rPr>
          <w:color w:val="212121"/>
          <w:spacing w:val="-4"/>
          <w:sz w:val="16"/>
        </w:rPr>
        <w:t> </w:t>
      </w:r>
      <w:r>
        <w:rPr>
          <w:color w:val="212121"/>
          <w:spacing w:val="-2"/>
          <w:sz w:val="16"/>
        </w:rPr>
        <w:t>motorcycle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1"/>
        <w:ind w:left="533"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6"/>
          <w:sz w:val="16"/>
        </w:rPr>
        <w:t> </w:t>
      </w:r>
      <w:r>
        <w:rPr>
          <w:sz w:val="16"/>
        </w:rPr>
        <w:t>Tel.:</w:t>
      </w:r>
      <w:r>
        <w:rPr>
          <w:spacing w:val="-9"/>
          <w:sz w:val="16"/>
        </w:rPr>
        <w:t> </w:t>
      </w:r>
      <w:r>
        <w:rPr>
          <w:sz w:val="16"/>
        </w:rPr>
        <w:t>+886-935-658055;</w:t>
      </w:r>
      <w:r>
        <w:rPr>
          <w:spacing w:val="-7"/>
          <w:sz w:val="16"/>
        </w:rPr>
        <w:t> </w:t>
      </w:r>
      <w:r>
        <w:rPr>
          <w:sz w:val="16"/>
        </w:rPr>
        <w:t>fax:</w:t>
      </w:r>
      <w:r>
        <w:rPr>
          <w:spacing w:val="-8"/>
          <w:sz w:val="16"/>
        </w:rPr>
        <w:t> </w:t>
      </w:r>
      <w:r>
        <w:rPr>
          <w:sz w:val="16"/>
        </w:rPr>
        <w:t>+886-3-</w:t>
      </w:r>
      <w:r>
        <w:rPr>
          <w:spacing w:val="-2"/>
          <w:sz w:val="16"/>
        </w:rPr>
        <w:t>8652000</w:t>
      </w:r>
    </w:p>
    <w:p>
      <w:pPr>
        <w:spacing w:before="15"/>
        <w:ind w:left="53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thsieh@ms10.hinet.net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1"/>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26"/>
        <w:ind w:left="104"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3"/>
          <w:sz w:val="16"/>
        </w:rPr>
        <w:t> </w:t>
      </w:r>
      <w:r>
        <w:rPr>
          <w:color w:val="231F20"/>
          <w:spacing w:val="-2"/>
          <w:sz w:val="16"/>
        </w:rPr>
        <w:t>doi:10.1016/j.aasri.2012.09.029</w:t>
      </w:r>
    </w:p>
    <w:p>
      <w:pPr>
        <w:spacing w:after="0"/>
        <w:jc w:val="left"/>
        <w:rPr>
          <w:sz w:val="16"/>
        </w:rPr>
        <w:sectPr>
          <w:type w:val="continuous"/>
          <w:pgSz w:w="10890" w:h="14860"/>
          <w:pgMar w:header="0" w:footer="0" w:top="780" w:bottom="280" w:left="520" w:right="940"/>
        </w:sectPr>
      </w:pPr>
    </w:p>
    <w:p>
      <w:pPr>
        <w:pStyle w:val="BodyText"/>
        <w:spacing w:before="100"/>
      </w:pPr>
    </w:p>
    <w:p>
      <w:pPr>
        <w:pStyle w:val="ListParagraph"/>
        <w:numPr>
          <w:ilvl w:val="0"/>
          <w:numId w:val="1"/>
        </w:numPr>
        <w:tabs>
          <w:tab w:pos="441" w:val="left" w:leader="none"/>
        </w:tabs>
        <w:spacing w:line="240" w:lineRule="auto" w:before="0" w:after="0"/>
        <w:ind w:left="441" w:right="0" w:hanging="205"/>
        <w:jc w:val="left"/>
        <w:rPr>
          <w:sz w:val="20"/>
        </w:rPr>
      </w:pPr>
      <w:r>
        <w:rPr>
          <w:spacing w:val="-2"/>
          <w:w w:val="110"/>
          <w:sz w:val="20"/>
        </w:rPr>
        <w:t>Introduction</w:t>
      </w:r>
    </w:p>
    <w:p>
      <w:pPr>
        <w:pStyle w:val="BodyText"/>
        <w:spacing w:before="22"/>
      </w:pPr>
    </w:p>
    <w:p>
      <w:pPr>
        <w:pStyle w:val="BodyText"/>
        <w:spacing w:line="249" w:lineRule="auto"/>
        <w:ind w:left="236" w:right="311" w:firstLine="237"/>
        <w:jc w:val="both"/>
      </w:pPr>
      <w:r>
        <w:rPr/>
        <w:t>The excessive greenhouse gas causes the deterioration of climate changes which threaten all living beings on the planet. The crisis include rising of sea level, unbalanced ecosystem, reduced biological diversity and extreme weather. Ever since then, people become aware the unpredictable risks of climate changes. On top of the natural impacts, there is also a high rising oil prices due to the depletion of natural resources. Human's behavior starts to change in hoping to stop the deteriorating environment and to avoid the risk of climate change. Meanwhile, with the advent of green consumerism and growing concern over environmental issues, green</w:t>
      </w:r>
      <w:r>
        <w:rPr>
          <w:spacing w:val="-1"/>
        </w:rPr>
        <w:t> </w:t>
      </w:r>
      <w:r>
        <w:rPr/>
        <w:t>consumption</w:t>
      </w:r>
      <w:r>
        <w:rPr>
          <w:spacing w:val="-1"/>
        </w:rPr>
        <w:t> </w:t>
      </w:r>
      <w:r>
        <w:rPr/>
        <w:t>has</w:t>
      </w:r>
      <w:r>
        <w:rPr>
          <w:spacing w:val="-1"/>
        </w:rPr>
        <w:t> </w:t>
      </w:r>
      <w:r>
        <w:rPr/>
        <w:t>become the main stream</w:t>
      </w:r>
      <w:r>
        <w:rPr>
          <w:spacing w:val="-1"/>
        </w:rPr>
        <w:t> </w:t>
      </w:r>
      <w:r>
        <w:rPr/>
        <w:t>concept of environmental protection</w:t>
      </w:r>
      <w:r>
        <w:rPr>
          <w:spacing w:val="-1"/>
        </w:rPr>
        <w:t> </w:t>
      </w:r>
      <w:r>
        <w:rPr/>
        <w:t>in</w:t>
      </w:r>
      <w:r>
        <w:rPr>
          <w:spacing w:val="-1"/>
        </w:rPr>
        <w:t> </w:t>
      </w:r>
      <w:r>
        <w:rPr/>
        <w:t>the 21st century. Peng (2011) states that green consumption covers all aspects from manufacturing to consuming including recycling of the product material recycling, energy utilization efficiency and environmental/living beings protection. Chen (2012) points out that green consumption is a consumer behavior and decision when facing environmental and resource related matters. This behavior or decision not only serves as personal priority but also take social common wealth into account. Therefore, consumers start to change their usual ways of consumption and purchase green products which are less harmful to the environment.</w:t>
      </w:r>
    </w:p>
    <w:p>
      <w:pPr>
        <w:pStyle w:val="BodyText"/>
        <w:spacing w:line="249" w:lineRule="auto" w:before="11"/>
        <w:ind w:left="236" w:right="311" w:firstLine="238"/>
        <w:jc w:val="both"/>
      </w:pPr>
      <w:r>
        <w:rPr/>
        <w:t>According to a</w:t>
      </w:r>
      <w:r>
        <w:rPr>
          <w:spacing w:val="-1"/>
        </w:rPr>
        <w:t> </w:t>
      </w:r>
      <w:r>
        <w:rPr/>
        <w:t>statistics of Ministry of Transportation &amp; Communications (MOTC) in 2011, the number of motorcycles</w:t>
      </w:r>
      <w:r>
        <w:rPr>
          <w:spacing w:val="-1"/>
        </w:rPr>
        <w:t> </w:t>
      </w:r>
      <w:r>
        <w:rPr/>
        <w:t>in</w:t>
      </w:r>
      <w:r>
        <w:rPr>
          <w:spacing w:val="-1"/>
        </w:rPr>
        <w:t> </w:t>
      </w:r>
      <w:r>
        <w:rPr/>
        <w:t>Taiwan</w:t>
      </w:r>
      <w:r>
        <w:rPr>
          <w:spacing w:val="-2"/>
        </w:rPr>
        <w:t> </w:t>
      </w:r>
      <w:r>
        <w:rPr/>
        <w:t>has</w:t>
      </w:r>
      <w:r>
        <w:rPr>
          <w:spacing w:val="-1"/>
        </w:rPr>
        <w:t> </w:t>
      </w:r>
      <w:r>
        <w:rPr/>
        <w:t>reached over 15.174</w:t>
      </w:r>
      <w:r>
        <w:rPr>
          <w:spacing w:val="-1"/>
        </w:rPr>
        <w:t> </w:t>
      </w:r>
      <w:r>
        <w:rPr/>
        <w:t>million. That is,</w:t>
      </w:r>
      <w:r>
        <w:rPr>
          <w:spacing w:val="-2"/>
        </w:rPr>
        <w:t> </w:t>
      </w:r>
      <w:r>
        <w:rPr/>
        <w:t>there is</w:t>
      </w:r>
      <w:r>
        <w:rPr>
          <w:spacing w:val="-1"/>
        </w:rPr>
        <w:t> </w:t>
      </w:r>
      <w:r>
        <w:rPr/>
        <w:t>one motorcycle for every</w:t>
      </w:r>
      <w:r>
        <w:rPr>
          <w:spacing w:val="-3"/>
        </w:rPr>
        <w:t> </w:t>
      </w:r>
      <w:r>
        <w:rPr/>
        <w:t>two person; the density is the highest in Asia. Such large number of motorcycles not only causes traffic jams but also creates air pollution and other negative impacts to the ecosystem. Transportation carton-dioxide exhaustion is second only to industrial exhaustion due to the fact that vehicles' main source of energy relies on petroleum.</w:t>
      </w:r>
      <w:r>
        <w:rPr>
          <w:spacing w:val="40"/>
        </w:rPr>
        <w:t> </w:t>
      </w:r>
      <w:r>
        <w:rPr/>
        <w:t>To reduce the pollution from motorcycles, Taiwanese government initiates an encouragement project in July 2009 to promote electric motorcycle industry. The objective of this project is to motivate consumers to purchase electric motorcycles and encourage manufacturers for production. The target is to reach 160</w:t>
      </w:r>
      <w:r>
        <w:rPr>
          <w:spacing w:val="40"/>
        </w:rPr>
        <w:t> </w:t>
      </w:r>
      <w:r>
        <w:rPr/>
        <w:t>thousand domestic sales and 3.65 million export sales on removable Li-Ion battery motor vehicle. In contrary to petroleum or lead-acid battery, hydrogen fuel cell battery has several earth friendly and energy saving benefits such as zero-emission, high efficiency, low noise, low vibration, fast startup and long lasting. Therefore, hydrogen fuel cell technologies have grabbed the attention of green market and become the key development focus in United States, Japan and European countries. However, hydrogen fuel cell battery motorcycles are regarded as a new application and innovation; hence, they are not yet a main stream product. Although in the era of environmentalism and sustainability, not all green products are accepted by the consumers. That is, without thorough market research and evaluation, the green products may be eliminated due to impracticality or unreasonable pricing. Therefore, assessment before entering full production is crucial. There are several assessment guidelines, and consumer's purchase intention is one of them. Howard (1989) proposes a consumer decision model stating that product recognition may turn into product attitude and confidence, which in turn, influences consumer's purchase intention toward the product and eventually generate purchase action. Lin and Huang (2012) reveal that the consumers with high green consumption cognition are more supportive to green products and are more willing to choose green products.</w:t>
      </w:r>
    </w:p>
    <w:p>
      <w:pPr>
        <w:pStyle w:val="BodyText"/>
        <w:spacing w:line="249" w:lineRule="auto" w:before="19"/>
        <w:ind w:left="236" w:right="311" w:firstLine="237"/>
        <w:jc w:val="both"/>
      </w:pPr>
      <w:r>
        <w:rPr/>
        <w:t>All in all, this study takes the uniqueness of hydrogen-electric motorcycle into account and treats green consumption</w:t>
      </w:r>
      <w:r>
        <w:rPr>
          <w:spacing w:val="-3"/>
        </w:rPr>
        <w:t> </w:t>
      </w:r>
      <w:r>
        <w:rPr/>
        <w:t>attitude,</w:t>
      </w:r>
      <w:r>
        <w:rPr>
          <w:spacing w:val="-2"/>
        </w:rPr>
        <w:t> </w:t>
      </w:r>
      <w:r>
        <w:rPr/>
        <w:t>perceived</w:t>
      </w:r>
      <w:r>
        <w:rPr>
          <w:spacing w:val="-1"/>
        </w:rPr>
        <w:t> </w:t>
      </w:r>
      <w:r>
        <w:rPr/>
        <w:t>risk</w:t>
      </w:r>
      <w:r>
        <w:rPr>
          <w:spacing w:val="-3"/>
        </w:rPr>
        <w:t> </w:t>
      </w:r>
      <w:r>
        <w:rPr/>
        <w:t>and</w:t>
      </w:r>
      <w:r>
        <w:rPr>
          <w:spacing w:val="-1"/>
        </w:rPr>
        <w:t> </w:t>
      </w:r>
      <w:r>
        <w:rPr/>
        <w:t>perceived</w:t>
      </w:r>
      <w:r>
        <w:rPr>
          <w:spacing w:val="-1"/>
        </w:rPr>
        <w:t> </w:t>
      </w:r>
      <w:r>
        <w:rPr/>
        <w:t>value</w:t>
      </w:r>
      <w:r>
        <w:rPr>
          <w:spacing w:val="-2"/>
        </w:rPr>
        <w:t> </w:t>
      </w:r>
      <w:r>
        <w:rPr/>
        <w:t>as</w:t>
      </w:r>
      <w:r>
        <w:rPr>
          <w:spacing w:val="-2"/>
        </w:rPr>
        <w:t> </w:t>
      </w:r>
      <w:r>
        <w:rPr/>
        <w:t>the antecedent</w:t>
      </w:r>
      <w:r>
        <w:rPr>
          <w:spacing w:val="-1"/>
        </w:rPr>
        <w:t> </w:t>
      </w:r>
      <w:r>
        <w:rPr/>
        <w:t>variables.</w:t>
      </w:r>
      <w:r>
        <w:rPr>
          <w:spacing w:val="-1"/>
        </w:rPr>
        <w:t> </w:t>
      </w:r>
      <w:r>
        <w:rPr/>
        <w:t>This research</w:t>
      </w:r>
      <w:r>
        <w:rPr>
          <w:spacing w:val="-3"/>
        </w:rPr>
        <w:t> </w:t>
      </w:r>
      <w:r>
        <w:rPr/>
        <w:t>attempts</w:t>
      </w:r>
      <w:r>
        <w:rPr>
          <w:spacing w:val="-2"/>
        </w:rPr>
        <w:t> </w:t>
      </w:r>
      <w:r>
        <w:rPr/>
        <w:t>to reveal the influence of recognition on perceived risk and perceived value have on the hydrogen-electric motorcycle purchase intention. The result may serve as a reference to the government or relevant industries and researchers for further studies.</w:t>
      </w:r>
    </w:p>
    <w:p>
      <w:pPr>
        <w:spacing w:after="0" w:line="249" w:lineRule="auto"/>
        <w:jc w:val="both"/>
        <w:sectPr>
          <w:headerReference w:type="even" r:id="rId12"/>
          <w:headerReference w:type="default" r:id="rId13"/>
          <w:pgSz w:w="10890" w:h="14860"/>
          <w:pgMar w:header="713" w:footer="0" w:top="900" w:bottom="280" w:left="520" w:right="940"/>
          <w:pgNumType w:start="164"/>
        </w:sectPr>
      </w:pPr>
    </w:p>
    <w:p>
      <w:pPr>
        <w:pStyle w:val="BodyText"/>
        <w:spacing w:before="102"/>
      </w:pPr>
    </w:p>
    <w:p>
      <w:pPr>
        <w:pStyle w:val="ListParagraph"/>
        <w:numPr>
          <w:ilvl w:val="0"/>
          <w:numId w:val="1"/>
        </w:numPr>
        <w:tabs>
          <w:tab w:pos="498" w:val="left" w:leader="none"/>
        </w:tabs>
        <w:spacing w:line="240" w:lineRule="auto" w:before="0" w:after="0"/>
        <w:ind w:left="498" w:right="0" w:hanging="205"/>
        <w:jc w:val="both"/>
        <w:rPr>
          <w:sz w:val="20"/>
        </w:rPr>
      </w:pPr>
      <w:r>
        <w:rPr>
          <w:w w:val="105"/>
          <w:sz w:val="20"/>
        </w:rPr>
        <w:t>Research</w:t>
      </w:r>
      <w:r>
        <w:rPr>
          <w:spacing w:val="7"/>
          <w:w w:val="105"/>
          <w:sz w:val="20"/>
        </w:rPr>
        <w:t> </w:t>
      </w:r>
      <w:r>
        <w:rPr>
          <w:spacing w:val="-2"/>
          <w:w w:val="105"/>
          <w:sz w:val="20"/>
        </w:rPr>
        <w:t>Method</w:t>
      </w:r>
    </w:p>
    <w:p>
      <w:pPr>
        <w:pStyle w:val="BodyText"/>
        <w:spacing w:before="20"/>
      </w:pPr>
    </w:p>
    <w:p>
      <w:pPr>
        <w:pStyle w:val="ListParagraph"/>
        <w:numPr>
          <w:ilvl w:val="1"/>
          <w:numId w:val="1"/>
        </w:numPr>
        <w:tabs>
          <w:tab w:pos="767" w:val="left" w:leader="none"/>
        </w:tabs>
        <w:spacing w:line="240" w:lineRule="auto" w:before="0" w:after="0"/>
        <w:ind w:left="767" w:right="0" w:hanging="354"/>
        <w:jc w:val="left"/>
        <w:rPr>
          <w:i/>
          <w:sz w:val="20"/>
        </w:rPr>
      </w:pPr>
      <w:r>
        <w:rPr>
          <w:i/>
          <w:sz w:val="20"/>
        </w:rPr>
        <w:t>Research</w:t>
      </w:r>
      <w:r>
        <w:rPr>
          <w:i/>
          <w:spacing w:val="-8"/>
          <w:sz w:val="20"/>
        </w:rPr>
        <w:t> </w:t>
      </w:r>
      <w:r>
        <w:rPr>
          <w:i/>
          <w:spacing w:val="-2"/>
          <w:sz w:val="20"/>
        </w:rPr>
        <w:t>framework</w:t>
      </w:r>
    </w:p>
    <w:p>
      <w:pPr>
        <w:pStyle w:val="BodyText"/>
        <w:spacing w:before="20"/>
        <w:rPr>
          <w:i/>
        </w:rPr>
      </w:pPr>
    </w:p>
    <w:p>
      <w:pPr>
        <w:pStyle w:val="BodyText"/>
        <w:spacing w:line="249" w:lineRule="auto" w:before="1"/>
        <w:ind w:left="293" w:right="283" w:firstLine="237"/>
        <w:jc w:val="both"/>
      </w:pPr>
      <w:r>
        <w:rPr/>
        <w:drawing>
          <wp:anchor distT="0" distB="0" distL="0" distR="0" allowOverlap="1" layoutInCell="1" locked="0" behindDoc="1" simplePos="0" relativeHeight="487591424">
            <wp:simplePos x="0" y="0"/>
            <wp:positionH relativeFrom="page">
              <wp:posOffset>1436744</wp:posOffset>
            </wp:positionH>
            <wp:positionV relativeFrom="paragraph">
              <wp:posOffset>470875</wp:posOffset>
            </wp:positionV>
            <wp:extent cx="3760990" cy="103622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760990" cy="1036224"/>
                    </a:xfrm>
                    <a:prstGeom prst="rect">
                      <a:avLst/>
                    </a:prstGeom>
                  </pic:spPr>
                </pic:pic>
              </a:graphicData>
            </a:graphic>
          </wp:anchor>
        </w:drawing>
      </w:r>
      <w:r>
        <w:rPr/>
        <w:t>The purpose of this study is to verify the causal relation among the influential dimensions of purchase intention on hydrogen-electric motorcycle. Based on the hypothesis, the causal relation between the potential variables is analyzed by using Structure Equation Modeling (SEM). T</w:t>
      </w:r>
      <w:r>
        <w:rPr>
          <w:color w:val="212121"/>
        </w:rPr>
        <w:t>he research framework is as following.</w:t>
      </w:r>
    </w:p>
    <w:p>
      <w:pPr>
        <w:pStyle w:val="BodyText"/>
        <w:spacing w:before="153"/>
      </w:pPr>
    </w:p>
    <w:p>
      <w:pPr>
        <w:spacing w:before="1"/>
        <w:ind w:left="293" w:right="0" w:firstLine="0"/>
        <w:jc w:val="left"/>
        <w:rPr>
          <w:sz w:val="16"/>
        </w:rPr>
      </w:pPr>
      <w:r>
        <w:rPr>
          <w:sz w:val="16"/>
        </w:rPr>
        <w:t>Fig.</w:t>
      </w:r>
      <w:r>
        <w:rPr>
          <w:spacing w:val="-3"/>
          <w:sz w:val="16"/>
        </w:rPr>
        <w:t> </w:t>
      </w:r>
      <w:r>
        <w:rPr>
          <w:sz w:val="16"/>
        </w:rPr>
        <w:t>1.</w:t>
      </w:r>
      <w:r>
        <w:rPr>
          <w:spacing w:val="-5"/>
          <w:sz w:val="16"/>
        </w:rPr>
        <w:t> </w:t>
      </w:r>
      <w:r>
        <w:rPr>
          <w:sz w:val="16"/>
        </w:rPr>
        <w:t>Research</w:t>
      </w:r>
      <w:r>
        <w:rPr>
          <w:spacing w:val="-2"/>
          <w:sz w:val="16"/>
        </w:rPr>
        <w:t> framework</w:t>
      </w:r>
    </w:p>
    <w:p>
      <w:pPr>
        <w:pStyle w:val="BodyText"/>
        <w:spacing w:before="67"/>
        <w:rPr>
          <w:sz w:val="16"/>
        </w:rPr>
      </w:pPr>
    </w:p>
    <w:p>
      <w:pPr>
        <w:pStyle w:val="ListParagraph"/>
        <w:numPr>
          <w:ilvl w:val="1"/>
          <w:numId w:val="1"/>
        </w:numPr>
        <w:tabs>
          <w:tab w:pos="767" w:val="left" w:leader="none"/>
        </w:tabs>
        <w:spacing w:line="240" w:lineRule="auto" w:before="0" w:after="0"/>
        <w:ind w:left="767" w:right="0" w:hanging="354"/>
        <w:jc w:val="left"/>
        <w:rPr>
          <w:i/>
          <w:sz w:val="20"/>
        </w:rPr>
      </w:pPr>
      <w:r>
        <w:rPr>
          <w:i/>
          <w:sz w:val="20"/>
        </w:rPr>
        <w:t>Measurement</w:t>
      </w:r>
      <w:r>
        <w:rPr>
          <w:i/>
          <w:spacing w:val="-12"/>
          <w:sz w:val="20"/>
        </w:rPr>
        <w:t> </w:t>
      </w:r>
      <w:r>
        <w:rPr>
          <w:i/>
          <w:spacing w:val="-2"/>
          <w:sz w:val="20"/>
        </w:rPr>
        <w:t>design</w:t>
      </w:r>
    </w:p>
    <w:p>
      <w:pPr>
        <w:pStyle w:val="BodyText"/>
        <w:spacing w:before="20"/>
        <w:rPr>
          <w:i/>
        </w:rPr>
      </w:pPr>
    </w:p>
    <w:p>
      <w:pPr>
        <w:pStyle w:val="BodyText"/>
        <w:spacing w:line="249" w:lineRule="auto"/>
        <w:ind w:left="293" w:right="287" w:firstLine="237"/>
        <w:jc w:val="both"/>
      </w:pPr>
      <w:r>
        <w:rPr/>
        <w:t>This article evaluates the influential factors of</w:t>
      </w:r>
      <w:r>
        <w:rPr>
          <w:spacing w:val="-1"/>
        </w:rPr>
        <w:t> </w:t>
      </w:r>
      <w:r>
        <w:rPr/>
        <w:t>purchase intention</w:t>
      </w:r>
      <w:r>
        <w:rPr>
          <w:spacing w:val="-1"/>
        </w:rPr>
        <w:t> </w:t>
      </w:r>
      <w:r>
        <w:rPr/>
        <w:t>toward hydrogen-electric motorcycle and their effectiveness. The result serves as a managerial implication to the government and hydrogen fuel cell vendors. The questionnaire structure consists of 5 sections:</w:t>
      </w:r>
    </w:p>
    <w:p>
      <w:pPr>
        <w:pStyle w:val="ListParagraph"/>
        <w:numPr>
          <w:ilvl w:val="0"/>
          <w:numId w:val="2"/>
        </w:numPr>
        <w:tabs>
          <w:tab w:pos="533" w:val="left" w:leader="none"/>
        </w:tabs>
        <w:spacing w:line="249" w:lineRule="auto" w:before="0" w:after="0"/>
        <w:ind w:left="533" w:right="349" w:hanging="240"/>
        <w:jc w:val="both"/>
        <w:rPr>
          <w:sz w:val="20"/>
        </w:rPr>
      </w:pPr>
      <w:r>
        <w:rPr>
          <w:sz w:val="20"/>
        </w:rPr>
        <w:t>Consumption</w:t>
      </w:r>
      <w:r>
        <w:rPr>
          <w:spacing w:val="-4"/>
          <w:sz w:val="20"/>
        </w:rPr>
        <w:t> </w:t>
      </w:r>
      <w:r>
        <w:rPr>
          <w:sz w:val="20"/>
        </w:rPr>
        <w:t>attitude:</w:t>
      </w:r>
      <w:r>
        <w:rPr>
          <w:spacing w:val="-3"/>
          <w:sz w:val="20"/>
        </w:rPr>
        <w:t> </w:t>
      </w:r>
      <w:r>
        <w:rPr>
          <w:sz w:val="20"/>
        </w:rPr>
        <w:t>there</w:t>
      </w:r>
      <w:r>
        <w:rPr>
          <w:spacing w:val="-3"/>
          <w:sz w:val="20"/>
        </w:rPr>
        <w:t> </w:t>
      </w:r>
      <w:r>
        <w:rPr>
          <w:sz w:val="20"/>
        </w:rPr>
        <w:t>are</w:t>
      </w:r>
      <w:r>
        <w:rPr>
          <w:spacing w:val="-3"/>
          <w:sz w:val="20"/>
        </w:rPr>
        <w:t> </w:t>
      </w:r>
      <w:r>
        <w:rPr>
          <w:sz w:val="20"/>
        </w:rPr>
        <w:t>8</w:t>
      </w:r>
      <w:r>
        <w:rPr>
          <w:spacing w:val="-2"/>
          <w:sz w:val="20"/>
        </w:rPr>
        <w:t> </w:t>
      </w:r>
      <w:r>
        <w:rPr>
          <w:sz w:val="20"/>
        </w:rPr>
        <w:t>items</w:t>
      </w:r>
      <w:r>
        <w:rPr>
          <w:spacing w:val="-4"/>
          <w:sz w:val="20"/>
        </w:rPr>
        <w:t> </w:t>
      </w:r>
      <w:r>
        <w:rPr>
          <w:sz w:val="20"/>
        </w:rPr>
        <w:t>covering</w:t>
      </w:r>
      <w:r>
        <w:rPr>
          <w:spacing w:val="-4"/>
          <w:sz w:val="20"/>
        </w:rPr>
        <w:t> </w:t>
      </w:r>
      <w:r>
        <w:rPr>
          <w:sz w:val="20"/>
        </w:rPr>
        <w:t>3</w:t>
      </w:r>
      <w:r>
        <w:rPr>
          <w:spacing w:val="-2"/>
          <w:sz w:val="20"/>
        </w:rPr>
        <w:t> </w:t>
      </w:r>
      <w:r>
        <w:rPr>
          <w:sz w:val="20"/>
        </w:rPr>
        <w:t>dimensions</w:t>
      </w:r>
      <w:r>
        <w:rPr>
          <w:spacing w:val="-4"/>
          <w:sz w:val="20"/>
        </w:rPr>
        <w:t> </w:t>
      </w:r>
      <w:r>
        <w:rPr>
          <w:sz w:val="20"/>
        </w:rPr>
        <w:t>including</w:t>
      </w:r>
      <w:r>
        <w:rPr>
          <w:spacing w:val="-4"/>
          <w:sz w:val="20"/>
        </w:rPr>
        <w:t> </w:t>
      </w:r>
      <w:r>
        <w:rPr>
          <w:sz w:val="20"/>
        </w:rPr>
        <w:t>cognitive,</w:t>
      </w:r>
      <w:r>
        <w:rPr>
          <w:spacing w:val="-2"/>
          <w:sz w:val="20"/>
        </w:rPr>
        <w:t> </w:t>
      </w:r>
      <w:r>
        <w:rPr>
          <w:sz w:val="20"/>
        </w:rPr>
        <w:t>affective</w:t>
      </w:r>
      <w:r>
        <w:rPr>
          <w:spacing w:val="-2"/>
          <w:sz w:val="20"/>
        </w:rPr>
        <w:t> </w:t>
      </w:r>
      <w:r>
        <w:rPr>
          <w:sz w:val="20"/>
        </w:rPr>
        <w:t>and</w:t>
      </w:r>
      <w:r>
        <w:rPr>
          <w:spacing w:val="-2"/>
          <w:sz w:val="20"/>
        </w:rPr>
        <w:t> </w:t>
      </w:r>
      <w:r>
        <w:rPr>
          <w:sz w:val="20"/>
        </w:rPr>
        <w:t>conative; the reference is made on Rosenberg and Hanland (1960).</w:t>
      </w:r>
    </w:p>
    <w:p>
      <w:pPr>
        <w:pStyle w:val="ListParagraph"/>
        <w:numPr>
          <w:ilvl w:val="0"/>
          <w:numId w:val="2"/>
        </w:numPr>
        <w:tabs>
          <w:tab w:pos="532" w:val="left" w:leader="none"/>
        </w:tabs>
        <w:spacing w:line="231" w:lineRule="exact" w:before="0" w:after="0"/>
        <w:ind w:left="532" w:right="0" w:hanging="239"/>
        <w:jc w:val="both"/>
        <w:rPr>
          <w:sz w:val="20"/>
        </w:rPr>
      </w:pPr>
      <w:r>
        <w:rPr>
          <w:sz w:val="20"/>
        </w:rPr>
        <w:t>Perceived</w:t>
      </w:r>
      <w:r>
        <w:rPr>
          <w:spacing w:val="-6"/>
          <w:sz w:val="20"/>
        </w:rPr>
        <w:t> </w:t>
      </w:r>
      <w:r>
        <w:rPr>
          <w:sz w:val="20"/>
        </w:rPr>
        <w:t>value:</w:t>
      </w:r>
      <w:r>
        <w:rPr>
          <w:spacing w:val="-7"/>
          <w:sz w:val="20"/>
        </w:rPr>
        <w:t> </w:t>
      </w:r>
      <w:r>
        <w:rPr>
          <w:sz w:val="20"/>
        </w:rPr>
        <w:t>there</w:t>
      </w:r>
      <w:r>
        <w:rPr>
          <w:spacing w:val="-6"/>
          <w:sz w:val="20"/>
        </w:rPr>
        <w:t> </w:t>
      </w:r>
      <w:r>
        <w:rPr>
          <w:sz w:val="20"/>
        </w:rPr>
        <w:t>are</w:t>
      </w:r>
      <w:r>
        <w:rPr>
          <w:spacing w:val="-5"/>
          <w:sz w:val="20"/>
        </w:rPr>
        <w:t> </w:t>
      </w:r>
      <w:r>
        <w:rPr>
          <w:sz w:val="20"/>
        </w:rPr>
        <w:t>4</w:t>
      </w:r>
      <w:r>
        <w:rPr>
          <w:spacing w:val="-6"/>
          <w:sz w:val="20"/>
        </w:rPr>
        <w:t> </w:t>
      </w:r>
      <w:r>
        <w:rPr>
          <w:sz w:val="20"/>
        </w:rPr>
        <w:t>items</w:t>
      </w:r>
      <w:r>
        <w:rPr>
          <w:spacing w:val="-7"/>
          <w:sz w:val="20"/>
        </w:rPr>
        <w:t> </w:t>
      </w:r>
      <w:r>
        <w:rPr>
          <w:sz w:val="20"/>
        </w:rPr>
        <w:t>covering</w:t>
      </w:r>
      <w:r>
        <w:rPr>
          <w:spacing w:val="-8"/>
          <w:sz w:val="20"/>
        </w:rPr>
        <w:t> </w:t>
      </w:r>
      <w:r>
        <w:rPr>
          <w:sz w:val="20"/>
        </w:rPr>
        <w:t>2</w:t>
      </w:r>
      <w:r>
        <w:rPr>
          <w:spacing w:val="-6"/>
          <w:sz w:val="20"/>
        </w:rPr>
        <w:t> </w:t>
      </w:r>
      <w:r>
        <w:rPr>
          <w:sz w:val="20"/>
        </w:rPr>
        <w:t>dimensions</w:t>
      </w:r>
      <w:r>
        <w:rPr>
          <w:spacing w:val="-7"/>
          <w:sz w:val="20"/>
        </w:rPr>
        <w:t> </w:t>
      </w:r>
      <w:r>
        <w:rPr>
          <w:sz w:val="20"/>
        </w:rPr>
        <w:t>including</w:t>
      </w:r>
      <w:r>
        <w:rPr>
          <w:spacing w:val="-8"/>
          <w:sz w:val="20"/>
        </w:rPr>
        <w:t> </w:t>
      </w:r>
      <w:r>
        <w:rPr>
          <w:sz w:val="20"/>
        </w:rPr>
        <w:t>value</w:t>
      </w:r>
      <w:r>
        <w:rPr>
          <w:spacing w:val="-6"/>
          <w:sz w:val="20"/>
        </w:rPr>
        <w:t> </w:t>
      </w:r>
      <w:r>
        <w:rPr>
          <w:sz w:val="20"/>
        </w:rPr>
        <w:t>and</w:t>
      </w:r>
      <w:r>
        <w:rPr>
          <w:spacing w:val="-6"/>
          <w:sz w:val="20"/>
        </w:rPr>
        <w:t> </w:t>
      </w:r>
      <w:r>
        <w:rPr>
          <w:sz w:val="20"/>
        </w:rPr>
        <w:t>rationality;</w:t>
      </w:r>
      <w:r>
        <w:rPr>
          <w:spacing w:val="-7"/>
          <w:sz w:val="20"/>
        </w:rPr>
        <w:t> </w:t>
      </w:r>
      <w:r>
        <w:rPr>
          <w:sz w:val="20"/>
        </w:rPr>
        <w:t>the</w:t>
      </w:r>
      <w:r>
        <w:rPr>
          <w:spacing w:val="-7"/>
          <w:sz w:val="20"/>
        </w:rPr>
        <w:t> </w:t>
      </w:r>
      <w:r>
        <w:rPr>
          <w:sz w:val="20"/>
        </w:rPr>
        <w:t>reference</w:t>
      </w:r>
      <w:r>
        <w:rPr>
          <w:spacing w:val="-7"/>
          <w:sz w:val="20"/>
        </w:rPr>
        <w:t> </w:t>
      </w:r>
      <w:r>
        <w:rPr>
          <w:spacing w:val="-5"/>
          <w:sz w:val="20"/>
        </w:rPr>
        <w:t>is</w:t>
      </w:r>
    </w:p>
    <w:p>
      <w:pPr>
        <w:pStyle w:val="BodyText"/>
        <w:spacing w:line="228" w:lineRule="exact"/>
        <w:ind w:left="533"/>
        <w:jc w:val="both"/>
      </w:pPr>
      <w:r>
        <w:rPr/>
        <w:t>made</w:t>
      </w:r>
      <w:r>
        <w:rPr>
          <w:spacing w:val="-4"/>
        </w:rPr>
        <w:t> </w:t>
      </w:r>
      <w:r>
        <w:rPr/>
        <w:t>on</w:t>
      </w:r>
      <w:r>
        <w:rPr>
          <w:spacing w:val="-5"/>
        </w:rPr>
        <w:t> </w:t>
      </w:r>
      <w:r>
        <w:rPr/>
        <w:t>Dodds</w:t>
      </w:r>
      <w:r>
        <w:rPr>
          <w:spacing w:val="-4"/>
        </w:rPr>
        <w:t> </w:t>
      </w:r>
      <w:r>
        <w:rPr/>
        <w:t>et</w:t>
      </w:r>
      <w:r>
        <w:rPr>
          <w:spacing w:val="-4"/>
        </w:rPr>
        <w:t> </w:t>
      </w:r>
      <w:r>
        <w:rPr/>
        <w:t>al.</w:t>
      </w:r>
      <w:r>
        <w:rPr>
          <w:spacing w:val="-4"/>
        </w:rPr>
        <w:t> </w:t>
      </w:r>
      <w:r>
        <w:rPr/>
        <w:t>(1991)</w:t>
      </w:r>
      <w:r>
        <w:rPr>
          <w:spacing w:val="-6"/>
        </w:rPr>
        <w:t> </w:t>
      </w:r>
      <w:r>
        <w:rPr/>
        <w:t>with</w:t>
      </w:r>
      <w:r>
        <w:rPr>
          <w:spacing w:val="-3"/>
        </w:rPr>
        <w:t> </w:t>
      </w:r>
      <w:r>
        <w:rPr/>
        <w:t>few</w:t>
      </w:r>
      <w:r>
        <w:rPr>
          <w:spacing w:val="-4"/>
        </w:rPr>
        <w:t> </w:t>
      </w:r>
      <w:r>
        <w:rPr>
          <w:spacing w:val="-2"/>
        </w:rPr>
        <w:t>modifications.</w:t>
      </w:r>
    </w:p>
    <w:p>
      <w:pPr>
        <w:pStyle w:val="ListParagraph"/>
        <w:numPr>
          <w:ilvl w:val="0"/>
          <w:numId w:val="2"/>
        </w:numPr>
        <w:tabs>
          <w:tab w:pos="533" w:val="left" w:leader="none"/>
        </w:tabs>
        <w:spacing w:line="249" w:lineRule="auto" w:before="0" w:after="0"/>
        <w:ind w:left="533" w:right="511" w:hanging="240"/>
        <w:jc w:val="both"/>
        <w:rPr>
          <w:sz w:val="20"/>
        </w:rPr>
      </w:pPr>
      <w:r>
        <w:rPr>
          <w:sz w:val="20"/>
        </w:rPr>
        <w:t>Perceived</w:t>
      </w:r>
      <w:r>
        <w:rPr>
          <w:spacing w:val="-3"/>
          <w:sz w:val="20"/>
        </w:rPr>
        <w:t> </w:t>
      </w:r>
      <w:r>
        <w:rPr>
          <w:sz w:val="20"/>
        </w:rPr>
        <w:t>risk:</w:t>
      </w:r>
      <w:r>
        <w:rPr>
          <w:spacing w:val="-3"/>
          <w:sz w:val="20"/>
        </w:rPr>
        <w:t> </w:t>
      </w:r>
      <w:r>
        <w:rPr>
          <w:sz w:val="20"/>
        </w:rPr>
        <w:t>there</w:t>
      </w:r>
      <w:r>
        <w:rPr>
          <w:spacing w:val="-3"/>
          <w:sz w:val="20"/>
        </w:rPr>
        <w:t> </w:t>
      </w:r>
      <w:r>
        <w:rPr>
          <w:sz w:val="20"/>
        </w:rPr>
        <w:t>are</w:t>
      </w:r>
      <w:r>
        <w:rPr>
          <w:spacing w:val="-3"/>
          <w:sz w:val="20"/>
        </w:rPr>
        <w:t> </w:t>
      </w:r>
      <w:r>
        <w:rPr>
          <w:sz w:val="20"/>
        </w:rPr>
        <w:t>12</w:t>
      </w:r>
      <w:r>
        <w:rPr>
          <w:spacing w:val="-3"/>
          <w:sz w:val="20"/>
        </w:rPr>
        <w:t> </w:t>
      </w:r>
      <w:r>
        <w:rPr>
          <w:sz w:val="20"/>
        </w:rPr>
        <w:t>items</w:t>
      </w:r>
      <w:r>
        <w:rPr>
          <w:spacing w:val="-4"/>
          <w:sz w:val="20"/>
        </w:rPr>
        <w:t> </w:t>
      </w:r>
      <w:r>
        <w:rPr>
          <w:sz w:val="20"/>
        </w:rPr>
        <w:t>covering</w:t>
      </w:r>
      <w:r>
        <w:rPr>
          <w:spacing w:val="-4"/>
          <w:sz w:val="20"/>
        </w:rPr>
        <w:t> </w:t>
      </w:r>
      <w:r>
        <w:rPr>
          <w:sz w:val="20"/>
        </w:rPr>
        <w:t>6</w:t>
      </w:r>
      <w:r>
        <w:rPr>
          <w:spacing w:val="-3"/>
          <w:sz w:val="20"/>
        </w:rPr>
        <w:t> </w:t>
      </w:r>
      <w:r>
        <w:rPr>
          <w:sz w:val="20"/>
        </w:rPr>
        <w:t>dimensions</w:t>
      </w:r>
      <w:r>
        <w:rPr>
          <w:spacing w:val="-4"/>
          <w:sz w:val="20"/>
        </w:rPr>
        <w:t> </w:t>
      </w:r>
      <w:r>
        <w:rPr>
          <w:sz w:val="20"/>
        </w:rPr>
        <w:t>including</w:t>
      </w:r>
      <w:r>
        <w:rPr>
          <w:spacing w:val="-4"/>
          <w:sz w:val="20"/>
        </w:rPr>
        <w:t> </w:t>
      </w:r>
      <w:r>
        <w:rPr>
          <w:sz w:val="20"/>
        </w:rPr>
        <w:t>financial,</w:t>
      </w:r>
      <w:r>
        <w:rPr>
          <w:spacing w:val="-1"/>
          <w:sz w:val="20"/>
        </w:rPr>
        <w:t> </w:t>
      </w:r>
      <w:r>
        <w:rPr>
          <w:sz w:val="20"/>
        </w:rPr>
        <w:t>functional,</w:t>
      </w:r>
      <w:r>
        <w:rPr>
          <w:spacing w:val="-3"/>
          <w:sz w:val="20"/>
        </w:rPr>
        <w:t> </w:t>
      </w:r>
      <w:r>
        <w:rPr>
          <w:sz w:val="20"/>
        </w:rPr>
        <w:t>physical,</w:t>
      </w:r>
      <w:r>
        <w:rPr>
          <w:spacing w:val="-3"/>
          <w:sz w:val="20"/>
        </w:rPr>
        <w:t> </w:t>
      </w:r>
      <w:r>
        <w:rPr>
          <w:sz w:val="20"/>
        </w:rPr>
        <w:t>social, time and psychological.</w:t>
      </w:r>
    </w:p>
    <w:p>
      <w:pPr>
        <w:pStyle w:val="ListParagraph"/>
        <w:numPr>
          <w:ilvl w:val="0"/>
          <w:numId w:val="2"/>
        </w:numPr>
        <w:tabs>
          <w:tab w:pos="532" w:val="left" w:leader="none"/>
        </w:tabs>
        <w:spacing w:line="231" w:lineRule="exact" w:before="0" w:after="0"/>
        <w:ind w:left="532" w:right="0" w:hanging="239"/>
        <w:jc w:val="both"/>
        <w:rPr>
          <w:sz w:val="20"/>
        </w:rPr>
      </w:pPr>
      <w:r>
        <w:rPr>
          <w:sz w:val="20"/>
        </w:rPr>
        <w:t>Purchase</w:t>
      </w:r>
      <w:r>
        <w:rPr>
          <w:spacing w:val="-7"/>
          <w:sz w:val="20"/>
        </w:rPr>
        <w:t> </w:t>
      </w:r>
      <w:r>
        <w:rPr>
          <w:sz w:val="20"/>
        </w:rPr>
        <w:t>intention:</w:t>
      </w:r>
      <w:r>
        <w:rPr>
          <w:spacing w:val="-5"/>
          <w:sz w:val="20"/>
        </w:rPr>
        <w:t> </w:t>
      </w:r>
      <w:r>
        <w:rPr>
          <w:sz w:val="20"/>
        </w:rPr>
        <w:t>there</w:t>
      </w:r>
      <w:r>
        <w:rPr>
          <w:spacing w:val="-6"/>
          <w:sz w:val="20"/>
        </w:rPr>
        <w:t> </w:t>
      </w:r>
      <w:r>
        <w:rPr>
          <w:sz w:val="20"/>
        </w:rPr>
        <w:t>are</w:t>
      </w:r>
      <w:r>
        <w:rPr>
          <w:spacing w:val="-5"/>
          <w:sz w:val="20"/>
        </w:rPr>
        <w:t> </w:t>
      </w:r>
      <w:r>
        <w:rPr>
          <w:sz w:val="20"/>
        </w:rPr>
        <w:t>10</w:t>
      </w:r>
      <w:r>
        <w:rPr>
          <w:spacing w:val="-6"/>
          <w:sz w:val="20"/>
        </w:rPr>
        <w:t> </w:t>
      </w:r>
      <w:r>
        <w:rPr>
          <w:sz w:val="20"/>
        </w:rPr>
        <w:t>items</w:t>
      </w:r>
      <w:r>
        <w:rPr>
          <w:spacing w:val="-7"/>
          <w:sz w:val="20"/>
        </w:rPr>
        <w:t> </w:t>
      </w:r>
      <w:r>
        <w:rPr>
          <w:sz w:val="20"/>
        </w:rPr>
        <w:t>covering</w:t>
      </w:r>
      <w:r>
        <w:rPr>
          <w:spacing w:val="-7"/>
          <w:sz w:val="20"/>
        </w:rPr>
        <w:t> </w:t>
      </w:r>
      <w:r>
        <w:rPr>
          <w:sz w:val="20"/>
        </w:rPr>
        <w:t>4</w:t>
      </w:r>
      <w:r>
        <w:rPr>
          <w:spacing w:val="-6"/>
          <w:sz w:val="20"/>
        </w:rPr>
        <w:t> </w:t>
      </w:r>
      <w:r>
        <w:rPr>
          <w:sz w:val="20"/>
        </w:rPr>
        <w:t>dimensions</w:t>
      </w:r>
      <w:r>
        <w:rPr>
          <w:spacing w:val="-5"/>
          <w:sz w:val="20"/>
        </w:rPr>
        <w:t> </w:t>
      </w:r>
      <w:r>
        <w:rPr>
          <w:sz w:val="20"/>
        </w:rPr>
        <w:t>including</w:t>
      </w:r>
      <w:r>
        <w:rPr>
          <w:spacing w:val="-7"/>
          <w:sz w:val="20"/>
        </w:rPr>
        <w:t> </w:t>
      </w:r>
      <w:r>
        <w:rPr>
          <w:sz w:val="20"/>
        </w:rPr>
        <w:t>“Want</w:t>
      </w:r>
      <w:r>
        <w:rPr>
          <w:spacing w:val="-6"/>
          <w:sz w:val="20"/>
        </w:rPr>
        <w:t> </w:t>
      </w:r>
      <w:r>
        <w:rPr>
          <w:sz w:val="20"/>
        </w:rPr>
        <w:t>to</w:t>
      </w:r>
      <w:r>
        <w:rPr>
          <w:spacing w:val="-6"/>
          <w:sz w:val="20"/>
        </w:rPr>
        <w:t> </w:t>
      </w:r>
      <w:r>
        <w:rPr>
          <w:sz w:val="20"/>
        </w:rPr>
        <w:t>purchase”,</w:t>
      </w:r>
      <w:r>
        <w:rPr>
          <w:spacing w:val="-6"/>
          <w:sz w:val="20"/>
        </w:rPr>
        <w:t> </w:t>
      </w:r>
      <w:r>
        <w:rPr>
          <w:spacing w:val="-2"/>
          <w:sz w:val="20"/>
        </w:rPr>
        <w:t>“Purchase</w:t>
      </w:r>
    </w:p>
    <w:p>
      <w:pPr>
        <w:pStyle w:val="BodyText"/>
        <w:spacing w:line="249" w:lineRule="auto" w:before="5"/>
        <w:ind w:left="533" w:right="447"/>
        <w:jc w:val="both"/>
      </w:pPr>
      <w:r>
        <w:rPr/>
        <w:t>Immediately”, “First</w:t>
      </w:r>
      <w:r>
        <w:rPr>
          <w:spacing w:val="-3"/>
        </w:rPr>
        <w:t> </w:t>
      </w:r>
      <w:r>
        <w:rPr/>
        <w:t>Choice”</w:t>
      </w:r>
      <w:r>
        <w:rPr>
          <w:spacing w:val="-3"/>
        </w:rPr>
        <w:t> </w:t>
      </w:r>
      <w:r>
        <w:rPr/>
        <w:t>and</w:t>
      </w:r>
      <w:r>
        <w:rPr>
          <w:spacing w:val="-3"/>
        </w:rPr>
        <w:t> </w:t>
      </w:r>
      <w:r>
        <w:rPr/>
        <w:t>“Recommend”</w:t>
      </w:r>
      <w:r>
        <w:rPr>
          <w:spacing w:val="-3"/>
        </w:rPr>
        <w:t> </w:t>
      </w:r>
      <w:r>
        <w:rPr/>
        <w:t>(Kim</w:t>
      </w:r>
      <w:r>
        <w:rPr>
          <w:spacing w:val="-7"/>
        </w:rPr>
        <w:t> </w:t>
      </w:r>
      <w:r>
        <w:rPr/>
        <w:t>et.</w:t>
      </w:r>
      <w:r>
        <w:rPr>
          <w:spacing w:val="-3"/>
        </w:rPr>
        <w:t> </w:t>
      </w:r>
      <w:r>
        <w:rPr/>
        <w:t>al.,</w:t>
      </w:r>
      <w:r>
        <w:rPr>
          <w:spacing w:val="-3"/>
        </w:rPr>
        <w:t> </w:t>
      </w:r>
      <w:r>
        <w:rPr/>
        <w:t>2008);</w:t>
      </w:r>
      <w:r>
        <w:rPr>
          <w:spacing w:val="-3"/>
        </w:rPr>
        <w:t> </w:t>
      </w:r>
      <w:r>
        <w:rPr/>
        <w:t>the</w:t>
      </w:r>
      <w:r>
        <w:rPr>
          <w:spacing w:val="-3"/>
        </w:rPr>
        <w:t> </w:t>
      </w:r>
      <w:r>
        <w:rPr/>
        <w:t>assessment</w:t>
      </w:r>
      <w:r>
        <w:rPr>
          <w:spacing w:val="-4"/>
        </w:rPr>
        <w:t> </w:t>
      </w:r>
      <w:r>
        <w:rPr/>
        <w:t>is</w:t>
      </w:r>
      <w:r>
        <w:rPr>
          <w:spacing w:val="-1"/>
        </w:rPr>
        <w:t> </w:t>
      </w:r>
      <w:r>
        <w:rPr/>
        <w:t>made</w:t>
      </w:r>
      <w:r>
        <w:rPr>
          <w:spacing w:val="-3"/>
        </w:rPr>
        <w:t> </w:t>
      </w:r>
      <w:r>
        <w:rPr/>
        <w:t>using</w:t>
      </w:r>
      <w:r>
        <w:rPr>
          <w:spacing w:val="-2"/>
        </w:rPr>
        <w:t> </w:t>
      </w:r>
      <w:r>
        <w:rPr/>
        <w:t>Likert five-point scale.</w:t>
      </w:r>
    </w:p>
    <w:p>
      <w:pPr>
        <w:pStyle w:val="ListParagraph"/>
        <w:numPr>
          <w:ilvl w:val="0"/>
          <w:numId w:val="2"/>
        </w:numPr>
        <w:tabs>
          <w:tab w:pos="532" w:val="left" w:leader="none"/>
        </w:tabs>
        <w:spacing w:line="232" w:lineRule="exact" w:before="0" w:after="0"/>
        <w:ind w:left="532" w:right="0" w:hanging="239"/>
        <w:jc w:val="both"/>
        <w:rPr>
          <w:sz w:val="20"/>
        </w:rPr>
      </w:pPr>
      <w:r>
        <w:rPr>
          <w:sz w:val="20"/>
        </w:rPr>
        <w:t>Background:</w:t>
      </w:r>
      <w:r>
        <w:rPr>
          <w:spacing w:val="-10"/>
          <w:sz w:val="20"/>
        </w:rPr>
        <w:t> </w:t>
      </w:r>
      <w:r>
        <w:rPr>
          <w:sz w:val="20"/>
        </w:rPr>
        <w:t>the</w:t>
      </w:r>
      <w:r>
        <w:rPr>
          <w:spacing w:val="-9"/>
          <w:sz w:val="20"/>
        </w:rPr>
        <w:t> </w:t>
      </w:r>
      <w:r>
        <w:rPr>
          <w:sz w:val="20"/>
        </w:rPr>
        <w:t>questions</w:t>
      </w:r>
      <w:r>
        <w:rPr>
          <w:spacing w:val="-10"/>
          <w:sz w:val="20"/>
        </w:rPr>
        <w:t> </w:t>
      </w:r>
      <w:r>
        <w:rPr>
          <w:sz w:val="20"/>
        </w:rPr>
        <w:t>cover</w:t>
      </w:r>
      <w:r>
        <w:rPr>
          <w:spacing w:val="-10"/>
          <w:sz w:val="20"/>
        </w:rPr>
        <w:t> </w:t>
      </w:r>
      <w:r>
        <w:rPr>
          <w:sz w:val="20"/>
        </w:rPr>
        <w:t>socioeconomical</w:t>
      </w:r>
      <w:r>
        <w:rPr>
          <w:spacing w:val="-7"/>
          <w:sz w:val="20"/>
        </w:rPr>
        <w:t> </w:t>
      </w:r>
      <w:r>
        <w:rPr>
          <w:sz w:val="20"/>
        </w:rPr>
        <w:t>variable</w:t>
      </w:r>
      <w:r>
        <w:rPr>
          <w:spacing w:val="-9"/>
          <w:sz w:val="20"/>
        </w:rPr>
        <w:t> </w:t>
      </w:r>
      <w:r>
        <w:rPr>
          <w:sz w:val="20"/>
        </w:rPr>
        <w:t>and</w:t>
      </w:r>
      <w:r>
        <w:rPr>
          <w:spacing w:val="-10"/>
          <w:sz w:val="20"/>
        </w:rPr>
        <w:t> </w:t>
      </w:r>
      <w:r>
        <w:rPr>
          <w:sz w:val="20"/>
        </w:rPr>
        <w:t>demographic</w:t>
      </w:r>
      <w:r>
        <w:rPr>
          <w:spacing w:val="-7"/>
          <w:sz w:val="20"/>
        </w:rPr>
        <w:t> </w:t>
      </w:r>
      <w:r>
        <w:rPr>
          <w:sz w:val="20"/>
        </w:rPr>
        <w:t>variables</w:t>
      </w:r>
      <w:r>
        <w:rPr>
          <w:spacing w:val="-11"/>
          <w:sz w:val="20"/>
        </w:rPr>
        <w:t> </w:t>
      </w:r>
      <w:r>
        <w:rPr>
          <w:sz w:val="20"/>
        </w:rPr>
        <w:t>including</w:t>
      </w:r>
      <w:r>
        <w:rPr>
          <w:spacing w:val="-10"/>
          <w:sz w:val="20"/>
        </w:rPr>
        <w:t> </w:t>
      </w:r>
      <w:r>
        <w:rPr>
          <w:spacing w:val="-2"/>
          <w:sz w:val="20"/>
        </w:rPr>
        <w:t>gender,</w:t>
      </w:r>
    </w:p>
    <w:p>
      <w:pPr>
        <w:pStyle w:val="BodyText"/>
        <w:spacing w:line="249" w:lineRule="auto" w:before="9"/>
        <w:ind w:left="533" w:right="397"/>
        <w:jc w:val="both"/>
      </w:pPr>
      <w:r>
        <w:rPr/>
        <w:t>marital</w:t>
      </w:r>
      <w:r>
        <w:rPr>
          <w:spacing w:val="-3"/>
        </w:rPr>
        <w:t> </w:t>
      </w:r>
      <w:r>
        <w:rPr/>
        <w:t>status,</w:t>
      </w:r>
      <w:r>
        <w:rPr>
          <w:spacing w:val="-3"/>
        </w:rPr>
        <w:t> </w:t>
      </w:r>
      <w:r>
        <w:rPr/>
        <w:t>age,</w:t>
      </w:r>
      <w:r>
        <w:rPr>
          <w:spacing w:val="-3"/>
        </w:rPr>
        <w:t> </w:t>
      </w:r>
      <w:r>
        <w:rPr/>
        <w:t>education,</w:t>
      </w:r>
      <w:r>
        <w:rPr>
          <w:spacing w:val="-3"/>
        </w:rPr>
        <w:t> </w:t>
      </w:r>
      <w:r>
        <w:rPr/>
        <w:t>occupation,</w:t>
      </w:r>
      <w:r>
        <w:rPr>
          <w:spacing w:val="-3"/>
        </w:rPr>
        <w:t> </w:t>
      </w:r>
      <w:r>
        <w:rPr/>
        <w:t>income</w:t>
      </w:r>
      <w:r>
        <w:rPr>
          <w:spacing w:val="-3"/>
        </w:rPr>
        <w:t> </w:t>
      </w:r>
      <w:r>
        <w:rPr/>
        <w:t>and</w:t>
      </w:r>
      <w:r>
        <w:rPr>
          <w:spacing w:val="-3"/>
        </w:rPr>
        <w:t> </w:t>
      </w:r>
      <w:r>
        <w:rPr/>
        <w:t>etc;</w:t>
      </w:r>
      <w:r>
        <w:rPr>
          <w:spacing w:val="-3"/>
        </w:rPr>
        <w:t> </w:t>
      </w:r>
      <w:r>
        <w:rPr/>
        <w:t>the</w:t>
      </w:r>
      <w:r>
        <w:rPr>
          <w:spacing w:val="-5"/>
        </w:rPr>
        <w:t> </w:t>
      </w:r>
      <w:r>
        <w:rPr/>
        <w:t>purpose</w:t>
      </w:r>
      <w:r>
        <w:rPr>
          <w:spacing w:val="-2"/>
        </w:rPr>
        <w:t> </w:t>
      </w:r>
      <w:r>
        <w:rPr/>
        <w:t>is</w:t>
      </w:r>
      <w:r>
        <w:rPr>
          <w:spacing w:val="-4"/>
        </w:rPr>
        <w:t> </w:t>
      </w:r>
      <w:r>
        <w:rPr/>
        <w:t>to</w:t>
      </w:r>
      <w:r>
        <w:rPr>
          <w:spacing w:val="-2"/>
        </w:rPr>
        <w:t> </w:t>
      </w:r>
      <w:r>
        <w:rPr/>
        <w:t>have further</w:t>
      </w:r>
      <w:r>
        <w:rPr>
          <w:spacing w:val="-2"/>
        </w:rPr>
        <w:t> </w:t>
      </w:r>
      <w:r>
        <w:rPr/>
        <w:t>understanding</w:t>
      </w:r>
      <w:r>
        <w:rPr>
          <w:spacing w:val="-4"/>
        </w:rPr>
        <w:t> </w:t>
      </w:r>
      <w:r>
        <w:rPr/>
        <w:t>on the investigated subjects.</w:t>
      </w:r>
    </w:p>
    <w:p>
      <w:pPr>
        <w:pStyle w:val="BodyText"/>
        <w:spacing w:line="249" w:lineRule="auto" w:before="2"/>
        <w:ind w:left="293" w:right="284" w:firstLine="237"/>
        <w:jc w:val="both"/>
      </w:pPr>
      <w:r>
        <w:rPr/>
        <w:t>As to verify the evaluation content validity, three experts are invited to examine the question items and its fitness. After rephrasing seven questions, pilot run is carried out and questionnaire expert validity has been verified. The survey starts from December 2001; there are 100 pilot run questionnaires with 74 valid ones. This study utilizes item analysis and reliability estimation to examine the discriminant validity and internal consistency of the assessment. The result of item analysis shows that each dimensions' reliability index is above 0.7. Therefore, the questionnaire is regarded to have discriminant validity and internal consistency suitable for formal dispense.</w:t>
      </w:r>
    </w:p>
    <w:p>
      <w:pPr>
        <w:pStyle w:val="BodyText"/>
        <w:spacing w:line="249" w:lineRule="auto" w:before="6"/>
        <w:ind w:left="293" w:right="284" w:firstLine="237"/>
        <w:jc w:val="both"/>
      </w:pPr>
      <w:r>
        <w:rPr/>
        <w:t>The formal survey starts from January to February in 2012 covering the major five urban regions in</w:t>
      </w:r>
      <w:r>
        <w:rPr>
          <w:spacing w:val="80"/>
        </w:rPr>
        <w:t> </w:t>
      </w:r>
      <w:r>
        <w:rPr/>
        <w:t>Taiwan (including Taipei, Hsinchu, Taichung, Tainan and Kaohsiung). The investigated subjects are adults with age above 18. The number of samples for each region is determined proportionally in accords to the regional population. There are 500 questionnaires dispensed in total with 468 responded. There are 431 valid questionnaires after the removal of 37 invalids; the response rate is 86.2%.</w:t>
      </w:r>
    </w:p>
    <w:p>
      <w:pPr>
        <w:spacing w:after="0" w:line="249" w:lineRule="auto"/>
        <w:jc w:val="both"/>
        <w:sectPr>
          <w:pgSz w:w="10890" w:h="14860"/>
          <w:pgMar w:header="713" w:footer="0" w:top="900" w:bottom="280" w:left="520" w:right="940"/>
        </w:sectPr>
      </w:pPr>
    </w:p>
    <w:p>
      <w:pPr>
        <w:pStyle w:val="BodyText"/>
        <w:spacing w:before="102"/>
      </w:pPr>
    </w:p>
    <w:p>
      <w:pPr>
        <w:pStyle w:val="ListParagraph"/>
        <w:numPr>
          <w:ilvl w:val="0"/>
          <w:numId w:val="1"/>
        </w:numPr>
        <w:tabs>
          <w:tab w:pos="441" w:val="left" w:leader="none"/>
        </w:tabs>
        <w:spacing w:line="240" w:lineRule="auto" w:before="0" w:after="0"/>
        <w:ind w:left="441" w:right="0" w:hanging="205"/>
        <w:jc w:val="left"/>
        <w:rPr>
          <w:sz w:val="20"/>
        </w:rPr>
      </w:pPr>
      <w:r>
        <w:rPr>
          <w:w w:val="105"/>
          <w:sz w:val="20"/>
        </w:rPr>
        <w:t>Empirical</w:t>
      </w:r>
      <w:r>
        <w:rPr>
          <w:spacing w:val="16"/>
          <w:w w:val="105"/>
          <w:sz w:val="20"/>
        </w:rPr>
        <w:t> </w:t>
      </w:r>
      <w:r>
        <w:rPr>
          <w:spacing w:val="-2"/>
          <w:w w:val="105"/>
          <w:sz w:val="20"/>
        </w:rPr>
        <w:t>analysis</w:t>
      </w:r>
    </w:p>
    <w:p>
      <w:pPr>
        <w:pStyle w:val="BodyText"/>
        <w:spacing w:before="20"/>
      </w:pPr>
    </w:p>
    <w:p>
      <w:pPr>
        <w:pStyle w:val="ListParagraph"/>
        <w:numPr>
          <w:ilvl w:val="1"/>
          <w:numId w:val="1"/>
        </w:numPr>
        <w:tabs>
          <w:tab w:pos="710" w:val="left" w:leader="none"/>
        </w:tabs>
        <w:spacing w:line="240" w:lineRule="auto" w:before="0" w:after="0"/>
        <w:ind w:left="710" w:right="0" w:hanging="354"/>
        <w:jc w:val="left"/>
        <w:rPr>
          <w:i/>
          <w:sz w:val="20"/>
        </w:rPr>
      </w:pPr>
      <w:r>
        <w:rPr>
          <w:i/>
          <w:sz w:val="20"/>
        </w:rPr>
        <w:t>SEM</w:t>
      </w:r>
      <w:r>
        <w:rPr>
          <w:i/>
          <w:spacing w:val="-2"/>
          <w:sz w:val="20"/>
        </w:rPr>
        <w:t> </w:t>
      </w:r>
      <w:r>
        <w:rPr>
          <w:i/>
          <w:sz w:val="20"/>
        </w:rPr>
        <w:t>model</w:t>
      </w:r>
      <w:r>
        <w:rPr>
          <w:i/>
          <w:spacing w:val="-2"/>
          <w:sz w:val="20"/>
        </w:rPr>
        <w:t> analysis</w:t>
      </w:r>
    </w:p>
    <w:p>
      <w:pPr>
        <w:pStyle w:val="BodyText"/>
        <w:spacing w:before="20"/>
        <w:rPr>
          <w:i/>
        </w:rPr>
      </w:pPr>
    </w:p>
    <w:p>
      <w:pPr>
        <w:pStyle w:val="BodyText"/>
        <w:spacing w:line="249" w:lineRule="auto"/>
        <w:ind w:left="236" w:right="341" w:firstLine="237"/>
        <w:jc w:val="both"/>
      </w:pPr>
      <w:r>
        <w:rPr>
          <w:i/>
        </w:rPr>
        <w:t>Preliminary fit criteria</w:t>
      </w:r>
      <w:r>
        <w:rPr/>
        <w:t>. According to Table 1, each dimension scales' factor loading is greater than 0.6 and has reached significant level; Also, there is no negative value in measurement errors. Therefore, theoretical model has complied basic fitness requirement.</w:t>
      </w:r>
    </w:p>
    <w:p>
      <w:pPr>
        <w:pStyle w:val="BodyText"/>
        <w:spacing w:line="249" w:lineRule="auto" w:before="3"/>
        <w:ind w:left="236" w:right="341" w:firstLine="237"/>
        <w:jc w:val="both"/>
      </w:pPr>
      <w:r>
        <w:rPr>
          <w:i/>
        </w:rPr>
        <w:t>Fit of internal structure of model</w:t>
      </w:r>
      <w:r>
        <w:rPr/>
        <w:t>. Table 1 shows that theoretical model dimensions' Cronbach's a</w:t>
      </w:r>
      <w:r>
        <w:rPr>
          <w:spacing w:val="80"/>
        </w:rPr>
        <w:t> </w:t>
      </w:r>
      <w:r>
        <w:rPr/>
        <w:t>reliability are all above 0.8. The lurking variables' structural reliability are also above 0.8 and their variance </w:t>
      </w:r>
      <w:r>
        <w:rPr>
          <w:color w:val="212121"/>
        </w:rPr>
        <w:t>extracted rate are also greater than 0.58. Overall, the internal structural fitness of the theoretical model is </w:t>
      </w:r>
      <w:r>
        <w:rPr>
          <w:color w:val="212121"/>
          <w:spacing w:val="-2"/>
        </w:rPr>
        <w:t>satisfactory.</w:t>
      </w:r>
    </w:p>
    <w:p>
      <w:pPr>
        <w:spacing w:before="208"/>
        <w:ind w:left="236" w:right="0" w:firstLine="0"/>
        <w:jc w:val="left"/>
        <w:rPr>
          <w:sz w:val="16"/>
        </w:rPr>
      </w:pPr>
      <w:r>
        <w:rPr>
          <w:sz w:val="16"/>
        </w:rPr>
        <w:t>Table</w:t>
      </w:r>
      <w:r>
        <w:rPr>
          <w:spacing w:val="-5"/>
          <w:sz w:val="16"/>
        </w:rPr>
        <w:t> </w:t>
      </w:r>
      <w:r>
        <w:rPr>
          <w:sz w:val="16"/>
        </w:rPr>
        <w:t>1.</w:t>
      </w:r>
      <w:r>
        <w:rPr>
          <w:spacing w:val="-5"/>
          <w:sz w:val="16"/>
        </w:rPr>
        <w:t> </w:t>
      </w:r>
      <w:r>
        <w:rPr>
          <w:sz w:val="16"/>
        </w:rPr>
        <w:t>Measurement</w:t>
      </w:r>
      <w:r>
        <w:rPr>
          <w:spacing w:val="-5"/>
          <w:sz w:val="16"/>
        </w:rPr>
        <w:t> </w:t>
      </w:r>
      <w:r>
        <w:rPr>
          <w:sz w:val="16"/>
        </w:rPr>
        <w:t>model</w:t>
      </w:r>
      <w:r>
        <w:rPr>
          <w:spacing w:val="-5"/>
          <w:sz w:val="16"/>
        </w:rPr>
        <w:t> </w:t>
      </w:r>
      <w:r>
        <w:rPr>
          <w:sz w:val="16"/>
        </w:rPr>
        <w:t>analysis</w:t>
      </w:r>
      <w:r>
        <w:rPr>
          <w:spacing w:val="-1"/>
          <w:sz w:val="16"/>
        </w:rPr>
        <w:t> </w:t>
      </w:r>
      <w:r>
        <w:rPr>
          <w:spacing w:val="-2"/>
          <w:sz w:val="16"/>
        </w:rPr>
        <w:t>result</w:t>
      </w:r>
    </w:p>
    <w:p>
      <w:pPr>
        <w:pStyle w:val="BodyText"/>
        <w:spacing w:before="21"/>
      </w:pP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2059"/>
        <w:gridCol w:w="854"/>
        <w:gridCol w:w="687"/>
        <w:gridCol w:w="687"/>
        <w:gridCol w:w="1240"/>
      </w:tblGrid>
      <w:tr>
        <w:trPr>
          <w:trHeight w:val="198" w:hRule="atLeast"/>
        </w:trPr>
        <w:tc>
          <w:tcPr>
            <w:tcW w:w="1857" w:type="dxa"/>
            <w:tcBorders>
              <w:top w:val="single" w:sz="4" w:space="0" w:color="000000"/>
              <w:bottom w:val="single" w:sz="4" w:space="0" w:color="000000"/>
            </w:tcBorders>
          </w:tcPr>
          <w:p>
            <w:pPr>
              <w:pStyle w:val="TableParagraph"/>
              <w:spacing w:line="168" w:lineRule="exact" w:before="11"/>
              <w:ind w:left="648"/>
              <w:rPr>
                <w:sz w:val="16"/>
              </w:rPr>
            </w:pPr>
            <w:r>
              <w:rPr>
                <w:spacing w:val="-2"/>
                <w:sz w:val="16"/>
              </w:rPr>
              <w:t>Dimension</w:t>
            </w:r>
          </w:p>
        </w:tc>
        <w:tc>
          <w:tcPr>
            <w:tcW w:w="2059" w:type="dxa"/>
            <w:tcBorders>
              <w:top w:val="single" w:sz="4" w:space="0" w:color="000000"/>
              <w:bottom w:val="single" w:sz="4" w:space="0" w:color="000000"/>
            </w:tcBorders>
          </w:tcPr>
          <w:p>
            <w:pPr>
              <w:pStyle w:val="TableParagraph"/>
              <w:spacing w:line="168" w:lineRule="exact" w:before="11"/>
              <w:ind w:left="242"/>
              <w:rPr>
                <w:sz w:val="16"/>
              </w:rPr>
            </w:pPr>
            <w:r>
              <w:rPr>
                <w:spacing w:val="-2"/>
                <w:sz w:val="16"/>
              </w:rPr>
              <w:t>Standardized</w:t>
            </w:r>
            <w:r>
              <w:rPr>
                <w:spacing w:val="13"/>
                <w:sz w:val="16"/>
              </w:rPr>
              <w:t> </w:t>
            </w:r>
            <w:r>
              <w:rPr>
                <w:spacing w:val="-2"/>
                <w:sz w:val="16"/>
              </w:rPr>
              <w:t>coefficientβ</w:t>
            </w:r>
          </w:p>
        </w:tc>
        <w:tc>
          <w:tcPr>
            <w:tcW w:w="854" w:type="dxa"/>
            <w:tcBorders>
              <w:top w:val="single" w:sz="4" w:space="0" w:color="000000"/>
              <w:bottom w:val="single" w:sz="4" w:space="0" w:color="000000"/>
            </w:tcBorders>
          </w:tcPr>
          <w:p>
            <w:pPr>
              <w:pStyle w:val="TableParagraph"/>
              <w:spacing w:line="168" w:lineRule="exact" w:before="11"/>
              <w:ind w:left="168"/>
              <w:rPr>
                <w:sz w:val="16"/>
              </w:rPr>
            </w:pPr>
            <w:r>
              <w:rPr>
                <w:i/>
                <w:sz w:val="16"/>
              </w:rPr>
              <w:t>t</w:t>
            </w:r>
            <w:r>
              <w:rPr>
                <w:i/>
                <w:spacing w:val="40"/>
                <w:sz w:val="16"/>
              </w:rPr>
              <w:t> </w:t>
            </w:r>
            <w:r>
              <w:rPr>
                <w:spacing w:val="-2"/>
                <w:sz w:val="16"/>
              </w:rPr>
              <w:t>value</w:t>
            </w:r>
          </w:p>
        </w:tc>
        <w:tc>
          <w:tcPr>
            <w:tcW w:w="687" w:type="dxa"/>
            <w:tcBorders>
              <w:top w:val="single" w:sz="4" w:space="0" w:color="000000"/>
              <w:bottom w:val="single" w:sz="4" w:space="0" w:color="000000"/>
            </w:tcBorders>
          </w:tcPr>
          <w:p>
            <w:pPr>
              <w:pStyle w:val="TableParagraph"/>
              <w:spacing w:line="168" w:lineRule="exact" w:before="11"/>
              <w:ind w:left="68" w:right="93"/>
              <w:jc w:val="center"/>
              <w:rPr>
                <w:sz w:val="16"/>
              </w:rPr>
            </w:pPr>
            <w:r>
              <w:rPr>
                <w:spacing w:val="-5"/>
                <w:sz w:val="16"/>
              </w:rPr>
              <w:t>AVE</w:t>
            </w:r>
          </w:p>
        </w:tc>
        <w:tc>
          <w:tcPr>
            <w:tcW w:w="687" w:type="dxa"/>
            <w:tcBorders>
              <w:top w:val="single" w:sz="4" w:space="0" w:color="000000"/>
              <w:bottom w:val="single" w:sz="4" w:space="0" w:color="000000"/>
            </w:tcBorders>
          </w:tcPr>
          <w:p>
            <w:pPr>
              <w:pStyle w:val="TableParagraph"/>
              <w:spacing w:line="168" w:lineRule="exact" w:before="11"/>
              <w:ind w:right="93"/>
              <w:jc w:val="center"/>
              <w:rPr>
                <w:sz w:val="16"/>
              </w:rPr>
            </w:pPr>
            <w:r>
              <w:rPr>
                <w:spacing w:val="-5"/>
                <w:sz w:val="16"/>
              </w:rPr>
              <w:t>CR</w:t>
            </w:r>
          </w:p>
        </w:tc>
        <w:tc>
          <w:tcPr>
            <w:tcW w:w="1240" w:type="dxa"/>
            <w:tcBorders>
              <w:top w:val="single" w:sz="4" w:space="0" w:color="000000"/>
              <w:bottom w:val="single" w:sz="4" w:space="0" w:color="000000"/>
            </w:tcBorders>
          </w:tcPr>
          <w:p>
            <w:pPr>
              <w:pStyle w:val="TableParagraph"/>
              <w:spacing w:line="168" w:lineRule="exact" w:before="11"/>
              <w:ind w:left="208"/>
              <w:rPr>
                <w:sz w:val="16"/>
              </w:rPr>
            </w:pPr>
            <w:r>
              <w:rPr>
                <w:sz w:val="16"/>
              </w:rPr>
              <w:t>Cronbach's</w:t>
            </w:r>
            <w:r>
              <w:rPr>
                <w:spacing w:val="14"/>
                <w:w w:val="110"/>
                <w:sz w:val="16"/>
              </w:rPr>
              <w:t> </w:t>
            </w:r>
            <w:r>
              <w:rPr>
                <w:spacing w:val="-10"/>
                <w:w w:val="110"/>
                <w:sz w:val="16"/>
              </w:rPr>
              <w:t>a</w:t>
            </w:r>
          </w:p>
        </w:tc>
      </w:tr>
      <w:tr>
        <w:trPr>
          <w:trHeight w:val="199" w:hRule="atLeast"/>
        </w:trPr>
        <w:tc>
          <w:tcPr>
            <w:tcW w:w="1857" w:type="dxa"/>
            <w:tcBorders>
              <w:top w:val="single" w:sz="4" w:space="0" w:color="000000"/>
            </w:tcBorders>
          </w:tcPr>
          <w:p>
            <w:pPr>
              <w:pStyle w:val="TableParagraph"/>
              <w:spacing w:line="168" w:lineRule="exact" w:before="11"/>
              <w:ind w:left="115"/>
              <w:rPr>
                <w:sz w:val="16"/>
              </w:rPr>
            </w:pPr>
            <w:r>
              <w:rPr>
                <w:w w:val="105"/>
                <w:sz w:val="16"/>
              </w:rPr>
              <w:t>Perceived</w:t>
            </w:r>
            <w:r>
              <w:rPr>
                <w:spacing w:val="-6"/>
                <w:w w:val="105"/>
                <w:sz w:val="16"/>
              </w:rPr>
              <w:t> </w:t>
            </w:r>
            <w:r>
              <w:rPr>
                <w:spacing w:val="-4"/>
                <w:w w:val="110"/>
                <w:sz w:val="16"/>
              </w:rPr>
              <w:t>risk</w:t>
            </w:r>
          </w:p>
        </w:tc>
        <w:tc>
          <w:tcPr>
            <w:tcW w:w="2059" w:type="dxa"/>
            <w:tcBorders>
              <w:top w:val="single" w:sz="4" w:space="0" w:color="000000"/>
            </w:tcBorders>
          </w:tcPr>
          <w:p>
            <w:pPr>
              <w:pStyle w:val="TableParagraph"/>
              <w:rPr>
                <w:sz w:val="12"/>
              </w:rPr>
            </w:pPr>
          </w:p>
        </w:tc>
        <w:tc>
          <w:tcPr>
            <w:tcW w:w="854" w:type="dxa"/>
            <w:tcBorders>
              <w:top w:val="single" w:sz="4" w:space="0" w:color="000000"/>
            </w:tcBorders>
          </w:tcPr>
          <w:p>
            <w:pPr>
              <w:pStyle w:val="TableParagraph"/>
              <w:rPr>
                <w:sz w:val="12"/>
              </w:rPr>
            </w:pPr>
          </w:p>
        </w:tc>
        <w:tc>
          <w:tcPr>
            <w:tcW w:w="687" w:type="dxa"/>
            <w:tcBorders>
              <w:top w:val="single" w:sz="4" w:space="0" w:color="000000"/>
            </w:tcBorders>
          </w:tcPr>
          <w:p>
            <w:pPr>
              <w:pStyle w:val="TableParagraph"/>
              <w:spacing w:line="168" w:lineRule="exact" w:before="11"/>
              <w:ind w:left="25" w:right="93"/>
              <w:jc w:val="center"/>
              <w:rPr>
                <w:sz w:val="16"/>
              </w:rPr>
            </w:pPr>
            <w:r>
              <w:rPr>
                <w:spacing w:val="-4"/>
                <w:sz w:val="16"/>
              </w:rPr>
              <w:t>0.63</w:t>
            </w:r>
          </w:p>
        </w:tc>
        <w:tc>
          <w:tcPr>
            <w:tcW w:w="687" w:type="dxa"/>
            <w:tcBorders>
              <w:top w:val="single" w:sz="4" w:space="0" w:color="000000"/>
            </w:tcBorders>
          </w:tcPr>
          <w:p>
            <w:pPr>
              <w:pStyle w:val="TableParagraph"/>
              <w:spacing w:line="168" w:lineRule="exact" w:before="11"/>
              <w:ind w:left="67" w:right="93"/>
              <w:jc w:val="center"/>
              <w:rPr>
                <w:sz w:val="16"/>
              </w:rPr>
            </w:pPr>
            <w:r>
              <w:rPr>
                <w:spacing w:val="-4"/>
                <w:sz w:val="16"/>
              </w:rPr>
              <w:t>0.82</w:t>
            </w:r>
          </w:p>
        </w:tc>
        <w:tc>
          <w:tcPr>
            <w:tcW w:w="1240" w:type="dxa"/>
            <w:tcBorders>
              <w:top w:val="single" w:sz="4" w:space="0" w:color="000000"/>
            </w:tcBorders>
          </w:tcPr>
          <w:p>
            <w:pPr>
              <w:pStyle w:val="TableParagraph"/>
              <w:spacing w:line="168" w:lineRule="exact" w:before="11"/>
              <w:ind w:left="208"/>
              <w:rPr>
                <w:sz w:val="16"/>
              </w:rPr>
            </w:pPr>
            <w:r>
              <w:rPr>
                <w:spacing w:val="-4"/>
                <w:sz w:val="16"/>
              </w:rPr>
              <w:t>0.84</w:t>
            </w:r>
          </w:p>
        </w:tc>
      </w:tr>
      <w:tr>
        <w:trPr>
          <w:trHeight w:val="200" w:hRule="atLeast"/>
        </w:trPr>
        <w:tc>
          <w:tcPr>
            <w:tcW w:w="1857" w:type="dxa"/>
          </w:tcPr>
          <w:p>
            <w:pPr>
              <w:pStyle w:val="TableParagraph"/>
              <w:spacing w:line="167" w:lineRule="exact" w:before="13"/>
              <w:ind w:left="115"/>
              <w:rPr>
                <w:sz w:val="16"/>
              </w:rPr>
            </w:pPr>
            <w:r>
              <w:rPr>
                <w:sz w:val="16"/>
              </w:rPr>
              <w:t>Financial</w:t>
            </w:r>
            <w:r>
              <w:rPr>
                <w:spacing w:val="-2"/>
                <w:sz w:val="16"/>
              </w:rPr>
              <w:t> </w:t>
            </w:r>
            <w:r>
              <w:rPr>
                <w:spacing w:val="-4"/>
                <w:sz w:val="16"/>
              </w:rPr>
              <w:t>(X1)</w:t>
            </w:r>
          </w:p>
        </w:tc>
        <w:tc>
          <w:tcPr>
            <w:tcW w:w="2059" w:type="dxa"/>
          </w:tcPr>
          <w:p>
            <w:pPr>
              <w:pStyle w:val="TableParagraph"/>
              <w:spacing w:line="167" w:lineRule="exact" w:before="13"/>
              <w:ind w:left="243"/>
              <w:rPr>
                <w:sz w:val="16"/>
              </w:rPr>
            </w:pPr>
            <w:r>
              <w:rPr>
                <w:spacing w:val="-4"/>
                <w:sz w:val="16"/>
              </w:rPr>
              <w:t>0.66</w:t>
            </w:r>
          </w:p>
        </w:tc>
        <w:tc>
          <w:tcPr>
            <w:tcW w:w="854" w:type="dxa"/>
          </w:tcPr>
          <w:p>
            <w:pPr>
              <w:pStyle w:val="TableParagraph"/>
              <w:spacing w:line="167" w:lineRule="exact" w:before="13"/>
              <w:ind w:left="168"/>
              <w:rPr>
                <w:sz w:val="16"/>
              </w:rPr>
            </w:pPr>
            <w:r>
              <w:rPr>
                <w:spacing w:val="-2"/>
                <w:sz w:val="16"/>
              </w:rPr>
              <w:t>15.00</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199" w:hRule="atLeast"/>
        </w:trPr>
        <w:tc>
          <w:tcPr>
            <w:tcW w:w="1857" w:type="dxa"/>
          </w:tcPr>
          <w:p>
            <w:pPr>
              <w:pStyle w:val="TableParagraph"/>
              <w:spacing w:line="167" w:lineRule="exact" w:before="12"/>
              <w:ind w:left="115"/>
              <w:rPr>
                <w:sz w:val="16"/>
              </w:rPr>
            </w:pPr>
            <w:r>
              <w:rPr>
                <w:sz w:val="16"/>
              </w:rPr>
              <w:t>Functional</w:t>
            </w:r>
            <w:r>
              <w:rPr>
                <w:spacing w:val="-6"/>
                <w:sz w:val="16"/>
              </w:rPr>
              <w:t> </w:t>
            </w:r>
            <w:r>
              <w:rPr>
                <w:spacing w:val="-4"/>
                <w:sz w:val="16"/>
              </w:rPr>
              <w:t>(X2)</w:t>
            </w:r>
          </w:p>
        </w:tc>
        <w:tc>
          <w:tcPr>
            <w:tcW w:w="2059" w:type="dxa"/>
          </w:tcPr>
          <w:p>
            <w:pPr>
              <w:pStyle w:val="TableParagraph"/>
              <w:spacing w:line="167" w:lineRule="exact" w:before="12"/>
              <w:ind w:left="243"/>
              <w:rPr>
                <w:sz w:val="16"/>
              </w:rPr>
            </w:pPr>
            <w:r>
              <w:rPr>
                <w:spacing w:val="-4"/>
                <w:sz w:val="16"/>
              </w:rPr>
              <w:t>0.67</w:t>
            </w:r>
          </w:p>
        </w:tc>
        <w:tc>
          <w:tcPr>
            <w:tcW w:w="854" w:type="dxa"/>
          </w:tcPr>
          <w:p>
            <w:pPr>
              <w:pStyle w:val="TableParagraph"/>
              <w:spacing w:line="167" w:lineRule="exact" w:before="12"/>
              <w:ind w:left="168"/>
              <w:rPr>
                <w:sz w:val="16"/>
              </w:rPr>
            </w:pPr>
            <w:r>
              <w:rPr>
                <w:spacing w:val="-2"/>
                <w:sz w:val="16"/>
              </w:rPr>
              <w:t>15.18</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0" w:hRule="atLeast"/>
        </w:trPr>
        <w:tc>
          <w:tcPr>
            <w:tcW w:w="1857" w:type="dxa"/>
          </w:tcPr>
          <w:p>
            <w:pPr>
              <w:pStyle w:val="TableParagraph"/>
              <w:spacing w:line="168" w:lineRule="exact" w:before="12"/>
              <w:ind w:left="115"/>
              <w:rPr>
                <w:sz w:val="16"/>
              </w:rPr>
            </w:pPr>
            <w:r>
              <w:rPr>
                <w:sz w:val="16"/>
              </w:rPr>
              <w:t>Social</w:t>
            </w:r>
            <w:r>
              <w:rPr>
                <w:spacing w:val="-4"/>
                <w:sz w:val="16"/>
              </w:rPr>
              <w:t> (X3)</w:t>
            </w:r>
          </w:p>
        </w:tc>
        <w:tc>
          <w:tcPr>
            <w:tcW w:w="2059" w:type="dxa"/>
          </w:tcPr>
          <w:p>
            <w:pPr>
              <w:pStyle w:val="TableParagraph"/>
              <w:spacing w:line="168" w:lineRule="exact" w:before="12"/>
              <w:ind w:left="243"/>
              <w:rPr>
                <w:sz w:val="16"/>
              </w:rPr>
            </w:pPr>
            <w:r>
              <w:rPr>
                <w:spacing w:val="-4"/>
                <w:sz w:val="16"/>
              </w:rPr>
              <w:t>0.66</w:t>
            </w:r>
          </w:p>
        </w:tc>
        <w:tc>
          <w:tcPr>
            <w:tcW w:w="854" w:type="dxa"/>
          </w:tcPr>
          <w:p>
            <w:pPr>
              <w:pStyle w:val="TableParagraph"/>
              <w:spacing w:line="168" w:lineRule="exact" w:before="12"/>
              <w:ind w:left="168"/>
              <w:rPr>
                <w:sz w:val="16"/>
              </w:rPr>
            </w:pPr>
            <w:r>
              <w:rPr>
                <w:spacing w:val="-2"/>
                <w:sz w:val="16"/>
              </w:rPr>
              <w:t>15.00</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0" w:hRule="atLeast"/>
        </w:trPr>
        <w:tc>
          <w:tcPr>
            <w:tcW w:w="1857" w:type="dxa"/>
          </w:tcPr>
          <w:p>
            <w:pPr>
              <w:pStyle w:val="TableParagraph"/>
              <w:spacing w:line="167" w:lineRule="exact" w:before="13"/>
              <w:ind w:left="115"/>
              <w:rPr>
                <w:sz w:val="16"/>
              </w:rPr>
            </w:pPr>
            <w:r>
              <w:rPr>
                <w:sz w:val="16"/>
              </w:rPr>
              <w:t>Physical</w:t>
            </w:r>
            <w:r>
              <w:rPr>
                <w:spacing w:val="-8"/>
                <w:sz w:val="16"/>
              </w:rPr>
              <w:t> </w:t>
            </w:r>
            <w:r>
              <w:rPr>
                <w:spacing w:val="-4"/>
                <w:sz w:val="16"/>
              </w:rPr>
              <w:t>(X4)</w:t>
            </w:r>
          </w:p>
        </w:tc>
        <w:tc>
          <w:tcPr>
            <w:tcW w:w="2059" w:type="dxa"/>
          </w:tcPr>
          <w:p>
            <w:pPr>
              <w:pStyle w:val="TableParagraph"/>
              <w:spacing w:line="167" w:lineRule="exact" w:before="13"/>
              <w:ind w:left="243"/>
              <w:rPr>
                <w:sz w:val="16"/>
              </w:rPr>
            </w:pPr>
            <w:r>
              <w:rPr>
                <w:spacing w:val="-4"/>
                <w:sz w:val="16"/>
              </w:rPr>
              <w:t>0.72</w:t>
            </w:r>
          </w:p>
        </w:tc>
        <w:tc>
          <w:tcPr>
            <w:tcW w:w="854" w:type="dxa"/>
          </w:tcPr>
          <w:p>
            <w:pPr>
              <w:pStyle w:val="TableParagraph"/>
              <w:spacing w:line="167" w:lineRule="exact" w:before="13"/>
              <w:ind w:left="168"/>
              <w:rPr>
                <w:sz w:val="16"/>
              </w:rPr>
            </w:pPr>
            <w:r>
              <w:rPr>
                <w:spacing w:val="-2"/>
                <w:sz w:val="16"/>
              </w:rPr>
              <w:t>16.79</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199" w:hRule="atLeast"/>
        </w:trPr>
        <w:tc>
          <w:tcPr>
            <w:tcW w:w="1857" w:type="dxa"/>
          </w:tcPr>
          <w:p>
            <w:pPr>
              <w:pStyle w:val="TableParagraph"/>
              <w:spacing w:line="167" w:lineRule="exact" w:before="12"/>
              <w:ind w:left="115"/>
              <w:rPr>
                <w:sz w:val="16"/>
              </w:rPr>
            </w:pPr>
            <w:r>
              <w:rPr>
                <w:sz w:val="16"/>
              </w:rPr>
              <w:t>Psychological</w:t>
            </w:r>
            <w:r>
              <w:rPr>
                <w:spacing w:val="-9"/>
                <w:sz w:val="16"/>
              </w:rPr>
              <w:t> </w:t>
            </w:r>
            <w:r>
              <w:rPr>
                <w:spacing w:val="-4"/>
                <w:sz w:val="16"/>
              </w:rPr>
              <w:t>(X5)</w:t>
            </w:r>
          </w:p>
        </w:tc>
        <w:tc>
          <w:tcPr>
            <w:tcW w:w="2059" w:type="dxa"/>
          </w:tcPr>
          <w:p>
            <w:pPr>
              <w:pStyle w:val="TableParagraph"/>
              <w:spacing w:line="167" w:lineRule="exact" w:before="12"/>
              <w:ind w:left="243"/>
              <w:rPr>
                <w:sz w:val="16"/>
              </w:rPr>
            </w:pPr>
            <w:r>
              <w:rPr>
                <w:spacing w:val="-4"/>
                <w:sz w:val="16"/>
              </w:rPr>
              <w:t>0.73</w:t>
            </w:r>
          </w:p>
        </w:tc>
        <w:tc>
          <w:tcPr>
            <w:tcW w:w="854" w:type="dxa"/>
          </w:tcPr>
          <w:p>
            <w:pPr>
              <w:pStyle w:val="TableParagraph"/>
              <w:spacing w:line="167" w:lineRule="exact" w:before="12"/>
              <w:ind w:left="169"/>
              <w:rPr>
                <w:sz w:val="16"/>
              </w:rPr>
            </w:pPr>
            <w:r>
              <w:rPr>
                <w:spacing w:val="-2"/>
                <w:sz w:val="16"/>
              </w:rPr>
              <w:t>17.13</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8" w:hRule="atLeast"/>
        </w:trPr>
        <w:tc>
          <w:tcPr>
            <w:tcW w:w="1857" w:type="dxa"/>
          </w:tcPr>
          <w:p>
            <w:pPr>
              <w:pStyle w:val="TableParagraph"/>
              <w:spacing w:line="176" w:lineRule="exact" w:before="12"/>
              <w:ind w:left="115"/>
              <w:rPr>
                <w:sz w:val="16"/>
              </w:rPr>
            </w:pPr>
            <w:r>
              <w:rPr>
                <w:sz w:val="16"/>
              </w:rPr>
              <w:t>Time</w:t>
            </w:r>
            <w:r>
              <w:rPr>
                <w:spacing w:val="-4"/>
                <w:sz w:val="16"/>
              </w:rPr>
              <w:t> (X6)</w:t>
            </w:r>
          </w:p>
        </w:tc>
        <w:tc>
          <w:tcPr>
            <w:tcW w:w="2059" w:type="dxa"/>
          </w:tcPr>
          <w:p>
            <w:pPr>
              <w:pStyle w:val="TableParagraph"/>
              <w:spacing w:line="176" w:lineRule="exact" w:before="12"/>
              <w:ind w:left="243"/>
              <w:rPr>
                <w:sz w:val="16"/>
              </w:rPr>
            </w:pPr>
            <w:r>
              <w:rPr>
                <w:spacing w:val="-4"/>
                <w:sz w:val="16"/>
              </w:rPr>
              <w:t>0.68</w:t>
            </w:r>
          </w:p>
        </w:tc>
        <w:tc>
          <w:tcPr>
            <w:tcW w:w="854" w:type="dxa"/>
          </w:tcPr>
          <w:p>
            <w:pPr>
              <w:pStyle w:val="TableParagraph"/>
              <w:spacing w:line="176" w:lineRule="exact" w:before="12"/>
              <w:ind w:left="168"/>
              <w:rPr>
                <w:sz w:val="16"/>
              </w:rPr>
            </w:pPr>
            <w:r>
              <w:rPr>
                <w:spacing w:val="-2"/>
                <w:sz w:val="16"/>
              </w:rPr>
              <w:t>15.61</w:t>
            </w:r>
            <w:r>
              <w:rPr>
                <w:spacing w:val="-2"/>
                <w:sz w:val="16"/>
                <w:vertAlign w:val="superscript"/>
              </w:rPr>
              <w:t>***</w:t>
            </w:r>
          </w:p>
        </w:tc>
        <w:tc>
          <w:tcPr>
            <w:tcW w:w="687" w:type="dxa"/>
          </w:tcPr>
          <w:p>
            <w:pPr>
              <w:pStyle w:val="TableParagraph"/>
              <w:rPr>
                <w:sz w:val="14"/>
              </w:rPr>
            </w:pPr>
          </w:p>
        </w:tc>
        <w:tc>
          <w:tcPr>
            <w:tcW w:w="687" w:type="dxa"/>
          </w:tcPr>
          <w:p>
            <w:pPr>
              <w:pStyle w:val="TableParagraph"/>
              <w:rPr>
                <w:sz w:val="14"/>
              </w:rPr>
            </w:pPr>
          </w:p>
        </w:tc>
        <w:tc>
          <w:tcPr>
            <w:tcW w:w="1240" w:type="dxa"/>
          </w:tcPr>
          <w:p>
            <w:pPr>
              <w:pStyle w:val="TableParagraph"/>
              <w:rPr>
                <w:sz w:val="14"/>
              </w:rPr>
            </w:pPr>
          </w:p>
        </w:tc>
      </w:tr>
      <w:tr>
        <w:trPr>
          <w:trHeight w:val="391" w:hRule="atLeast"/>
        </w:trPr>
        <w:tc>
          <w:tcPr>
            <w:tcW w:w="1857" w:type="dxa"/>
          </w:tcPr>
          <w:p>
            <w:pPr>
              <w:pStyle w:val="TableParagraph"/>
              <w:spacing w:before="5"/>
              <w:ind w:left="115"/>
              <w:rPr>
                <w:sz w:val="16"/>
              </w:rPr>
            </w:pPr>
            <w:r>
              <w:rPr>
                <w:w w:val="105"/>
                <w:sz w:val="16"/>
              </w:rPr>
              <w:t>Perceived</w:t>
            </w:r>
            <w:r>
              <w:rPr>
                <w:spacing w:val="-6"/>
                <w:w w:val="105"/>
                <w:sz w:val="16"/>
              </w:rPr>
              <w:t> </w:t>
            </w:r>
            <w:r>
              <w:rPr>
                <w:spacing w:val="-2"/>
                <w:w w:val="105"/>
                <w:sz w:val="16"/>
              </w:rPr>
              <w:t>value</w:t>
            </w:r>
          </w:p>
          <w:p>
            <w:pPr>
              <w:pStyle w:val="TableParagraph"/>
              <w:spacing w:line="167" w:lineRule="exact" w:before="16"/>
              <w:ind w:left="115"/>
              <w:rPr>
                <w:sz w:val="16"/>
              </w:rPr>
            </w:pPr>
            <w:r>
              <w:rPr>
                <w:sz w:val="16"/>
              </w:rPr>
              <w:t>Value</w:t>
            </w:r>
            <w:r>
              <w:rPr>
                <w:spacing w:val="-3"/>
                <w:sz w:val="16"/>
              </w:rPr>
              <w:t> </w:t>
            </w:r>
            <w:r>
              <w:rPr>
                <w:spacing w:val="-4"/>
                <w:sz w:val="16"/>
              </w:rPr>
              <w:t>(X7)</w:t>
            </w:r>
          </w:p>
        </w:tc>
        <w:tc>
          <w:tcPr>
            <w:tcW w:w="2059" w:type="dxa"/>
          </w:tcPr>
          <w:p>
            <w:pPr>
              <w:pStyle w:val="TableParagraph"/>
              <w:spacing w:before="20"/>
              <w:rPr>
                <w:sz w:val="16"/>
              </w:rPr>
            </w:pPr>
          </w:p>
          <w:p>
            <w:pPr>
              <w:pStyle w:val="TableParagraph"/>
              <w:spacing w:line="167" w:lineRule="exact" w:before="1"/>
              <w:ind w:left="242"/>
              <w:rPr>
                <w:sz w:val="16"/>
              </w:rPr>
            </w:pPr>
            <w:r>
              <w:rPr>
                <w:spacing w:val="-4"/>
                <w:sz w:val="16"/>
              </w:rPr>
              <w:t>0.72</w:t>
            </w:r>
          </w:p>
        </w:tc>
        <w:tc>
          <w:tcPr>
            <w:tcW w:w="854" w:type="dxa"/>
          </w:tcPr>
          <w:p>
            <w:pPr>
              <w:pStyle w:val="TableParagraph"/>
              <w:spacing w:before="20"/>
              <w:rPr>
                <w:sz w:val="16"/>
              </w:rPr>
            </w:pPr>
          </w:p>
          <w:p>
            <w:pPr>
              <w:pStyle w:val="TableParagraph"/>
              <w:spacing w:line="167" w:lineRule="exact" w:before="1"/>
              <w:ind w:left="168"/>
              <w:rPr>
                <w:sz w:val="16"/>
              </w:rPr>
            </w:pPr>
            <w:r>
              <w:rPr>
                <w:spacing w:val="-2"/>
                <w:sz w:val="16"/>
              </w:rPr>
              <w:t>16.79</w:t>
            </w:r>
            <w:r>
              <w:rPr>
                <w:spacing w:val="-2"/>
                <w:sz w:val="16"/>
                <w:vertAlign w:val="superscript"/>
              </w:rPr>
              <w:t>***</w:t>
            </w:r>
          </w:p>
        </w:tc>
        <w:tc>
          <w:tcPr>
            <w:tcW w:w="687" w:type="dxa"/>
          </w:tcPr>
          <w:p>
            <w:pPr>
              <w:pStyle w:val="TableParagraph"/>
              <w:spacing w:before="5"/>
              <w:ind w:left="25" w:right="93"/>
              <w:jc w:val="center"/>
              <w:rPr>
                <w:sz w:val="16"/>
              </w:rPr>
            </w:pPr>
            <w:r>
              <w:rPr>
                <w:spacing w:val="-4"/>
                <w:sz w:val="16"/>
              </w:rPr>
              <w:t>0.65</w:t>
            </w:r>
          </w:p>
        </w:tc>
        <w:tc>
          <w:tcPr>
            <w:tcW w:w="687" w:type="dxa"/>
          </w:tcPr>
          <w:p>
            <w:pPr>
              <w:pStyle w:val="TableParagraph"/>
              <w:spacing w:before="5"/>
              <w:ind w:left="67" w:right="93"/>
              <w:jc w:val="center"/>
              <w:rPr>
                <w:sz w:val="16"/>
              </w:rPr>
            </w:pPr>
            <w:r>
              <w:rPr>
                <w:spacing w:val="-4"/>
                <w:sz w:val="16"/>
              </w:rPr>
              <w:t>0.85</w:t>
            </w:r>
          </w:p>
        </w:tc>
        <w:tc>
          <w:tcPr>
            <w:tcW w:w="1240" w:type="dxa"/>
          </w:tcPr>
          <w:p>
            <w:pPr>
              <w:pStyle w:val="TableParagraph"/>
              <w:spacing w:before="5"/>
              <w:ind w:left="208"/>
              <w:rPr>
                <w:sz w:val="16"/>
              </w:rPr>
            </w:pPr>
            <w:r>
              <w:rPr>
                <w:spacing w:val="-4"/>
                <w:sz w:val="16"/>
              </w:rPr>
              <w:t>0.80</w:t>
            </w:r>
          </w:p>
        </w:tc>
      </w:tr>
      <w:tr>
        <w:trPr>
          <w:trHeight w:val="208" w:hRule="atLeast"/>
        </w:trPr>
        <w:tc>
          <w:tcPr>
            <w:tcW w:w="1857" w:type="dxa"/>
          </w:tcPr>
          <w:p>
            <w:pPr>
              <w:pStyle w:val="TableParagraph"/>
              <w:spacing w:line="176" w:lineRule="exact" w:before="12"/>
              <w:ind w:left="115"/>
              <w:rPr>
                <w:sz w:val="16"/>
              </w:rPr>
            </w:pPr>
            <w:r>
              <w:rPr>
                <w:sz w:val="16"/>
              </w:rPr>
              <w:t>Rationality</w:t>
            </w:r>
            <w:r>
              <w:rPr>
                <w:spacing w:val="-10"/>
                <w:sz w:val="16"/>
              </w:rPr>
              <w:t> </w:t>
            </w:r>
            <w:r>
              <w:rPr>
                <w:spacing w:val="-4"/>
                <w:sz w:val="16"/>
              </w:rPr>
              <w:t>(X8)</w:t>
            </w:r>
          </w:p>
        </w:tc>
        <w:tc>
          <w:tcPr>
            <w:tcW w:w="2059" w:type="dxa"/>
          </w:tcPr>
          <w:p>
            <w:pPr>
              <w:pStyle w:val="TableParagraph"/>
              <w:spacing w:line="176" w:lineRule="exact" w:before="12"/>
              <w:ind w:left="243"/>
              <w:rPr>
                <w:sz w:val="16"/>
              </w:rPr>
            </w:pPr>
            <w:r>
              <w:rPr>
                <w:spacing w:val="-4"/>
                <w:sz w:val="16"/>
              </w:rPr>
              <w:t>0.71</w:t>
            </w:r>
          </w:p>
        </w:tc>
        <w:tc>
          <w:tcPr>
            <w:tcW w:w="854" w:type="dxa"/>
          </w:tcPr>
          <w:p>
            <w:pPr>
              <w:pStyle w:val="TableParagraph"/>
              <w:spacing w:line="176" w:lineRule="exact" w:before="12"/>
              <w:ind w:left="169"/>
              <w:rPr>
                <w:sz w:val="16"/>
              </w:rPr>
            </w:pPr>
            <w:r>
              <w:rPr>
                <w:spacing w:val="-2"/>
                <w:sz w:val="16"/>
              </w:rPr>
              <w:t>16.06</w:t>
            </w:r>
            <w:r>
              <w:rPr>
                <w:spacing w:val="-2"/>
                <w:sz w:val="16"/>
                <w:vertAlign w:val="superscript"/>
              </w:rPr>
              <w:t>***</w:t>
            </w:r>
          </w:p>
        </w:tc>
        <w:tc>
          <w:tcPr>
            <w:tcW w:w="687" w:type="dxa"/>
          </w:tcPr>
          <w:p>
            <w:pPr>
              <w:pStyle w:val="TableParagraph"/>
              <w:rPr>
                <w:sz w:val="14"/>
              </w:rPr>
            </w:pPr>
          </w:p>
        </w:tc>
        <w:tc>
          <w:tcPr>
            <w:tcW w:w="687" w:type="dxa"/>
          </w:tcPr>
          <w:p>
            <w:pPr>
              <w:pStyle w:val="TableParagraph"/>
              <w:rPr>
                <w:sz w:val="14"/>
              </w:rPr>
            </w:pPr>
          </w:p>
        </w:tc>
        <w:tc>
          <w:tcPr>
            <w:tcW w:w="1240" w:type="dxa"/>
          </w:tcPr>
          <w:p>
            <w:pPr>
              <w:pStyle w:val="TableParagraph"/>
              <w:rPr>
                <w:sz w:val="14"/>
              </w:rPr>
            </w:pPr>
          </w:p>
        </w:tc>
      </w:tr>
      <w:tr>
        <w:trPr>
          <w:trHeight w:val="200" w:hRule="atLeast"/>
        </w:trPr>
        <w:tc>
          <w:tcPr>
            <w:tcW w:w="1857" w:type="dxa"/>
          </w:tcPr>
          <w:p>
            <w:pPr>
              <w:pStyle w:val="TableParagraph"/>
              <w:spacing w:line="175" w:lineRule="exact" w:before="5"/>
              <w:ind w:left="115"/>
              <w:rPr>
                <w:sz w:val="16"/>
              </w:rPr>
            </w:pPr>
            <w:r>
              <w:rPr>
                <w:w w:val="105"/>
                <w:sz w:val="16"/>
              </w:rPr>
              <w:t>Consumption</w:t>
            </w:r>
            <w:r>
              <w:rPr>
                <w:spacing w:val="9"/>
                <w:w w:val="110"/>
                <w:sz w:val="16"/>
              </w:rPr>
              <w:t> </w:t>
            </w:r>
            <w:r>
              <w:rPr>
                <w:spacing w:val="-2"/>
                <w:w w:val="110"/>
                <w:sz w:val="16"/>
              </w:rPr>
              <w:t>attitude</w:t>
            </w:r>
          </w:p>
        </w:tc>
        <w:tc>
          <w:tcPr>
            <w:tcW w:w="2059" w:type="dxa"/>
          </w:tcPr>
          <w:p>
            <w:pPr>
              <w:pStyle w:val="TableParagraph"/>
              <w:rPr>
                <w:sz w:val="12"/>
              </w:rPr>
            </w:pPr>
          </w:p>
        </w:tc>
        <w:tc>
          <w:tcPr>
            <w:tcW w:w="854" w:type="dxa"/>
          </w:tcPr>
          <w:p>
            <w:pPr>
              <w:pStyle w:val="TableParagraph"/>
              <w:rPr>
                <w:sz w:val="12"/>
              </w:rPr>
            </w:pPr>
          </w:p>
        </w:tc>
        <w:tc>
          <w:tcPr>
            <w:tcW w:w="687" w:type="dxa"/>
          </w:tcPr>
          <w:p>
            <w:pPr>
              <w:pStyle w:val="TableParagraph"/>
              <w:spacing w:line="175" w:lineRule="exact" w:before="5"/>
              <w:ind w:left="25" w:right="93"/>
              <w:jc w:val="center"/>
              <w:rPr>
                <w:sz w:val="16"/>
              </w:rPr>
            </w:pPr>
            <w:r>
              <w:rPr>
                <w:spacing w:val="-4"/>
                <w:sz w:val="16"/>
              </w:rPr>
              <w:t>0.58</w:t>
            </w:r>
          </w:p>
        </w:tc>
        <w:tc>
          <w:tcPr>
            <w:tcW w:w="687" w:type="dxa"/>
          </w:tcPr>
          <w:p>
            <w:pPr>
              <w:pStyle w:val="TableParagraph"/>
              <w:spacing w:line="175" w:lineRule="exact" w:before="5"/>
              <w:ind w:left="67" w:right="93"/>
              <w:jc w:val="center"/>
              <w:rPr>
                <w:sz w:val="16"/>
              </w:rPr>
            </w:pPr>
            <w:r>
              <w:rPr>
                <w:spacing w:val="-4"/>
                <w:sz w:val="16"/>
              </w:rPr>
              <w:t>0.84</w:t>
            </w:r>
          </w:p>
        </w:tc>
        <w:tc>
          <w:tcPr>
            <w:tcW w:w="1240" w:type="dxa"/>
          </w:tcPr>
          <w:p>
            <w:pPr>
              <w:pStyle w:val="TableParagraph"/>
              <w:spacing w:line="175" w:lineRule="exact" w:before="5"/>
              <w:ind w:left="208"/>
              <w:rPr>
                <w:sz w:val="16"/>
              </w:rPr>
            </w:pPr>
            <w:r>
              <w:rPr>
                <w:spacing w:val="-4"/>
                <w:sz w:val="16"/>
              </w:rPr>
              <w:t>0.82</w:t>
            </w:r>
          </w:p>
        </w:tc>
      </w:tr>
      <w:tr>
        <w:trPr>
          <w:trHeight w:val="191" w:hRule="atLeast"/>
        </w:trPr>
        <w:tc>
          <w:tcPr>
            <w:tcW w:w="1857" w:type="dxa"/>
          </w:tcPr>
          <w:p>
            <w:pPr>
              <w:pStyle w:val="TableParagraph"/>
              <w:spacing w:line="167" w:lineRule="exact" w:before="4"/>
              <w:ind w:left="115"/>
              <w:rPr>
                <w:sz w:val="16"/>
              </w:rPr>
            </w:pPr>
            <w:r>
              <w:rPr>
                <w:sz w:val="16"/>
              </w:rPr>
              <w:t>Cognitive</w:t>
            </w:r>
            <w:r>
              <w:rPr>
                <w:spacing w:val="-8"/>
                <w:sz w:val="16"/>
              </w:rPr>
              <w:t> </w:t>
            </w:r>
            <w:r>
              <w:rPr>
                <w:spacing w:val="-4"/>
                <w:sz w:val="16"/>
              </w:rPr>
              <w:t>(Y1)</w:t>
            </w:r>
          </w:p>
        </w:tc>
        <w:tc>
          <w:tcPr>
            <w:tcW w:w="2059" w:type="dxa"/>
          </w:tcPr>
          <w:p>
            <w:pPr>
              <w:pStyle w:val="TableParagraph"/>
              <w:spacing w:line="167" w:lineRule="exact" w:before="4"/>
              <w:ind w:left="242"/>
              <w:rPr>
                <w:sz w:val="16"/>
              </w:rPr>
            </w:pPr>
            <w:r>
              <w:rPr>
                <w:spacing w:val="-4"/>
                <w:sz w:val="16"/>
              </w:rPr>
              <w:t>0.61</w:t>
            </w:r>
          </w:p>
        </w:tc>
        <w:tc>
          <w:tcPr>
            <w:tcW w:w="854" w:type="dxa"/>
          </w:tcPr>
          <w:p>
            <w:pPr>
              <w:pStyle w:val="TableParagraph"/>
              <w:spacing w:line="167" w:lineRule="exact" w:before="4"/>
              <w:ind w:left="168"/>
              <w:rPr>
                <w:rFonts w:ascii="Liberation Serif" w:hAnsi="Liberation Serif"/>
                <w:sz w:val="16"/>
              </w:rPr>
            </w:pPr>
            <w:r>
              <w:rPr>
                <w:rFonts w:ascii="Liberation Serif" w:hAnsi="Liberation Serif"/>
                <w:spacing w:val="-10"/>
                <w:sz w:val="16"/>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0" w:hRule="atLeast"/>
        </w:trPr>
        <w:tc>
          <w:tcPr>
            <w:tcW w:w="1857" w:type="dxa"/>
          </w:tcPr>
          <w:p>
            <w:pPr>
              <w:pStyle w:val="TableParagraph"/>
              <w:spacing w:line="168" w:lineRule="exact" w:before="12"/>
              <w:ind w:left="115"/>
              <w:rPr>
                <w:sz w:val="16"/>
              </w:rPr>
            </w:pPr>
            <w:r>
              <w:rPr>
                <w:sz w:val="16"/>
              </w:rPr>
              <w:t>Affective</w:t>
            </w:r>
            <w:r>
              <w:rPr>
                <w:spacing w:val="-7"/>
                <w:sz w:val="16"/>
              </w:rPr>
              <w:t> </w:t>
            </w:r>
            <w:r>
              <w:rPr>
                <w:spacing w:val="-4"/>
                <w:sz w:val="16"/>
              </w:rPr>
              <w:t>(Y2)</w:t>
            </w:r>
          </w:p>
        </w:tc>
        <w:tc>
          <w:tcPr>
            <w:tcW w:w="2059" w:type="dxa"/>
          </w:tcPr>
          <w:p>
            <w:pPr>
              <w:pStyle w:val="TableParagraph"/>
              <w:spacing w:line="168" w:lineRule="exact" w:before="12"/>
              <w:ind w:left="242"/>
              <w:rPr>
                <w:sz w:val="16"/>
              </w:rPr>
            </w:pPr>
            <w:r>
              <w:rPr>
                <w:spacing w:val="-4"/>
                <w:sz w:val="16"/>
              </w:rPr>
              <w:t>0.74</w:t>
            </w:r>
          </w:p>
        </w:tc>
        <w:tc>
          <w:tcPr>
            <w:tcW w:w="854" w:type="dxa"/>
          </w:tcPr>
          <w:p>
            <w:pPr>
              <w:pStyle w:val="TableParagraph"/>
              <w:spacing w:line="168" w:lineRule="exact" w:before="12"/>
              <w:ind w:left="168"/>
              <w:rPr>
                <w:sz w:val="16"/>
              </w:rPr>
            </w:pPr>
            <w:r>
              <w:rPr>
                <w:spacing w:val="-2"/>
                <w:sz w:val="16"/>
              </w:rPr>
              <w:t>11.55</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8" w:hRule="atLeast"/>
        </w:trPr>
        <w:tc>
          <w:tcPr>
            <w:tcW w:w="1857" w:type="dxa"/>
          </w:tcPr>
          <w:p>
            <w:pPr>
              <w:pStyle w:val="TableParagraph"/>
              <w:spacing w:line="175" w:lineRule="exact" w:before="13"/>
              <w:ind w:left="115"/>
              <w:rPr>
                <w:sz w:val="16"/>
              </w:rPr>
            </w:pPr>
            <w:r>
              <w:rPr>
                <w:sz w:val="16"/>
              </w:rPr>
              <w:t>Conative</w:t>
            </w:r>
            <w:r>
              <w:rPr>
                <w:spacing w:val="-3"/>
                <w:sz w:val="16"/>
              </w:rPr>
              <w:t> </w:t>
            </w:r>
            <w:r>
              <w:rPr>
                <w:spacing w:val="-4"/>
                <w:sz w:val="16"/>
              </w:rPr>
              <w:t>(Y3)</w:t>
            </w:r>
          </w:p>
        </w:tc>
        <w:tc>
          <w:tcPr>
            <w:tcW w:w="2059" w:type="dxa"/>
          </w:tcPr>
          <w:p>
            <w:pPr>
              <w:pStyle w:val="TableParagraph"/>
              <w:spacing w:line="175" w:lineRule="exact" w:before="13"/>
              <w:ind w:left="243"/>
              <w:rPr>
                <w:sz w:val="16"/>
              </w:rPr>
            </w:pPr>
            <w:r>
              <w:rPr>
                <w:spacing w:val="-4"/>
                <w:sz w:val="16"/>
              </w:rPr>
              <w:t>0.63</w:t>
            </w:r>
          </w:p>
        </w:tc>
        <w:tc>
          <w:tcPr>
            <w:tcW w:w="854" w:type="dxa"/>
          </w:tcPr>
          <w:p>
            <w:pPr>
              <w:pStyle w:val="TableParagraph"/>
              <w:spacing w:line="175" w:lineRule="exact" w:before="13"/>
              <w:ind w:left="168"/>
              <w:rPr>
                <w:sz w:val="16"/>
              </w:rPr>
            </w:pPr>
            <w:r>
              <w:rPr>
                <w:spacing w:val="-2"/>
                <w:sz w:val="16"/>
              </w:rPr>
              <w:t>10.75</w:t>
            </w:r>
            <w:r>
              <w:rPr>
                <w:spacing w:val="-2"/>
                <w:sz w:val="16"/>
                <w:vertAlign w:val="superscript"/>
              </w:rPr>
              <w:t>***</w:t>
            </w:r>
          </w:p>
        </w:tc>
        <w:tc>
          <w:tcPr>
            <w:tcW w:w="687" w:type="dxa"/>
          </w:tcPr>
          <w:p>
            <w:pPr>
              <w:pStyle w:val="TableParagraph"/>
              <w:rPr>
                <w:sz w:val="14"/>
              </w:rPr>
            </w:pPr>
          </w:p>
        </w:tc>
        <w:tc>
          <w:tcPr>
            <w:tcW w:w="687" w:type="dxa"/>
          </w:tcPr>
          <w:p>
            <w:pPr>
              <w:pStyle w:val="TableParagraph"/>
              <w:rPr>
                <w:sz w:val="14"/>
              </w:rPr>
            </w:pPr>
          </w:p>
        </w:tc>
        <w:tc>
          <w:tcPr>
            <w:tcW w:w="1240" w:type="dxa"/>
          </w:tcPr>
          <w:p>
            <w:pPr>
              <w:pStyle w:val="TableParagraph"/>
              <w:rPr>
                <w:sz w:val="14"/>
              </w:rPr>
            </w:pPr>
          </w:p>
        </w:tc>
      </w:tr>
      <w:tr>
        <w:trPr>
          <w:trHeight w:val="199" w:hRule="atLeast"/>
        </w:trPr>
        <w:tc>
          <w:tcPr>
            <w:tcW w:w="1857" w:type="dxa"/>
          </w:tcPr>
          <w:p>
            <w:pPr>
              <w:pStyle w:val="TableParagraph"/>
              <w:spacing w:line="175" w:lineRule="exact" w:before="4"/>
              <w:ind w:left="115"/>
              <w:rPr>
                <w:sz w:val="16"/>
              </w:rPr>
            </w:pPr>
            <w:r>
              <w:rPr>
                <w:spacing w:val="-2"/>
                <w:w w:val="110"/>
                <w:sz w:val="16"/>
              </w:rPr>
              <w:t>Purchase</w:t>
            </w:r>
            <w:r>
              <w:rPr>
                <w:w w:val="110"/>
                <w:sz w:val="16"/>
              </w:rPr>
              <w:t> </w:t>
            </w:r>
            <w:r>
              <w:rPr>
                <w:spacing w:val="-2"/>
                <w:w w:val="110"/>
                <w:sz w:val="16"/>
              </w:rPr>
              <w:t>intention</w:t>
            </w:r>
          </w:p>
        </w:tc>
        <w:tc>
          <w:tcPr>
            <w:tcW w:w="2059" w:type="dxa"/>
          </w:tcPr>
          <w:p>
            <w:pPr>
              <w:pStyle w:val="TableParagraph"/>
              <w:rPr>
                <w:sz w:val="12"/>
              </w:rPr>
            </w:pPr>
          </w:p>
        </w:tc>
        <w:tc>
          <w:tcPr>
            <w:tcW w:w="854" w:type="dxa"/>
          </w:tcPr>
          <w:p>
            <w:pPr>
              <w:pStyle w:val="TableParagraph"/>
              <w:rPr>
                <w:sz w:val="12"/>
              </w:rPr>
            </w:pPr>
          </w:p>
        </w:tc>
        <w:tc>
          <w:tcPr>
            <w:tcW w:w="687" w:type="dxa"/>
          </w:tcPr>
          <w:p>
            <w:pPr>
              <w:pStyle w:val="TableParagraph"/>
              <w:spacing w:line="175" w:lineRule="exact" w:before="4"/>
              <w:ind w:left="25" w:right="93"/>
              <w:jc w:val="center"/>
              <w:rPr>
                <w:sz w:val="16"/>
              </w:rPr>
            </w:pPr>
            <w:r>
              <w:rPr>
                <w:spacing w:val="-4"/>
                <w:sz w:val="16"/>
              </w:rPr>
              <w:t>0.70</w:t>
            </w:r>
          </w:p>
        </w:tc>
        <w:tc>
          <w:tcPr>
            <w:tcW w:w="687" w:type="dxa"/>
          </w:tcPr>
          <w:p>
            <w:pPr>
              <w:pStyle w:val="TableParagraph"/>
              <w:spacing w:line="175" w:lineRule="exact" w:before="4"/>
              <w:ind w:left="67" w:right="93"/>
              <w:jc w:val="center"/>
              <w:rPr>
                <w:sz w:val="16"/>
              </w:rPr>
            </w:pPr>
            <w:r>
              <w:rPr>
                <w:spacing w:val="-4"/>
                <w:sz w:val="16"/>
              </w:rPr>
              <w:t>0.79</w:t>
            </w:r>
          </w:p>
        </w:tc>
        <w:tc>
          <w:tcPr>
            <w:tcW w:w="1240" w:type="dxa"/>
          </w:tcPr>
          <w:p>
            <w:pPr>
              <w:pStyle w:val="TableParagraph"/>
              <w:spacing w:line="175" w:lineRule="exact" w:before="4"/>
              <w:ind w:left="208"/>
              <w:rPr>
                <w:sz w:val="16"/>
              </w:rPr>
            </w:pPr>
            <w:r>
              <w:rPr>
                <w:spacing w:val="-4"/>
                <w:sz w:val="16"/>
              </w:rPr>
              <w:t>0.85</w:t>
            </w:r>
          </w:p>
        </w:tc>
      </w:tr>
      <w:tr>
        <w:trPr>
          <w:trHeight w:val="192" w:hRule="atLeast"/>
        </w:trPr>
        <w:tc>
          <w:tcPr>
            <w:tcW w:w="1857" w:type="dxa"/>
          </w:tcPr>
          <w:p>
            <w:pPr>
              <w:pStyle w:val="TableParagraph"/>
              <w:spacing w:line="168" w:lineRule="exact" w:before="4"/>
              <w:ind w:left="115"/>
              <w:rPr>
                <w:sz w:val="16"/>
              </w:rPr>
            </w:pPr>
            <w:r>
              <w:rPr>
                <w:sz w:val="16"/>
              </w:rPr>
              <w:t>Want</w:t>
            </w:r>
            <w:r>
              <w:rPr>
                <w:spacing w:val="-1"/>
                <w:sz w:val="16"/>
              </w:rPr>
              <w:t> </w:t>
            </w:r>
            <w:r>
              <w:rPr>
                <w:sz w:val="16"/>
              </w:rPr>
              <w:t>to</w:t>
            </w:r>
            <w:r>
              <w:rPr>
                <w:spacing w:val="-5"/>
                <w:sz w:val="16"/>
              </w:rPr>
              <w:t> </w:t>
            </w:r>
            <w:r>
              <w:rPr>
                <w:sz w:val="16"/>
              </w:rPr>
              <w:t>purchase</w:t>
            </w:r>
            <w:r>
              <w:rPr>
                <w:spacing w:val="-2"/>
                <w:sz w:val="16"/>
              </w:rPr>
              <w:t> </w:t>
            </w:r>
            <w:r>
              <w:rPr>
                <w:spacing w:val="-4"/>
                <w:sz w:val="16"/>
              </w:rPr>
              <w:t>(Y4)</w:t>
            </w:r>
          </w:p>
        </w:tc>
        <w:tc>
          <w:tcPr>
            <w:tcW w:w="2059" w:type="dxa"/>
          </w:tcPr>
          <w:p>
            <w:pPr>
              <w:pStyle w:val="TableParagraph"/>
              <w:spacing w:line="168" w:lineRule="exact" w:before="4"/>
              <w:ind w:left="243"/>
              <w:rPr>
                <w:sz w:val="16"/>
              </w:rPr>
            </w:pPr>
            <w:r>
              <w:rPr>
                <w:spacing w:val="-4"/>
                <w:sz w:val="16"/>
              </w:rPr>
              <w:t>0.63</w:t>
            </w:r>
          </w:p>
        </w:tc>
        <w:tc>
          <w:tcPr>
            <w:tcW w:w="854" w:type="dxa"/>
          </w:tcPr>
          <w:p>
            <w:pPr>
              <w:pStyle w:val="TableParagraph"/>
              <w:spacing w:line="168" w:lineRule="exact" w:before="4"/>
              <w:ind w:left="168"/>
              <w:rPr>
                <w:rFonts w:ascii="Liberation Serif" w:hAnsi="Liberation Serif"/>
                <w:sz w:val="16"/>
              </w:rPr>
            </w:pPr>
            <w:r>
              <w:rPr>
                <w:rFonts w:ascii="Liberation Serif" w:hAnsi="Liberation Serif"/>
                <w:spacing w:val="-10"/>
                <w:sz w:val="16"/>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0" w:hRule="atLeast"/>
        </w:trPr>
        <w:tc>
          <w:tcPr>
            <w:tcW w:w="1857" w:type="dxa"/>
          </w:tcPr>
          <w:p>
            <w:pPr>
              <w:pStyle w:val="TableParagraph"/>
              <w:spacing w:line="167" w:lineRule="exact" w:before="13"/>
              <w:ind w:left="115"/>
              <w:rPr>
                <w:sz w:val="16"/>
              </w:rPr>
            </w:pPr>
            <w:r>
              <w:rPr>
                <w:sz w:val="16"/>
              </w:rPr>
              <w:t>First</w:t>
            </w:r>
            <w:r>
              <w:rPr>
                <w:spacing w:val="-3"/>
                <w:sz w:val="16"/>
              </w:rPr>
              <w:t> </w:t>
            </w:r>
            <w:r>
              <w:rPr>
                <w:sz w:val="16"/>
              </w:rPr>
              <w:t>Choice</w:t>
            </w:r>
            <w:r>
              <w:rPr>
                <w:spacing w:val="-4"/>
                <w:sz w:val="16"/>
              </w:rPr>
              <w:t> (Y5)</w:t>
            </w:r>
          </w:p>
        </w:tc>
        <w:tc>
          <w:tcPr>
            <w:tcW w:w="2059" w:type="dxa"/>
          </w:tcPr>
          <w:p>
            <w:pPr>
              <w:pStyle w:val="TableParagraph"/>
              <w:spacing w:line="167" w:lineRule="exact" w:before="13"/>
              <w:ind w:left="242"/>
              <w:rPr>
                <w:sz w:val="16"/>
              </w:rPr>
            </w:pPr>
            <w:r>
              <w:rPr>
                <w:spacing w:val="-4"/>
                <w:sz w:val="16"/>
              </w:rPr>
              <w:t>0.64</w:t>
            </w:r>
          </w:p>
        </w:tc>
        <w:tc>
          <w:tcPr>
            <w:tcW w:w="854" w:type="dxa"/>
          </w:tcPr>
          <w:p>
            <w:pPr>
              <w:pStyle w:val="TableParagraph"/>
              <w:spacing w:line="167" w:lineRule="exact" w:before="13"/>
              <w:ind w:left="168"/>
              <w:rPr>
                <w:sz w:val="16"/>
              </w:rPr>
            </w:pPr>
            <w:r>
              <w:rPr>
                <w:spacing w:val="-2"/>
                <w:sz w:val="16"/>
              </w:rPr>
              <w:t>10.96</w:t>
            </w:r>
            <w:r>
              <w:rPr>
                <w:spacing w:val="-2"/>
                <w:sz w:val="16"/>
                <w:vertAlign w:val="superscript"/>
              </w:rPr>
              <w:t>***</w:t>
            </w:r>
          </w:p>
        </w:tc>
        <w:tc>
          <w:tcPr>
            <w:tcW w:w="687" w:type="dxa"/>
          </w:tcPr>
          <w:p>
            <w:pPr>
              <w:pStyle w:val="TableParagraph"/>
              <w:rPr>
                <w:sz w:val="12"/>
              </w:rPr>
            </w:pPr>
          </w:p>
        </w:tc>
        <w:tc>
          <w:tcPr>
            <w:tcW w:w="687" w:type="dxa"/>
          </w:tcPr>
          <w:p>
            <w:pPr>
              <w:pStyle w:val="TableParagraph"/>
              <w:rPr>
                <w:sz w:val="12"/>
              </w:rPr>
            </w:pPr>
          </w:p>
        </w:tc>
        <w:tc>
          <w:tcPr>
            <w:tcW w:w="1240" w:type="dxa"/>
          </w:tcPr>
          <w:p>
            <w:pPr>
              <w:pStyle w:val="TableParagraph"/>
              <w:rPr>
                <w:sz w:val="12"/>
              </w:rPr>
            </w:pPr>
          </w:p>
        </w:tc>
      </w:tr>
      <w:tr>
        <w:trPr>
          <w:trHeight w:val="202" w:hRule="atLeast"/>
        </w:trPr>
        <w:tc>
          <w:tcPr>
            <w:tcW w:w="1857" w:type="dxa"/>
            <w:tcBorders>
              <w:bottom w:val="single" w:sz="4" w:space="0" w:color="000000"/>
            </w:tcBorders>
          </w:tcPr>
          <w:p>
            <w:pPr>
              <w:pStyle w:val="TableParagraph"/>
              <w:spacing w:line="170" w:lineRule="exact" w:before="12"/>
              <w:ind w:left="115"/>
              <w:rPr>
                <w:sz w:val="16"/>
              </w:rPr>
            </w:pPr>
            <w:r>
              <w:rPr>
                <w:sz w:val="16"/>
              </w:rPr>
              <w:t>Recommend</w:t>
            </w:r>
            <w:r>
              <w:rPr>
                <w:spacing w:val="-8"/>
                <w:sz w:val="16"/>
              </w:rPr>
              <w:t> </w:t>
            </w:r>
            <w:r>
              <w:rPr>
                <w:spacing w:val="-4"/>
                <w:sz w:val="16"/>
              </w:rPr>
              <w:t>(Y6)</w:t>
            </w:r>
          </w:p>
        </w:tc>
        <w:tc>
          <w:tcPr>
            <w:tcW w:w="2059" w:type="dxa"/>
            <w:tcBorders>
              <w:bottom w:val="single" w:sz="4" w:space="0" w:color="000000"/>
            </w:tcBorders>
          </w:tcPr>
          <w:p>
            <w:pPr>
              <w:pStyle w:val="TableParagraph"/>
              <w:spacing w:line="170" w:lineRule="exact" w:before="12"/>
              <w:ind w:left="242"/>
              <w:rPr>
                <w:sz w:val="16"/>
              </w:rPr>
            </w:pPr>
            <w:r>
              <w:rPr>
                <w:spacing w:val="-4"/>
                <w:sz w:val="16"/>
              </w:rPr>
              <w:t>0.65</w:t>
            </w:r>
          </w:p>
        </w:tc>
        <w:tc>
          <w:tcPr>
            <w:tcW w:w="854" w:type="dxa"/>
            <w:tcBorders>
              <w:bottom w:val="single" w:sz="4" w:space="0" w:color="000000"/>
            </w:tcBorders>
          </w:tcPr>
          <w:p>
            <w:pPr>
              <w:pStyle w:val="TableParagraph"/>
              <w:spacing w:line="170" w:lineRule="exact" w:before="12"/>
              <w:ind w:left="168"/>
              <w:rPr>
                <w:sz w:val="16"/>
              </w:rPr>
            </w:pPr>
            <w:r>
              <w:rPr>
                <w:spacing w:val="-2"/>
                <w:sz w:val="16"/>
              </w:rPr>
              <w:t>10.75</w:t>
            </w:r>
            <w:r>
              <w:rPr>
                <w:spacing w:val="-2"/>
                <w:sz w:val="16"/>
                <w:vertAlign w:val="superscript"/>
              </w:rPr>
              <w:t>***</w:t>
            </w:r>
          </w:p>
        </w:tc>
        <w:tc>
          <w:tcPr>
            <w:tcW w:w="687" w:type="dxa"/>
            <w:tcBorders>
              <w:bottom w:val="single" w:sz="4" w:space="0" w:color="000000"/>
            </w:tcBorders>
          </w:tcPr>
          <w:p>
            <w:pPr>
              <w:pStyle w:val="TableParagraph"/>
              <w:rPr>
                <w:sz w:val="14"/>
              </w:rPr>
            </w:pPr>
          </w:p>
        </w:tc>
        <w:tc>
          <w:tcPr>
            <w:tcW w:w="687" w:type="dxa"/>
            <w:tcBorders>
              <w:bottom w:val="single" w:sz="4" w:space="0" w:color="000000"/>
            </w:tcBorders>
          </w:tcPr>
          <w:p>
            <w:pPr>
              <w:pStyle w:val="TableParagraph"/>
              <w:rPr>
                <w:sz w:val="14"/>
              </w:rPr>
            </w:pPr>
          </w:p>
        </w:tc>
        <w:tc>
          <w:tcPr>
            <w:tcW w:w="1240" w:type="dxa"/>
            <w:tcBorders>
              <w:bottom w:val="single" w:sz="4" w:space="0" w:color="000000"/>
            </w:tcBorders>
          </w:tcPr>
          <w:p>
            <w:pPr>
              <w:pStyle w:val="TableParagraph"/>
              <w:rPr>
                <w:sz w:val="14"/>
              </w:rPr>
            </w:pPr>
          </w:p>
        </w:tc>
      </w:tr>
    </w:tbl>
    <w:p>
      <w:pPr>
        <w:spacing w:before="44"/>
        <w:ind w:left="877" w:right="0" w:firstLine="0"/>
        <w:jc w:val="left"/>
        <w:rPr>
          <w:sz w:val="16"/>
        </w:rPr>
      </w:pPr>
      <w:r>
        <w:rPr>
          <w:sz w:val="16"/>
        </w:rPr>
        <w:t>Note:</w:t>
      </w:r>
      <w:r>
        <w:rPr>
          <w:spacing w:val="-10"/>
          <w:sz w:val="16"/>
        </w:rPr>
        <w:t> </w:t>
      </w:r>
      <w:r>
        <w:rPr>
          <w:sz w:val="16"/>
        </w:rPr>
        <w:t>***P&lt;0.001;</w:t>
      </w:r>
      <w:r>
        <w:rPr>
          <w:spacing w:val="-5"/>
          <w:sz w:val="16"/>
        </w:rPr>
        <w:t> </w:t>
      </w:r>
      <w:r>
        <w:rPr>
          <w:sz w:val="16"/>
        </w:rPr>
        <w:t>**P&lt;0.01;</w:t>
      </w:r>
      <w:r>
        <w:rPr>
          <w:spacing w:val="-6"/>
          <w:sz w:val="16"/>
        </w:rPr>
        <w:t> </w:t>
      </w:r>
      <w:r>
        <w:rPr>
          <w:sz w:val="16"/>
        </w:rPr>
        <w:t>*P&lt;</w:t>
      </w:r>
      <w:r>
        <w:rPr>
          <w:spacing w:val="-7"/>
          <w:sz w:val="16"/>
        </w:rPr>
        <w:t> </w:t>
      </w:r>
      <w:r>
        <w:rPr>
          <w:spacing w:val="-4"/>
          <w:sz w:val="16"/>
        </w:rPr>
        <w:t>0.05</w:t>
      </w:r>
    </w:p>
    <w:p>
      <w:pPr>
        <w:pStyle w:val="BodyText"/>
        <w:spacing w:before="74"/>
        <w:rPr>
          <w:sz w:val="16"/>
        </w:rPr>
      </w:pPr>
    </w:p>
    <w:p>
      <w:pPr>
        <w:pStyle w:val="ListParagraph"/>
        <w:numPr>
          <w:ilvl w:val="1"/>
          <w:numId w:val="1"/>
        </w:numPr>
        <w:tabs>
          <w:tab w:pos="710" w:val="left" w:leader="none"/>
        </w:tabs>
        <w:spacing w:line="240" w:lineRule="auto" w:before="1" w:after="0"/>
        <w:ind w:left="710" w:right="0" w:hanging="354"/>
        <w:jc w:val="left"/>
        <w:rPr>
          <w:i/>
          <w:sz w:val="20"/>
        </w:rPr>
      </w:pPr>
      <w:r>
        <w:rPr>
          <w:i/>
          <w:color w:val="212121"/>
          <w:sz w:val="20"/>
        </w:rPr>
        <w:t>Overall</w:t>
      </w:r>
      <w:r>
        <w:rPr>
          <w:i/>
          <w:color w:val="212121"/>
          <w:spacing w:val="-4"/>
          <w:sz w:val="20"/>
        </w:rPr>
        <w:t> </w:t>
      </w:r>
      <w:r>
        <w:rPr>
          <w:i/>
          <w:color w:val="212121"/>
          <w:sz w:val="20"/>
        </w:rPr>
        <w:t>model</w:t>
      </w:r>
      <w:r>
        <w:rPr>
          <w:i/>
          <w:color w:val="212121"/>
          <w:spacing w:val="-4"/>
          <w:sz w:val="20"/>
        </w:rPr>
        <w:t> </w:t>
      </w:r>
      <w:r>
        <w:rPr>
          <w:i/>
          <w:color w:val="212121"/>
          <w:spacing w:val="-5"/>
          <w:sz w:val="20"/>
        </w:rPr>
        <w:t>fit</w:t>
      </w:r>
    </w:p>
    <w:p>
      <w:pPr>
        <w:pStyle w:val="BodyText"/>
        <w:spacing w:before="20"/>
        <w:rPr>
          <w:i/>
        </w:rPr>
      </w:pPr>
    </w:p>
    <w:p>
      <w:pPr>
        <w:pStyle w:val="BodyText"/>
        <w:spacing w:line="249" w:lineRule="auto"/>
        <w:ind w:left="236" w:right="340" w:firstLine="237"/>
        <w:jc w:val="both"/>
      </w:pPr>
      <w:r>
        <w:rPr/>
        <w:t>The NFI of this research is 0.94 and NNFI is 0.96 (all above 0.9); that is, the model fitness is very well.</w:t>
      </w:r>
      <w:r>
        <w:rPr>
          <w:spacing w:val="40"/>
        </w:rPr>
        <w:t> </w:t>
      </w:r>
      <w:r>
        <w:rPr/>
        <w:t>The CFI is 0.96, signifying that the model fitness is very stable and it is an ideal theoretical model. Also, the RMR is 0.034 and SRMR is 0.049 (all less than 0.05). Table 2 shows the statistics of the external quality assessment of the overall model. The result complies with the recommended level (</w:t>
      </w:r>
      <w:r>
        <w:rPr>
          <w:color w:val="212121"/>
        </w:rPr>
        <w:t>Chiou, 2011</w:t>
      </w:r>
      <w:r>
        <w:rPr/>
        <w:t>), CFI and AGFI greater than 0.9; RMR less than 0.05; RMSEA less than 0.08; X</w:t>
      </w:r>
      <w:r>
        <w:rPr>
          <w:vertAlign w:val="superscript"/>
        </w:rPr>
        <w:t>2</w:t>
      </w:r>
      <w:r>
        <w:rPr>
          <w:vertAlign w:val="baseline"/>
        </w:rPr>
        <w:t>/df &lt;3. Therefore, the fitness of the established linear structural model has reached a satisfactory level.</w:t>
      </w:r>
    </w:p>
    <w:p>
      <w:pPr>
        <w:pStyle w:val="BodyText"/>
        <w:spacing w:before="15"/>
      </w:pPr>
    </w:p>
    <w:p>
      <w:pPr>
        <w:pStyle w:val="ListParagraph"/>
        <w:numPr>
          <w:ilvl w:val="1"/>
          <w:numId w:val="1"/>
        </w:numPr>
        <w:tabs>
          <w:tab w:pos="710" w:val="left" w:leader="none"/>
        </w:tabs>
        <w:spacing w:line="240" w:lineRule="auto" w:before="0" w:after="0"/>
        <w:ind w:left="710" w:right="0" w:hanging="354"/>
        <w:jc w:val="left"/>
        <w:rPr>
          <w:i/>
          <w:sz w:val="20"/>
        </w:rPr>
      </w:pPr>
      <w:r>
        <w:rPr>
          <w:i/>
          <w:sz w:val="20"/>
        </w:rPr>
        <w:t>Path</w:t>
      </w:r>
      <w:r>
        <w:rPr>
          <w:i/>
          <w:spacing w:val="-3"/>
          <w:sz w:val="20"/>
        </w:rPr>
        <w:t> </w:t>
      </w:r>
      <w:r>
        <w:rPr>
          <w:i/>
          <w:spacing w:val="-2"/>
          <w:sz w:val="20"/>
        </w:rPr>
        <w:t>analysis</w:t>
      </w:r>
    </w:p>
    <w:p>
      <w:pPr>
        <w:pStyle w:val="BodyText"/>
        <w:spacing w:before="19"/>
        <w:rPr>
          <w:i/>
        </w:rPr>
      </w:pPr>
    </w:p>
    <w:p>
      <w:pPr>
        <w:pStyle w:val="BodyText"/>
        <w:spacing w:line="249" w:lineRule="auto" w:before="1"/>
        <w:ind w:left="236" w:right="341" w:firstLine="237"/>
        <w:jc w:val="both"/>
      </w:pPr>
      <w:r>
        <w:rPr/>
        <w:t>According</w:t>
      </w:r>
      <w:r>
        <w:rPr>
          <w:spacing w:val="-1"/>
        </w:rPr>
        <w:t> </w:t>
      </w:r>
      <w:r>
        <w:rPr/>
        <w:t>to the path</w:t>
      </w:r>
      <w:r>
        <w:rPr>
          <w:spacing w:val="-1"/>
        </w:rPr>
        <w:t> </w:t>
      </w:r>
      <w:r>
        <w:rPr/>
        <w:t>analysis of</w:t>
      </w:r>
      <w:r>
        <w:rPr>
          <w:spacing w:val="-1"/>
        </w:rPr>
        <w:t> </w:t>
      </w:r>
      <w:r>
        <w:rPr/>
        <w:t>SEM model (figure 2), dimensions</w:t>
      </w:r>
      <w:r>
        <w:rPr>
          <w:spacing w:val="-1"/>
        </w:rPr>
        <w:t> </w:t>
      </w:r>
      <w:r>
        <w:rPr/>
        <w:t>correlations</w:t>
      </w:r>
      <w:r>
        <w:rPr>
          <w:spacing w:val="-1"/>
        </w:rPr>
        <w:t> </w:t>
      </w:r>
      <w:r>
        <w:rPr/>
        <w:t>can</w:t>
      </w:r>
      <w:r>
        <w:rPr>
          <w:spacing w:val="-1"/>
        </w:rPr>
        <w:t> </w:t>
      </w:r>
      <w:r>
        <w:rPr/>
        <w:t>be classified as</w:t>
      </w:r>
      <w:r>
        <w:rPr>
          <w:spacing w:val="-3"/>
        </w:rPr>
        <w:t> </w:t>
      </w:r>
      <w:r>
        <w:rPr/>
        <w:t>direct and indirect effect path</w:t>
      </w:r>
      <w:r>
        <w:rPr>
          <w:spacing w:val="-3"/>
        </w:rPr>
        <w:t> </w:t>
      </w:r>
      <w:r>
        <w:rPr/>
        <w:t>as shown in Table 2. In regards to direct effect, the higher the perceived risk the stronger the purchase intention is toward hydrogen-electric motorcycle; the direct effect is 0.06. Also, the higher</w:t>
      </w:r>
      <w:r>
        <w:rPr>
          <w:spacing w:val="22"/>
        </w:rPr>
        <w:t> </w:t>
      </w:r>
      <w:r>
        <w:rPr/>
        <w:t>the</w:t>
      </w:r>
      <w:r>
        <w:rPr>
          <w:spacing w:val="21"/>
        </w:rPr>
        <w:t> </w:t>
      </w:r>
      <w:r>
        <w:rPr/>
        <w:t>perceived</w:t>
      </w:r>
      <w:r>
        <w:rPr>
          <w:spacing w:val="22"/>
        </w:rPr>
        <w:t> </w:t>
      </w:r>
      <w:r>
        <w:rPr/>
        <w:t>value,</w:t>
      </w:r>
      <w:r>
        <w:rPr>
          <w:spacing w:val="22"/>
        </w:rPr>
        <w:t> </w:t>
      </w:r>
      <w:r>
        <w:rPr/>
        <w:t>the</w:t>
      </w:r>
      <w:r>
        <w:rPr>
          <w:spacing w:val="21"/>
        </w:rPr>
        <w:t> </w:t>
      </w:r>
      <w:r>
        <w:rPr/>
        <w:t>stronger</w:t>
      </w:r>
      <w:r>
        <w:rPr>
          <w:spacing w:val="22"/>
        </w:rPr>
        <w:t> </w:t>
      </w:r>
      <w:r>
        <w:rPr/>
        <w:t>the</w:t>
      </w:r>
      <w:r>
        <w:rPr>
          <w:spacing w:val="21"/>
        </w:rPr>
        <w:t> </w:t>
      </w:r>
      <w:r>
        <w:rPr/>
        <w:t>purchase</w:t>
      </w:r>
      <w:r>
        <w:rPr>
          <w:spacing w:val="22"/>
        </w:rPr>
        <w:t> </w:t>
      </w:r>
      <w:r>
        <w:rPr/>
        <w:t>intention</w:t>
      </w:r>
      <w:r>
        <w:rPr>
          <w:spacing w:val="20"/>
        </w:rPr>
        <w:t> </w:t>
      </w:r>
      <w:r>
        <w:rPr/>
        <w:t>is</w:t>
      </w:r>
      <w:r>
        <w:rPr>
          <w:spacing w:val="21"/>
        </w:rPr>
        <w:t> </w:t>
      </w:r>
      <w:r>
        <w:rPr/>
        <w:t>toward</w:t>
      </w:r>
      <w:r>
        <w:rPr>
          <w:spacing w:val="22"/>
        </w:rPr>
        <w:t> </w:t>
      </w:r>
      <w:r>
        <w:rPr/>
        <w:t>hydrogen-electric</w:t>
      </w:r>
      <w:r>
        <w:rPr>
          <w:spacing w:val="24"/>
        </w:rPr>
        <w:t> </w:t>
      </w:r>
      <w:r>
        <w:rPr/>
        <w:t>motorcycle;</w:t>
      </w:r>
      <w:r>
        <w:rPr>
          <w:spacing w:val="21"/>
        </w:rPr>
        <w:t> </w:t>
      </w:r>
      <w:r>
        <w:rPr/>
        <w:t>the</w:t>
      </w:r>
    </w:p>
    <w:p>
      <w:pPr>
        <w:spacing w:after="0" w:line="249" w:lineRule="auto"/>
        <w:jc w:val="both"/>
        <w:sectPr>
          <w:pgSz w:w="10890" w:h="14860"/>
          <w:pgMar w:header="713" w:footer="0" w:top="900" w:bottom="280" w:left="520" w:right="940"/>
        </w:sectPr>
      </w:pPr>
    </w:p>
    <w:p>
      <w:pPr>
        <w:pStyle w:val="BodyText"/>
        <w:spacing w:before="102"/>
      </w:pPr>
    </w:p>
    <w:p>
      <w:pPr>
        <w:pStyle w:val="BodyText"/>
        <w:spacing w:line="249" w:lineRule="auto"/>
        <w:ind w:left="293" w:right="284"/>
        <w:jc w:val="both"/>
      </w:pPr>
      <w:r>
        <w:rPr/>
        <w:t>direct effect is 0.18. As for indirect effect, the perceived risk (through consumption attitude) has positive influence on purchase intention toward hydrogen-electric motorcycle; the effectiveness is 0.09. Also, perceived</w:t>
      </w:r>
      <w:r>
        <w:rPr>
          <w:spacing w:val="-2"/>
        </w:rPr>
        <w:t> </w:t>
      </w:r>
      <w:r>
        <w:rPr/>
        <w:t>value</w:t>
      </w:r>
      <w:r>
        <w:rPr>
          <w:spacing w:val="-3"/>
        </w:rPr>
        <w:t> </w:t>
      </w:r>
      <w:r>
        <w:rPr/>
        <w:t>(through</w:t>
      </w:r>
      <w:r>
        <w:rPr>
          <w:spacing w:val="-4"/>
        </w:rPr>
        <w:t> </w:t>
      </w:r>
      <w:r>
        <w:rPr/>
        <w:t>consumption</w:t>
      </w:r>
      <w:r>
        <w:rPr>
          <w:spacing w:val="-4"/>
        </w:rPr>
        <w:t> </w:t>
      </w:r>
      <w:r>
        <w:rPr/>
        <w:t>attitude)</w:t>
      </w:r>
      <w:r>
        <w:rPr>
          <w:spacing w:val="-3"/>
        </w:rPr>
        <w:t> </w:t>
      </w:r>
      <w:r>
        <w:rPr/>
        <w:t>has</w:t>
      </w:r>
      <w:r>
        <w:rPr>
          <w:spacing w:val="-3"/>
        </w:rPr>
        <w:t> </w:t>
      </w:r>
      <w:r>
        <w:rPr/>
        <w:t>positive influence</w:t>
      </w:r>
      <w:r>
        <w:rPr>
          <w:spacing w:val="-3"/>
        </w:rPr>
        <w:t> </w:t>
      </w:r>
      <w:r>
        <w:rPr/>
        <w:t>on</w:t>
      </w:r>
      <w:r>
        <w:rPr>
          <w:spacing w:val="-5"/>
        </w:rPr>
        <w:t> </w:t>
      </w:r>
      <w:r>
        <w:rPr/>
        <w:t>purchase intention</w:t>
      </w:r>
      <w:r>
        <w:rPr>
          <w:spacing w:val="-4"/>
        </w:rPr>
        <w:t> </w:t>
      </w:r>
      <w:r>
        <w:rPr/>
        <w:t>toward</w:t>
      </w:r>
      <w:r>
        <w:rPr>
          <w:spacing w:val="-2"/>
        </w:rPr>
        <w:t> </w:t>
      </w:r>
      <w:r>
        <w:rPr/>
        <w:t>hydrogen- electric motorcycle; the indirect effect is 0.24.</w:t>
      </w:r>
      <w:r>
        <w:rPr>
          <w:spacing w:val="-2"/>
        </w:rPr>
        <w:t> </w:t>
      </w:r>
      <w:r>
        <w:rPr/>
        <w:t>The total effect of</w:t>
      </w:r>
      <w:r>
        <w:rPr>
          <w:spacing w:val="-1"/>
        </w:rPr>
        <w:t> </w:t>
      </w:r>
      <w:r>
        <w:rPr/>
        <w:t>perceived value and consumption</w:t>
      </w:r>
      <w:r>
        <w:rPr>
          <w:spacing w:val="-2"/>
        </w:rPr>
        <w:t> </w:t>
      </w:r>
      <w:r>
        <w:rPr/>
        <w:t>attitude on hydrogen-electric motorcycle purchase intention are 0.15 and 0.42 respectively.</w:t>
      </w:r>
    </w:p>
    <w:p>
      <w:pPr>
        <w:spacing w:before="210"/>
        <w:ind w:left="293" w:right="0" w:firstLine="0"/>
        <w:jc w:val="both"/>
        <w:rPr>
          <w:sz w:val="16"/>
        </w:rPr>
      </w:pPr>
      <w:r>
        <w:rPr>
          <w:sz w:val="16"/>
        </w:rPr>
        <w:t>Table</w:t>
      </w:r>
      <w:r>
        <w:rPr>
          <w:spacing w:val="-8"/>
          <w:sz w:val="16"/>
        </w:rPr>
        <w:t> </w:t>
      </w:r>
      <w:r>
        <w:rPr>
          <w:sz w:val="16"/>
        </w:rPr>
        <w:t>2.</w:t>
      </w:r>
      <w:r>
        <w:rPr>
          <w:spacing w:val="-3"/>
          <w:sz w:val="16"/>
        </w:rPr>
        <w:t> </w:t>
      </w:r>
      <w:r>
        <w:rPr>
          <w:sz w:val="16"/>
        </w:rPr>
        <w:t>Paths</w:t>
      </w:r>
      <w:r>
        <w:rPr>
          <w:spacing w:val="-6"/>
          <w:sz w:val="16"/>
        </w:rPr>
        <w:t> </w:t>
      </w:r>
      <w:r>
        <w:rPr>
          <w:sz w:val="16"/>
        </w:rPr>
        <w:t>analysis</w:t>
      </w:r>
      <w:r>
        <w:rPr>
          <w:spacing w:val="-5"/>
          <w:sz w:val="16"/>
        </w:rPr>
        <w:t> </w:t>
      </w:r>
      <w:r>
        <w:rPr>
          <w:color w:val="212121"/>
          <w:sz w:val="16"/>
        </w:rPr>
        <w:t>and</w:t>
      </w:r>
      <w:r>
        <w:rPr>
          <w:color w:val="212121"/>
          <w:spacing w:val="-2"/>
          <w:sz w:val="16"/>
        </w:rPr>
        <w:t> </w:t>
      </w:r>
      <w:r>
        <w:rPr>
          <w:color w:val="212121"/>
          <w:sz w:val="16"/>
        </w:rPr>
        <w:t>Structural</w:t>
      </w:r>
      <w:r>
        <w:rPr>
          <w:color w:val="212121"/>
          <w:spacing w:val="-7"/>
          <w:sz w:val="16"/>
        </w:rPr>
        <w:t> </w:t>
      </w:r>
      <w:r>
        <w:rPr>
          <w:color w:val="212121"/>
          <w:sz w:val="16"/>
        </w:rPr>
        <w:t>model</w:t>
      </w:r>
      <w:r>
        <w:rPr>
          <w:color w:val="212121"/>
          <w:spacing w:val="-6"/>
          <w:sz w:val="16"/>
        </w:rPr>
        <w:t> </w:t>
      </w:r>
      <w:r>
        <w:rPr>
          <w:sz w:val="16"/>
        </w:rPr>
        <w:t>analysis</w:t>
      </w:r>
      <w:r>
        <w:rPr>
          <w:spacing w:val="-5"/>
          <w:sz w:val="16"/>
        </w:rPr>
        <w:t> </w:t>
      </w:r>
      <w:r>
        <w:rPr>
          <w:sz w:val="16"/>
        </w:rPr>
        <w:t>of</w:t>
      </w:r>
      <w:r>
        <w:rPr>
          <w:spacing w:val="-4"/>
          <w:sz w:val="16"/>
        </w:rPr>
        <w:t> </w:t>
      </w:r>
      <w:r>
        <w:rPr>
          <w:sz w:val="16"/>
        </w:rPr>
        <w:t>research</w:t>
      </w:r>
      <w:r>
        <w:rPr>
          <w:spacing w:val="-2"/>
          <w:sz w:val="16"/>
        </w:rPr>
        <w:t> framework</w:t>
      </w:r>
    </w:p>
    <w:p>
      <w:pPr>
        <w:pStyle w:val="BodyText"/>
        <w:spacing w:before="21"/>
      </w:pPr>
    </w:p>
    <w:tbl>
      <w:tblPr>
        <w:tblW w:w="0" w:type="auto"/>
        <w:jc w:val="left"/>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0"/>
        <w:gridCol w:w="816"/>
        <w:gridCol w:w="860"/>
        <w:gridCol w:w="896"/>
        <w:gridCol w:w="1124"/>
        <w:gridCol w:w="784"/>
        <w:gridCol w:w="1033"/>
      </w:tblGrid>
      <w:tr>
        <w:trPr>
          <w:trHeight w:val="400" w:hRule="atLeast"/>
        </w:trPr>
        <w:tc>
          <w:tcPr>
            <w:tcW w:w="3350" w:type="dxa"/>
            <w:tcBorders>
              <w:top w:val="single" w:sz="4" w:space="0" w:color="000000"/>
              <w:bottom w:val="single" w:sz="4" w:space="0" w:color="000000"/>
            </w:tcBorders>
          </w:tcPr>
          <w:p>
            <w:pPr>
              <w:pStyle w:val="TableParagraph"/>
              <w:spacing w:before="112"/>
              <w:ind w:left="108"/>
              <w:rPr>
                <w:sz w:val="16"/>
              </w:rPr>
            </w:pPr>
            <w:r>
              <w:rPr>
                <w:sz w:val="16"/>
              </w:rPr>
              <w:t>Hypothesis</w:t>
            </w:r>
            <w:r>
              <w:rPr>
                <w:spacing w:val="-10"/>
                <w:sz w:val="16"/>
              </w:rPr>
              <w:t> </w:t>
            </w:r>
            <w:r>
              <w:rPr>
                <w:spacing w:val="-4"/>
                <w:sz w:val="16"/>
              </w:rPr>
              <w:t>Path</w:t>
            </w:r>
          </w:p>
        </w:tc>
        <w:tc>
          <w:tcPr>
            <w:tcW w:w="816" w:type="dxa"/>
            <w:tcBorders>
              <w:top w:val="single" w:sz="4" w:space="0" w:color="000000"/>
              <w:bottom w:val="single" w:sz="4" w:space="0" w:color="000000"/>
            </w:tcBorders>
          </w:tcPr>
          <w:p>
            <w:pPr>
              <w:pStyle w:val="TableParagraph"/>
              <w:spacing w:line="200" w:lineRule="exact"/>
              <w:ind w:left="190" w:right="218"/>
              <w:rPr>
                <w:sz w:val="16"/>
              </w:rPr>
            </w:pPr>
            <w:r>
              <w:rPr>
                <w:spacing w:val="-2"/>
                <w:sz w:val="16"/>
              </w:rPr>
              <w:t>Direct</w:t>
            </w:r>
            <w:r>
              <w:rPr>
                <w:spacing w:val="40"/>
                <w:sz w:val="16"/>
              </w:rPr>
              <w:t> </w:t>
            </w:r>
            <w:r>
              <w:rPr>
                <w:spacing w:val="-2"/>
                <w:sz w:val="16"/>
              </w:rPr>
              <w:t>effect</w:t>
            </w:r>
          </w:p>
        </w:tc>
        <w:tc>
          <w:tcPr>
            <w:tcW w:w="860" w:type="dxa"/>
            <w:tcBorders>
              <w:top w:val="single" w:sz="4" w:space="0" w:color="000000"/>
              <w:bottom w:val="single" w:sz="4" w:space="0" w:color="000000"/>
            </w:tcBorders>
          </w:tcPr>
          <w:p>
            <w:pPr>
              <w:pStyle w:val="TableParagraph"/>
              <w:spacing w:line="200" w:lineRule="exact"/>
              <w:ind w:left="194"/>
              <w:rPr>
                <w:sz w:val="16"/>
              </w:rPr>
            </w:pPr>
            <w:r>
              <w:rPr>
                <w:spacing w:val="-2"/>
                <w:sz w:val="16"/>
              </w:rPr>
              <w:t>Indirect</w:t>
            </w:r>
            <w:r>
              <w:rPr>
                <w:spacing w:val="40"/>
                <w:sz w:val="16"/>
              </w:rPr>
              <w:t> </w:t>
            </w:r>
            <w:r>
              <w:rPr>
                <w:spacing w:val="-2"/>
                <w:sz w:val="16"/>
              </w:rPr>
              <w:t>effect</w:t>
            </w:r>
          </w:p>
        </w:tc>
        <w:tc>
          <w:tcPr>
            <w:tcW w:w="896" w:type="dxa"/>
            <w:tcBorders>
              <w:top w:val="single" w:sz="4" w:space="0" w:color="000000"/>
              <w:bottom w:val="single" w:sz="4" w:space="0" w:color="000000"/>
            </w:tcBorders>
          </w:tcPr>
          <w:p>
            <w:pPr>
              <w:pStyle w:val="TableParagraph"/>
              <w:spacing w:line="200" w:lineRule="exact"/>
              <w:ind w:left="184" w:right="339"/>
              <w:rPr>
                <w:sz w:val="16"/>
              </w:rPr>
            </w:pPr>
            <w:r>
              <w:rPr>
                <w:spacing w:val="-2"/>
                <w:sz w:val="16"/>
              </w:rPr>
              <w:t>Total</w:t>
            </w:r>
            <w:r>
              <w:rPr>
                <w:spacing w:val="40"/>
                <w:sz w:val="16"/>
              </w:rPr>
              <w:t> </w:t>
            </w:r>
            <w:r>
              <w:rPr>
                <w:spacing w:val="-2"/>
                <w:sz w:val="16"/>
              </w:rPr>
              <w:t>effect</w:t>
            </w:r>
          </w:p>
        </w:tc>
        <w:tc>
          <w:tcPr>
            <w:tcW w:w="1124" w:type="dxa"/>
            <w:tcBorders>
              <w:top w:val="single" w:sz="4" w:space="0" w:color="000000"/>
              <w:bottom w:val="single" w:sz="4" w:space="0" w:color="000000"/>
            </w:tcBorders>
          </w:tcPr>
          <w:p>
            <w:pPr>
              <w:pStyle w:val="TableParagraph"/>
              <w:spacing w:before="112"/>
              <w:ind w:left="282"/>
              <w:rPr>
                <w:sz w:val="16"/>
              </w:rPr>
            </w:pPr>
            <w:r>
              <w:rPr>
                <w:sz w:val="16"/>
              </w:rPr>
              <w:t>Standard</w:t>
            </w:r>
            <w:r>
              <w:rPr>
                <w:spacing w:val="-2"/>
                <w:sz w:val="16"/>
              </w:rPr>
              <w:t> </w:t>
            </w:r>
            <w:r>
              <w:rPr>
                <w:spacing w:val="-10"/>
                <w:sz w:val="16"/>
              </w:rPr>
              <w:t>β</w:t>
            </w:r>
          </w:p>
        </w:tc>
        <w:tc>
          <w:tcPr>
            <w:tcW w:w="784" w:type="dxa"/>
            <w:tcBorders>
              <w:top w:val="single" w:sz="4" w:space="0" w:color="000000"/>
              <w:bottom w:val="single" w:sz="4" w:space="0" w:color="000000"/>
            </w:tcBorders>
          </w:tcPr>
          <w:p>
            <w:pPr>
              <w:pStyle w:val="TableParagraph"/>
              <w:spacing w:before="112"/>
              <w:ind w:left="152"/>
              <w:rPr>
                <w:sz w:val="16"/>
              </w:rPr>
            </w:pPr>
            <w:r>
              <w:rPr>
                <w:sz w:val="16"/>
              </w:rPr>
              <w:t>t-</w:t>
            </w:r>
            <w:r>
              <w:rPr>
                <w:spacing w:val="-2"/>
                <w:sz w:val="16"/>
              </w:rPr>
              <w:t>value</w:t>
            </w:r>
          </w:p>
        </w:tc>
        <w:tc>
          <w:tcPr>
            <w:tcW w:w="1033" w:type="dxa"/>
            <w:tcBorders>
              <w:top w:val="single" w:sz="4" w:space="0" w:color="000000"/>
              <w:bottom w:val="single" w:sz="4" w:space="0" w:color="000000"/>
            </w:tcBorders>
          </w:tcPr>
          <w:p>
            <w:pPr>
              <w:pStyle w:val="TableParagraph"/>
              <w:spacing w:line="200" w:lineRule="exact"/>
              <w:ind w:left="284" w:right="316" w:hanging="80"/>
              <w:rPr>
                <w:sz w:val="16"/>
              </w:rPr>
            </w:pPr>
            <w:r>
              <w:rPr>
                <w:spacing w:val="-2"/>
                <w:sz w:val="16"/>
              </w:rPr>
              <w:t>Support</w:t>
            </w:r>
            <w:r>
              <w:rPr>
                <w:spacing w:val="40"/>
                <w:sz w:val="16"/>
              </w:rPr>
              <w:t> </w:t>
            </w:r>
            <w:r>
              <w:rPr>
                <w:sz w:val="16"/>
              </w:rPr>
              <w:t>or</w:t>
            </w:r>
            <w:r>
              <w:rPr>
                <w:spacing w:val="-3"/>
                <w:sz w:val="16"/>
              </w:rPr>
              <w:t> </w:t>
            </w:r>
            <w:r>
              <w:rPr>
                <w:sz w:val="16"/>
              </w:rPr>
              <w:t>not</w:t>
            </w:r>
          </w:p>
        </w:tc>
      </w:tr>
      <w:tr>
        <w:trPr>
          <w:trHeight w:val="197" w:hRule="atLeast"/>
        </w:trPr>
        <w:tc>
          <w:tcPr>
            <w:tcW w:w="3350" w:type="dxa"/>
            <w:tcBorders>
              <w:top w:val="single" w:sz="4" w:space="0" w:color="000000"/>
            </w:tcBorders>
          </w:tcPr>
          <w:p>
            <w:pPr>
              <w:pStyle w:val="TableParagraph"/>
              <w:spacing w:line="167" w:lineRule="exact" w:before="11"/>
              <w:ind w:left="108"/>
              <w:rPr>
                <w:sz w:val="16"/>
              </w:rPr>
            </w:pPr>
            <w:r>
              <w:rPr>
                <w:sz w:val="16"/>
              </w:rPr>
              <w:t>H1:</w:t>
            </w:r>
            <w:r>
              <w:rPr>
                <w:spacing w:val="-6"/>
                <w:sz w:val="16"/>
              </w:rPr>
              <w:t> </w:t>
            </w:r>
            <w:r>
              <w:rPr>
                <w:sz w:val="16"/>
              </w:rPr>
              <w:t>Perceived</w:t>
            </w:r>
            <w:r>
              <w:rPr>
                <w:spacing w:val="-3"/>
                <w:sz w:val="16"/>
              </w:rPr>
              <w:t> </w:t>
            </w:r>
            <w:r>
              <w:rPr>
                <w:sz w:val="16"/>
              </w:rPr>
              <w:t>risk→</w:t>
            </w:r>
            <w:r>
              <w:rPr>
                <w:spacing w:val="-6"/>
                <w:sz w:val="16"/>
              </w:rPr>
              <w:t> </w:t>
            </w:r>
            <w:r>
              <w:rPr>
                <w:sz w:val="16"/>
              </w:rPr>
              <w:t>Consumption</w:t>
            </w:r>
            <w:r>
              <w:rPr>
                <w:spacing w:val="-5"/>
                <w:sz w:val="16"/>
              </w:rPr>
              <w:t> </w:t>
            </w:r>
            <w:r>
              <w:rPr>
                <w:spacing w:val="-2"/>
                <w:sz w:val="16"/>
              </w:rPr>
              <w:t>attitude</w:t>
            </w:r>
          </w:p>
        </w:tc>
        <w:tc>
          <w:tcPr>
            <w:tcW w:w="816" w:type="dxa"/>
            <w:tcBorders>
              <w:top w:val="single" w:sz="4" w:space="0" w:color="000000"/>
            </w:tcBorders>
          </w:tcPr>
          <w:p>
            <w:pPr>
              <w:pStyle w:val="TableParagraph"/>
              <w:spacing w:line="167" w:lineRule="exact" w:before="11"/>
              <w:ind w:left="190"/>
              <w:rPr>
                <w:sz w:val="16"/>
              </w:rPr>
            </w:pPr>
            <w:r>
              <w:rPr>
                <w:spacing w:val="-2"/>
                <w:sz w:val="16"/>
              </w:rPr>
              <w:t>0.22</w:t>
            </w:r>
            <w:r>
              <w:rPr>
                <w:spacing w:val="-2"/>
                <w:sz w:val="16"/>
                <w:vertAlign w:val="superscript"/>
              </w:rPr>
              <w:t>***</w:t>
            </w:r>
          </w:p>
        </w:tc>
        <w:tc>
          <w:tcPr>
            <w:tcW w:w="860" w:type="dxa"/>
            <w:tcBorders>
              <w:top w:val="single" w:sz="4" w:space="0" w:color="000000"/>
            </w:tcBorders>
          </w:tcPr>
          <w:p>
            <w:pPr>
              <w:pStyle w:val="TableParagraph"/>
              <w:spacing w:line="167" w:lineRule="exact" w:before="11"/>
              <w:ind w:left="194"/>
              <w:rPr>
                <w:rFonts w:ascii="Liberation Serif" w:hAnsi="Liberation Serif"/>
                <w:sz w:val="16"/>
              </w:rPr>
            </w:pPr>
            <w:r>
              <w:rPr>
                <w:rFonts w:ascii="Liberation Serif" w:hAnsi="Liberation Serif"/>
                <w:spacing w:val="-5"/>
                <w:sz w:val="16"/>
              </w:rPr>
              <w:t>ɡɡɡ</w:t>
            </w:r>
          </w:p>
        </w:tc>
        <w:tc>
          <w:tcPr>
            <w:tcW w:w="896" w:type="dxa"/>
            <w:tcBorders>
              <w:top w:val="single" w:sz="4" w:space="0" w:color="000000"/>
            </w:tcBorders>
          </w:tcPr>
          <w:p>
            <w:pPr>
              <w:pStyle w:val="TableParagraph"/>
              <w:spacing w:line="167" w:lineRule="exact" w:before="11"/>
              <w:ind w:left="98" w:right="191"/>
              <w:jc w:val="center"/>
              <w:rPr>
                <w:sz w:val="16"/>
              </w:rPr>
            </w:pPr>
            <w:r>
              <w:rPr>
                <w:spacing w:val="-2"/>
                <w:sz w:val="16"/>
              </w:rPr>
              <w:t>0.22</w:t>
            </w:r>
            <w:r>
              <w:rPr>
                <w:spacing w:val="-2"/>
                <w:sz w:val="16"/>
                <w:vertAlign w:val="superscript"/>
              </w:rPr>
              <w:t>***</w:t>
            </w:r>
          </w:p>
        </w:tc>
        <w:tc>
          <w:tcPr>
            <w:tcW w:w="1124" w:type="dxa"/>
            <w:tcBorders>
              <w:top w:val="single" w:sz="4" w:space="0" w:color="000000"/>
            </w:tcBorders>
          </w:tcPr>
          <w:p>
            <w:pPr>
              <w:pStyle w:val="TableParagraph"/>
              <w:spacing w:line="167" w:lineRule="exact" w:before="11"/>
              <w:ind w:left="282"/>
              <w:rPr>
                <w:sz w:val="16"/>
              </w:rPr>
            </w:pPr>
            <w:r>
              <w:rPr>
                <w:spacing w:val="-4"/>
                <w:sz w:val="16"/>
              </w:rPr>
              <w:t>0.22</w:t>
            </w:r>
          </w:p>
        </w:tc>
        <w:tc>
          <w:tcPr>
            <w:tcW w:w="784" w:type="dxa"/>
            <w:tcBorders>
              <w:top w:val="single" w:sz="4" w:space="0" w:color="000000"/>
            </w:tcBorders>
          </w:tcPr>
          <w:p>
            <w:pPr>
              <w:pStyle w:val="TableParagraph"/>
              <w:spacing w:line="167" w:lineRule="exact" w:before="11"/>
              <w:ind w:left="151"/>
              <w:rPr>
                <w:sz w:val="16"/>
              </w:rPr>
            </w:pPr>
            <w:r>
              <w:rPr>
                <w:spacing w:val="-2"/>
                <w:sz w:val="16"/>
              </w:rPr>
              <w:t>4.10</w:t>
            </w:r>
            <w:r>
              <w:rPr>
                <w:spacing w:val="-2"/>
                <w:sz w:val="16"/>
                <w:vertAlign w:val="superscript"/>
              </w:rPr>
              <w:t>**</w:t>
            </w:r>
            <w:r>
              <w:rPr>
                <w:spacing w:val="-2"/>
                <w:sz w:val="16"/>
                <w:vertAlign w:val="superscript"/>
              </w:rPr>
              <w:t>*</w:t>
            </w:r>
          </w:p>
        </w:tc>
        <w:tc>
          <w:tcPr>
            <w:tcW w:w="1033" w:type="dxa"/>
            <w:tcBorders>
              <w:top w:val="single" w:sz="4" w:space="0" w:color="000000"/>
            </w:tcBorders>
          </w:tcPr>
          <w:p>
            <w:pPr>
              <w:pStyle w:val="TableParagraph"/>
              <w:spacing w:line="167" w:lineRule="exact" w:before="11"/>
              <w:ind w:left="205"/>
              <w:rPr>
                <w:sz w:val="16"/>
              </w:rPr>
            </w:pPr>
            <w:r>
              <w:rPr>
                <w:spacing w:val="-2"/>
                <w:sz w:val="16"/>
              </w:rPr>
              <w:t>Support</w:t>
            </w:r>
          </w:p>
        </w:tc>
      </w:tr>
      <w:tr>
        <w:trPr>
          <w:trHeight w:val="199" w:hRule="atLeast"/>
        </w:trPr>
        <w:tc>
          <w:tcPr>
            <w:tcW w:w="3350" w:type="dxa"/>
          </w:tcPr>
          <w:p>
            <w:pPr>
              <w:pStyle w:val="TableParagraph"/>
              <w:spacing w:line="167" w:lineRule="exact" w:before="12"/>
              <w:ind w:left="108"/>
              <w:rPr>
                <w:sz w:val="16"/>
              </w:rPr>
            </w:pPr>
            <w:r>
              <w:rPr>
                <w:sz w:val="16"/>
              </w:rPr>
              <w:t>H2:</w:t>
            </w:r>
            <w:r>
              <w:rPr>
                <w:spacing w:val="-5"/>
                <w:sz w:val="16"/>
              </w:rPr>
              <w:t> </w:t>
            </w:r>
            <w:r>
              <w:rPr>
                <w:sz w:val="16"/>
              </w:rPr>
              <w:t>Perceived</w:t>
            </w:r>
            <w:r>
              <w:rPr>
                <w:spacing w:val="-2"/>
                <w:sz w:val="16"/>
              </w:rPr>
              <w:t> </w:t>
            </w:r>
            <w:r>
              <w:rPr>
                <w:sz w:val="16"/>
              </w:rPr>
              <w:t>risk→</w:t>
            </w:r>
            <w:r>
              <w:rPr>
                <w:spacing w:val="-3"/>
                <w:sz w:val="16"/>
              </w:rPr>
              <w:t> </w:t>
            </w:r>
            <w:r>
              <w:rPr>
                <w:sz w:val="16"/>
              </w:rPr>
              <w:t>Purchase</w:t>
            </w:r>
            <w:r>
              <w:rPr>
                <w:spacing w:val="-7"/>
                <w:sz w:val="16"/>
              </w:rPr>
              <w:t> </w:t>
            </w:r>
            <w:r>
              <w:rPr>
                <w:spacing w:val="-2"/>
                <w:sz w:val="16"/>
              </w:rPr>
              <w:t>intention</w:t>
            </w:r>
          </w:p>
        </w:tc>
        <w:tc>
          <w:tcPr>
            <w:tcW w:w="816" w:type="dxa"/>
          </w:tcPr>
          <w:p>
            <w:pPr>
              <w:pStyle w:val="TableParagraph"/>
              <w:spacing w:line="167" w:lineRule="exact" w:before="12"/>
              <w:ind w:left="191"/>
              <w:rPr>
                <w:sz w:val="16"/>
              </w:rPr>
            </w:pPr>
            <w:r>
              <w:rPr>
                <w:spacing w:val="-4"/>
                <w:sz w:val="16"/>
              </w:rPr>
              <w:t>0.06</w:t>
            </w:r>
          </w:p>
        </w:tc>
        <w:tc>
          <w:tcPr>
            <w:tcW w:w="860" w:type="dxa"/>
          </w:tcPr>
          <w:p>
            <w:pPr>
              <w:pStyle w:val="TableParagraph"/>
              <w:spacing w:line="167" w:lineRule="exact" w:before="12"/>
              <w:ind w:left="195"/>
              <w:rPr>
                <w:sz w:val="16"/>
              </w:rPr>
            </w:pPr>
            <w:r>
              <w:rPr>
                <w:spacing w:val="-2"/>
                <w:sz w:val="16"/>
              </w:rPr>
              <w:t>0.09</w:t>
            </w:r>
            <w:r>
              <w:rPr>
                <w:spacing w:val="-2"/>
                <w:sz w:val="16"/>
                <w:vertAlign w:val="superscript"/>
              </w:rPr>
              <w:t>*</w:t>
            </w:r>
          </w:p>
        </w:tc>
        <w:tc>
          <w:tcPr>
            <w:tcW w:w="896" w:type="dxa"/>
          </w:tcPr>
          <w:p>
            <w:pPr>
              <w:pStyle w:val="TableParagraph"/>
              <w:spacing w:line="167" w:lineRule="exact" w:before="12"/>
              <w:ind w:right="191"/>
              <w:jc w:val="center"/>
              <w:rPr>
                <w:sz w:val="16"/>
              </w:rPr>
            </w:pPr>
            <w:r>
              <w:rPr>
                <w:spacing w:val="-2"/>
                <w:sz w:val="16"/>
              </w:rPr>
              <w:t>0.15</w:t>
            </w:r>
            <w:r>
              <w:rPr>
                <w:spacing w:val="-2"/>
                <w:sz w:val="16"/>
                <w:vertAlign w:val="superscript"/>
              </w:rPr>
              <w:t>*</w:t>
            </w:r>
          </w:p>
        </w:tc>
        <w:tc>
          <w:tcPr>
            <w:tcW w:w="1124" w:type="dxa"/>
          </w:tcPr>
          <w:p>
            <w:pPr>
              <w:pStyle w:val="TableParagraph"/>
              <w:spacing w:line="167" w:lineRule="exact" w:before="12"/>
              <w:ind w:left="281"/>
              <w:rPr>
                <w:sz w:val="16"/>
              </w:rPr>
            </w:pPr>
            <w:r>
              <w:rPr>
                <w:spacing w:val="-4"/>
                <w:sz w:val="16"/>
              </w:rPr>
              <w:t>0.06</w:t>
            </w:r>
          </w:p>
        </w:tc>
        <w:tc>
          <w:tcPr>
            <w:tcW w:w="784" w:type="dxa"/>
          </w:tcPr>
          <w:p>
            <w:pPr>
              <w:pStyle w:val="TableParagraph"/>
              <w:spacing w:line="167" w:lineRule="exact" w:before="12"/>
              <w:ind w:left="151"/>
              <w:rPr>
                <w:sz w:val="16"/>
              </w:rPr>
            </w:pPr>
            <w:r>
              <w:rPr>
                <w:spacing w:val="-4"/>
                <w:sz w:val="16"/>
              </w:rPr>
              <w:t>1.08</w:t>
            </w:r>
          </w:p>
        </w:tc>
        <w:tc>
          <w:tcPr>
            <w:tcW w:w="1033" w:type="dxa"/>
          </w:tcPr>
          <w:p>
            <w:pPr>
              <w:pStyle w:val="TableParagraph"/>
              <w:spacing w:line="167" w:lineRule="exact" w:before="12"/>
              <w:ind w:left="205"/>
              <w:rPr>
                <w:sz w:val="16"/>
              </w:rPr>
            </w:pPr>
            <w:r>
              <w:rPr>
                <w:spacing w:val="-5"/>
                <w:sz w:val="16"/>
              </w:rPr>
              <w:t>Not</w:t>
            </w:r>
          </w:p>
        </w:tc>
      </w:tr>
      <w:tr>
        <w:trPr>
          <w:trHeight w:val="200" w:hRule="atLeast"/>
        </w:trPr>
        <w:tc>
          <w:tcPr>
            <w:tcW w:w="3350" w:type="dxa"/>
          </w:tcPr>
          <w:p>
            <w:pPr>
              <w:pStyle w:val="TableParagraph"/>
              <w:spacing w:line="168" w:lineRule="exact" w:before="12"/>
              <w:ind w:left="107"/>
              <w:rPr>
                <w:sz w:val="16"/>
              </w:rPr>
            </w:pPr>
            <w:r>
              <w:rPr>
                <w:sz w:val="16"/>
              </w:rPr>
              <w:t>H3:</w:t>
            </w:r>
            <w:r>
              <w:rPr>
                <w:spacing w:val="-8"/>
                <w:sz w:val="16"/>
              </w:rPr>
              <w:t> </w:t>
            </w:r>
            <w:r>
              <w:rPr>
                <w:sz w:val="16"/>
              </w:rPr>
              <w:t>Perceived</w:t>
            </w:r>
            <w:r>
              <w:rPr>
                <w:spacing w:val="-6"/>
                <w:sz w:val="16"/>
              </w:rPr>
              <w:t> </w:t>
            </w:r>
            <w:r>
              <w:rPr>
                <w:sz w:val="16"/>
              </w:rPr>
              <w:t>value→</w:t>
            </w:r>
            <w:r>
              <w:rPr>
                <w:spacing w:val="-7"/>
                <w:sz w:val="16"/>
              </w:rPr>
              <w:t> </w:t>
            </w:r>
            <w:r>
              <w:rPr>
                <w:sz w:val="16"/>
              </w:rPr>
              <w:t>Consumption</w:t>
            </w:r>
            <w:r>
              <w:rPr>
                <w:spacing w:val="-7"/>
                <w:sz w:val="16"/>
              </w:rPr>
              <w:t> </w:t>
            </w:r>
            <w:r>
              <w:rPr>
                <w:spacing w:val="-2"/>
                <w:sz w:val="16"/>
              </w:rPr>
              <w:t>attitude</w:t>
            </w:r>
          </w:p>
        </w:tc>
        <w:tc>
          <w:tcPr>
            <w:tcW w:w="816" w:type="dxa"/>
          </w:tcPr>
          <w:p>
            <w:pPr>
              <w:pStyle w:val="TableParagraph"/>
              <w:spacing w:line="168" w:lineRule="exact" w:before="12"/>
              <w:ind w:left="189"/>
              <w:rPr>
                <w:sz w:val="16"/>
              </w:rPr>
            </w:pPr>
            <w:r>
              <w:rPr>
                <w:spacing w:val="-2"/>
                <w:sz w:val="16"/>
              </w:rPr>
              <w:t>0.61</w:t>
            </w:r>
            <w:r>
              <w:rPr>
                <w:spacing w:val="-2"/>
                <w:sz w:val="16"/>
                <w:vertAlign w:val="superscript"/>
              </w:rPr>
              <w:t>**</w:t>
            </w:r>
            <w:r>
              <w:rPr>
                <w:spacing w:val="-2"/>
                <w:sz w:val="16"/>
                <w:vertAlign w:val="superscript"/>
              </w:rPr>
              <w:t>*</w:t>
            </w:r>
          </w:p>
        </w:tc>
        <w:tc>
          <w:tcPr>
            <w:tcW w:w="860" w:type="dxa"/>
          </w:tcPr>
          <w:p>
            <w:pPr>
              <w:pStyle w:val="TableParagraph"/>
              <w:spacing w:line="168" w:lineRule="exact" w:before="12"/>
              <w:ind w:left="194"/>
              <w:rPr>
                <w:rFonts w:ascii="Liberation Serif" w:hAnsi="Liberation Serif"/>
                <w:sz w:val="16"/>
              </w:rPr>
            </w:pPr>
            <w:r>
              <w:rPr>
                <w:rFonts w:ascii="Liberation Serif" w:hAnsi="Liberation Serif"/>
                <w:spacing w:val="-5"/>
                <w:sz w:val="16"/>
              </w:rPr>
              <w:t>ɡɡɡ</w:t>
            </w:r>
          </w:p>
        </w:tc>
        <w:tc>
          <w:tcPr>
            <w:tcW w:w="896" w:type="dxa"/>
          </w:tcPr>
          <w:p>
            <w:pPr>
              <w:pStyle w:val="TableParagraph"/>
              <w:spacing w:line="168" w:lineRule="exact" w:before="12"/>
              <w:ind w:left="98" w:right="191"/>
              <w:jc w:val="center"/>
              <w:rPr>
                <w:sz w:val="16"/>
              </w:rPr>
            </w:pPr>
            <w:r>
              <w:rPr>
                <w:spacing w:val="-2"/>
                <w:sz w:val="16"/>
              </w:rPr>
              <w:t>0.61</w:t>
            </w:r>
            <w:r>
              <w:rPr>
                <w:spacing w:val="-2"/>
                <w:sz w:val="16"/>
                <w:vertAlign w:val="superscript"/>
              </w:rPr>
              <w:t>***</w:t>
            </w:r>
          </w:p>
        </w:tc>
        <w:tc>
          <w:tcPr>
            <w:tcW w:w="1124" w:type="dxa"/>
          </w:tcPr>
          <w:p>
            <w:pPr>
              <w:pStyle w:val="TableParagraph"/>
              <w:spacing w:line="168" w:lineRule="exact" w:before="12"/>
              <w:ind w:left="282"/>
              <w:rPr>
                <w:sz w:val="16"/>
              </w:rPr>
            </w:pPr>
            <w:r>
              <w:rPr>
                <w:spacing w:val="-4"/>
                <w:sz w:val="16"/>
              </w:rPr>
              <w:t>0.61</w:t>
            </w:r>
          </w:p>
        </w:tc>
        <w:tc>
          <w:tcPr>
            <w:tcW w:w="784" w:type="dxa"/>
          </w:tcPr>
          <w:p>
            <w:pPr>
              <w:pStyle w:val="TableParagraph"/>
              <w:spacing w:line="168" w:lineRule="exact" w:before="12"/>
              <w:ind w:left="151"/>
              <w:rPr>
                <w:sz w:val="16"/>
              </w:rPr>
            </w:pPr>
            <w:r>
              <w:rPr>
                <w:spacing w:val="-2"/>
                <w:sz w:val="16"/>
              </w:rPr>
              <w:t>8.96</w:t>
            </w:r>
            <w:r>
              <w:rPr>
                <w:spacing w:val="-2"/>
                <w:sz w:val="16"/>
                <w:vertAlign w:val="superscript"/>
              </w:rPr>
              <w:t>**</w:t>
            </w:r>
            <w:r>
              <w:rPr>
                <w:spacing w:val="-2"/>
                <w:sz w:val="16"/>
                <w:vertAlign w:val="superscript"/>
              </w:rPr>
              <w:t>*</w:t>
            </w:r>
          </w:p>
        </w:tc>
        <w:tc>
          <w:tcPr>
            <w:tcW w:w="1033" w:type="dxa"/>
          </w:tcPr>
          <w:p>
            <w:pPr>
              <w:pStyle w:val="TableParagraph"/>
              <w:spacing w:line="168" w:lineRule="exact" w:before="12"/>
              <w:ind w:left="205"/>
              <w:rPr>
                <w:sz w:val="16"/>
              </w:rPr>
            </w:pPr>
            <w:r>
              <w:rPr>
                <w:spacing w:val="-2"/>
                <w:sz w:val="16"/>
              </w:rPr>
              <w:t>Support</w:t>
            </w:r>
          </w:p>
        </w:tc>
      </w:tr>
      <w:tr>
        <w:trPr>
          <w:trHeight w:val="200" w:hRule="atLeast"/>
        </w:trPr>
        <w:tc>
          <w:tcPr>
            <w:tcW w:w="3350" w:type="dxa"/>
          </w:tcPr>
          <w:p>
            <w:pPr>
              <w:pStyle w:val="TableParagraph"/>
              <w:spacing w:line="167" w:lineRule="exact" w:before="13"/>
              <w:ind w:left="108"/>
              <w:rPr>
                <w:sz w:val="16"/>
              </w:rPr>
            </w:pPr>
            <w:r>
              <w:rPr>
                <w:sz w:val="16"/>
              </w:rPr>
              <w:t>H4:</w:t>
            </w:r>
            <w:r>
              <w:rPr>
                <w:spacing w:val="-6"/>
                <w:sz w:val="16"/>
              </w:rPr>
              <w:t> </w:t>
            </w:r>
            <w:r>
              <w:rPr>
                <w:sz w:val="16"/>
              </w:rPr>
              <w:t>Perceived</w:t>
            </w:r>
            <w:r>
              <w:rPr>
                <w:spacing w:val="-2"/>
                <w:sz w:val="16"/>
              </w:rPr>
              <w:t> </w:t>
            </w:r>
            <w:r>
              <w:rPr>
                <w:sz w:val="16"/>
              </w:rPr>
              <w:t>value→</w:t>
            </w:r>
            <w:r>
              <w:rPr>
                <w:spacing w:val="-4"/>
                <w:sz w:val="16"/>
              </w:rPr>
              <w:t> </w:t>
            </w:r>
            <w:r>
              <w:rPr>
                <w:sz w:val="16"/>
              </w:rPr>
              <w:t>Purchase</w:t>
            </w:r>
            <w:r>
              <w:rPr>
                <w:spacing w:val="-5"/>
                <w:sz w:val="16"/>
              </w:rPr>
              <w:t> </w:t>
            </w:r>
            <w:r>
              <w:rPr>
                <w:spacing w:val="-2"/>
                <w:sz w:val="16"/>
              </w:rPr>
              <w:t>intention</w:t>
            </w:r>
          </w:p>
        </w:tc>
        <w:tc>
          <w:tcPr>
            <w:tcW w:w="816" w:type="dxa"/>
          </w:tcPr>
          <w:p>
            <w:pPr>
              <w:pStyle w:val="TableParagraph"/>
              <w:spacing w:line="167" w:lineRule="exact" w:before="13"/>
              <w:ind w:left="190"/>
              <w:rPr>
                <w:sz w:val="16"/>
              </w:rPr>
            </w:pPr>
            <w:r>
              <w:rPr>
                <w:spacing w:val="-2"/>
                <w:sz w:val="16"/>
              </w:rPr>
              <w:t>0.18</w:t>
            </w:r>
            <w:r>
              <w:rPr>
                <w:spacing w:val="-2"/>
                <w:sz w:val="16"/>
                <w:vertAlign w:val="superscript"/>
              </w:rPr>
              <w:t>*</w:t>
            </w:r>
          </w:p>
        </w:tc>
        <w:tc>
          <w:tcPr>
            <w:tcW w:w="860" w:type="dxa"/>
          </w:tcPr>
          <w:p>
            <w:pPr>
              <w:pStyle w:val="TableParagraph"/>
              <w:spacing w:line="167" w:lineRule="exact" w:before="13"/>
              <w:ind w:left="194"/>
              <w:rPr>
                <w:sz w:val="16"/>
              </w:rPr>
            </w:pPr>
            <w:r>
              <w:rPr>
                <w:spacing w:val="-2"/>
                <w:sz w:val="16"/>
              </w:rPr>
              <w:t>0.24</w:t>
            </w:r>
            <w:r>
              <w:rPr>
                <w:spacing w:val="-2"/>
                <w:sz w:val="16"/>
                <w:vertAlign w:val="superscript"/>
              </w:rPr>
              <w:t>***</w:t>
            </w:r>
          </w:p>
        </w:tc>
        <w:tc>
          <w:tcPr>
            <w:tcW w:w="896" w:type="dxa"/>
          </w:tcPr>
          <w:p>
            <w:pPr>
              <w:pStyle w:val="TableParagraph"/>
              <w:spacing w:line="167" w:lineRule="exact" w:before="13"/>
              <w:ind w:left="98" w:right="191"/>
              <w:jc w:val="center"/>
              <w:rPr>
                <w:sz w:val="16"/>
              </w:rPr>
            </w:pPr>
            <w:r>
              <w:rPr>
                <w:spacing w:val="-2"/>
                <w:sz w:val="16"/>
              </w:rPr>
              <w:t>0.42</w:t>
            </w:r>
            <w:r>
              <w:rPr>
                <w:spacing w:val="-2"/>
                <w:sz w:val="16"/>
                <w:vertAlign w:val="superscript"/>
              </w:rPr>
              <w:t>***</w:t>
            </w:r>
          </w:p>
        </w:tc>
        <w:tc>
          <w:tcPr>
            <w:tcW w:w="1124" w:type="dxa"/>
          </w:tcPr>
          <w:p>
            <w:pPr>
              <w:pStyle w:val="TableParagraph"/>
              <w:spacing w:line="167" w:lineRule="exact" w:before="13"/>
              <w:ind w:left="282"/>
              <w:rPr>
                <w:sz w:val="16"/>
              </w:rPr>
            </w:pPr>
            <w:r>
              <w:rPr>
                <w:spacing w:val="-4"/>
                <w:sz w:val="16"/>
              </w:rPr>
              <w:t>0.18</w:t>
            </w:r>
          </w:p>
        </w:tc>
        <w:tc>
          <w:tcPr>
            <w:tcW w:w="784" w:type="dxa"/>
          </w:tcPr>
          <w:p>
            <w:pPr>
              <w:pStyle w:val="TableParagraph"/>
              <w:spacing w:line="167" w:lineRule="exact" w:before="13"/>
              <w:ind w:left="151"/>
              <w:rPr>
                <w:sz w:val="16"/>
              </w:rPr>
            </w:pPr>
            <w:r>
              <w:rPr>
                <w:spacing w:val="-2"/>
                <w:sz w:val="16"/>
              </w:rPr>
              <w:t>2.11</w:t>
            </w:r>
            <w:r>
              <w:rPr>
                <w:spacing w:val="-2"/>
                <w:sz w:val="16"/>
                <w:vertAlign w:val="superscript"/>
              </w:rPr>
              <w:t>*</w:t>
            </w:r>
          </w:p>
        </w:tc>
        <w:tc>
          <w:tcPr>
            <w:tcW w:w="1033" w:type="dxa"/>
          </w:tcPr>
          <w:p>
            <w:pPr>
              <w:pStyle w:val="TableParagraph"/>
              <w:spacing w:line="167" w:lineRule="exact" w:before="13"/>
              <w:ind w:left="205"/>
              <w:rPr>
                <w:sz w:val="16"/>
              </w:rPr>
            </w:pPr>
            <w:r>
              <w:rPr>
                <w:spacing w:val="-2"/>
                <w:sz w:val="16"/>
              </w:rPr>
              <w:t>Support</w:t>
            </w:r>
          </w:p>
        </w:tc>
      </w:tr>
      <w:tr>
        <w:trPr>
          <w:trHeight w:val="200" w:hRule="atLeast"/>
        </w:trPr>
        <w:tc>
          <w:tcPr>
            <w:tcW w:w="3350" w:type="dxa"/>
            <w:tcBorders>
              <w:bottom w:val="single" w:sz="4" w:space="0" w:color="000000"/>
            </w:tcBorders>
          </w:tcPr>
          <w:p>
            <w:pPr>
              <w:pStyle w:val="TableParagraph"/>
              <w:spacing w:line="168" w:lineRule="exact" w:before="12"/>
              <w:ind w:left="108"/>
              <w:rPr>
                <w:sz w:val="16"/>
              </w:rPr>
            </w:pPr>
            <w:r>
              <w:rPr>
                <w:sz w:val="16"/>
              </w:rPr>
              <w:t>H5:</w:t>
            </w:r>
            <w:r>
              <w:rPr>
                <w:spacing w:val="-6"/>
                <w:sz w:val="16"/>
              </w:rPr>
              <w:t> </w:t>
            </w:r>
            <w:r>
              <w:rPr>
                <w:sz w:val="16"/>
              </w:rPr>
              <w:t>Consumption</w:t>
            </w:r>
            <w:r>
              <w:rPr>
                <w:spacing w:val="-5"/>
                <w:sz w:val="16"/>
              </w:rPr>
              <w:t> </w:t>
            </w:r>
            <w:r>
              <w:rPr>
                <w:sz w:val="16"/>
              </w:rPr>
              <w:t>attitude→</w:t>
            </w:r>
            <w:r>
              <w:rPr>
                <w:spacing w:val="-5"/>
                <w:sz w:val="16"/>
              </w:rPr>
              <w:t> </w:t>
            </w:r>
            <w:r>
              <w:rPr>
                <w:sz w:val="16"/>
              </w:rPr>
              <w:t>Purchase</w:t>
            </w:r>
            <w:r>
              <w:rPr>
                <w:spacing w:val="-5"/>
                <w:sz w:val="16"/>
              </w:rPr>
              <w:t> </w:t>
            </w:r>
            <w:r>
              <w:rPr>
                <w:spacing w:val="-2"/>
                <w:sz w:val="16"/>
              </w:rPr>
              <w:t>intention</w:t>
            </w:r>
          </w:p>
        </w:tc>
        <w:tc>
          <w:tcPr>
            <w:tcW w:w="816" w:type="dxa"/>
            <w:tcBorders>
              <w:bottom w:val="single" w:sz="4" w:space="0" w:color="000000"/>
            </w:tcBorders>
          </w:tcPr>
          <w:p>
            <w:pPr>
              <w:pStyle w:val="TableParagraph"/>
              <w:spacing w:line="168" w:lineRule="exact" w:before="12"/>
              <w:ind w:left="191"/>
              <w:rPr>
                <w:sz w:val="16"/>
              </w:rPr>
            </w:pPr>
            <w:r>
              <w:rPr>
                <w:spacing w:val="-2"/>
                <w:sz w:val="16"/>
              </w:rPr>
              <w:t>0.40</w:t>
            </w:r>
            <w:r>
              <w:rPr>
                <w:spacing w:val="-2"/>
                <w:sz w:val="16"/>
                <w:vertAlign w:val="superscript"/>
              </w:rPr>
              <w:t>**</w:t>
            </w:r>
            <w:r>
              <w:rPr>
                <w:spacing w:val="-2"/>
                <w:sz w:val="16"/>
                <w:vertAlign w:val="superscript"/>
              </w:rPr>
              <w:t>*</w:t>
            </w:r>
          </w:p>
        </w:tc>
        <w:tc>
          <w:tcPr>
            <w:tcW w:w="860" w:type="dxa"/>
            <w:tcBorders>
              <w:bottom w:val="single" w:sz="4" w:space="0" w:color="000000"/>
            </w:tcBorders>
          </w:tcPr>
          <w:p>
            <w:pPr>
              <w:pStyle w:val="TableParagraph"/>
              <w:spacing w:line="168" w:lineRule="exact" w:before="12"/>
              <w:ind w:left="194"/>
              <w:rPr>
                <w:rFonts w:ascii="Liberation Serif" w:hAnsi="Liberation Serif"/>
                <w:sz w:val="16"/>
              </w:rPr>
            </w:pPr>
            <w:r>
              <w:rPr>
                <w:rFonts w:ascii="Liberation Serif" w:hAnsi="Liberation Serif"/>
                <w:spacing w:val="-5"/>
                <w:sz w:val="16"/>
              </w:rPr>
              <w:t>ɡɡɡ</w:t>
            </w:r>
          </w:p>
        </w:tc>
        <w:tc>
          <w:tcPr>
            <w:tcW w:w="896" w:type="dxa"/>
            <w:tcBorders>
              <w:bottom w:val="single" w:sz="4" w:space="0" w:color="000000"/>
            </w:tcBorders>
          </w:tcPr>
          <w:p>
            <w:pPr>
              <w:pStyle w:val="TableParagraph"/>
              <w:spacing w:line="168" w:lineRule="exact" w:before="12"/>
              <w:ind w:left="98" w:right="191"/>
              <w:jc w:val="center"/>
              <w:rPr>
                <w:sz w:val="16"/>
              </w:rPr>
            </w:pPr>
            <w:r>
              <w:rPr>
                <w:spacing w:val="-2"/>
                <w:sz w:val="16"/>
              </w:rPr>
              <w:t>0.40</w:t>
            </w:r>
            <w:r>
              <w:rPr>
                <w:spacing w:val="-2"/>
                <w:sz w:val="16"/>
                <w:vertAlign w:val="superscript"/>
              </w:rPr>
              <w:t>***</w:t>
            </w:r>
          </w:p>
        </w:tc>
        <w:tc>
          <w:tcPr>
            <w:tcW w:w="1124" w:type="dxa"/>
            <w:tcBorders>
              <w:bottom w:val="single" w:sz="4" w:space="0" w:color="000000"/>
            </w:tcBorders>
          </w:tcPr>
          <w:p>
            <w:pPr>
              <w:pStyle w:val="TableParagraph"/>
              <w:spacing w:line="168" w:lineRule="exact" w:before="12"/>
              <w:ind w:left="282"/>
              <w:rPr>
                <w:sz w:val="16"/>
              </w:rPr>
            </w:pPr>
            <w:r>
              <w:rPr>
                <w:spacing w:val="-4"/>
                <w:sz w:val="16"/>
              </w:rPr>
              <w:t>0.40</w:t>
            </w:r>
          </w:p>
        </w:tc>
        <w:tc>
          <w:tcPr>
            <w:tcW w:w="784" w:type="dxa"/>
            <w:tcBorders>
              <w:bottom w:val="single" w:sz="4" w:space="0" w:color="000000"/>
            </w:tcBorders>
          </w:tcPr>
          <w:p>
            <w:pPr>
              <w:pStyle w:val="TableParagraph"/>
              <w:spacing w:line="168" w:lineRule="exact" w:before="12"/>
              <w:ind w:left="151"/>
              <w:rPr>
                <w:sz w:val="16"/>
              </w:rPr>
            </w:pPr>
            <w:r>
              <w:rPr>
                <w:spacing w:val="-2"/>
                <w:sz w:val="16"/>
              </w:rPr>
              <w:t>4.31</w:t>
            </w:r>
            <w:r>
              <w:rPr>
                <w:spacing w:val="-2"/>
                <w:sz w:val="16"/>
                <w:vertAlign w:val="superscript"/>
              </w:rPr>
              <w:t>**</w:t>
            </w:r>
            <w:r>
              <w:rPr>
                <w:spacing w:val="-2"/>
                <w:sz w:val="16"/>
                <w:vertAlign w:val="superscript"/>
              </w:rPr>
              <w:t>*</w:t>
            </w:r>
          </w:p>
        </w:tc>
        <w:tc>
          <w:tcPr>
            <w:tcW w:w="1033" w:type="dxa"/>
            <w:tcBorders>
              <w:bottom w:val="single" w:sz="4" w:space="0" w:color="000000"/>
            </w:tcBorders>
          </w:tcPr>
          <w:p>
            <w:pPr>
              <w:pStyle w:val="TableParagraph"/>
              <w:spacing w:line="168" w:lineRule="exact" w:before="12"/>
              <w:ind w:left="205"/>
              <w:rPr>
                <w:sz w:val="16"/>
              </w:rPr>
            </w:pPr>
            <w:r>
              <w:rPr>
                <w:spacing w:val="-2"/>
                <w:sz w:val="16"/>
              </w:rPr>
              <w:t>Support</w:t>
            </w:r>
          </w:p>
        </w:tc>
      </w:tr>
    </w:tbl>
    <w:p>
      <w:pPr>
        <w:spacing w:before="11"/>
        <w:ind w:left="514" w:right="0" w:firstLine="0"/>
        <w:jc w:val="left"/>
        <w:rPr>
          <w:sz w:val="16"/>
        </w:rPr>
      </w:pPr>
      <w:r>
        <w:rPr>
          <w:sz w:val="16"/>
        </w:rPr>
        <w:t>Note:</w:t>
      </w:r>
      <w:r>
        <w:rPr>
          <w:spacing w:val="23"/>
          <w:sz w:val="16"/>
        </w:rPr>
        <w:t> </w:t>
      </w:r>
      <w:r>
        <w:rPr>
          <w:sz w:val="16"/>
          <w:vertAlign w:val="superscript"/>
        </w:rPr>
        <w:t>***</w:t>
      </w:r>
      <w:r>
        <w:rPr>
          <w:sz w:val="16"/>
          <w:vertAlign w:val="baseline"/>
        </w:rPr>
        <w:t>P&lt;0.001(</w:t>
      </w:r>
      <w:r>
        <w:rPr>
          <w:spacing w:val="20"/>
          <w:sz w:val="16"/>
          <w:vertAlign w:val="baseline"/>
        </w:rPr>
        <w:t> </w:t>
      </w:r>
      <w:r>
        <w:rPr>
          <w:sz w:val="16"/>
          <w:vertAlign w:val="baseline"/>
        </w:rPr>
        <w:t>t-value</w:t>
      </w:r>
      <w:r>
        <w:rPr>
          <w:rFonts w:ascii="Liberation Serif" w:hAnsi="Liberation Serif"/>
          <w:sz w:val="16"/>
          <w:vertAlign w:val="baseline"/>
        </w:rPr>
        <w:t>ɧ</w:t>
      </w:r>
      <w:r>
        <w:rPr>
          <w:sz w:val="16"/>
          <w:vertAlign w:val="baseline"/>
        </w:rPr>
        <w:t>3.29);</w:t>
      </w:r>
      <w:r>
        <w:rPr>
          <w:spacing w:val="27"/>
          <w:sz w:val="16"/>
          <w:vertAlign w:val="baseline"/>
        </w:rPr>
        <w:t> </w:t>
      </w:r>
      <w:r>
        <w:rPr>
          <w:sz w:val="16"/>
          <w:vertAlign w:val="superscript"/>
        </w:rPr>
        <w:t>**</w:t>
      </w:r>
      <w:r>
        <w:rPr>
          <w:sz w:val="16"/>
          <w:vertAlign w:val="baseline"/>
        </w:rPr>
        <w:t>P&lt;0.01(</w:t>
      </w:r>
      <w:r>
        <w:rPr>
          <w:spacing w:val="24"/>
          <w:sz w:val="16"/>
          <w:vertAlign w:val="baseline"/>
        </w:rPr>
        <w:t> </w:t>
      </w:r>
      <w:r>
        <w:rPr>
          <w:sz w:val="16"/>
          <w:vertAlign w:val="baseline"/>
        </w:rPr>
        <w:t>t-value</w:t>
      </w:r>
      <w:r>
        <w:rPr>
          <w:rFonts w:ascii="Liberation Serif" w:hAnsi="Liberation Serif"/>
          <w:sz w:val="16"/>
          <w:vertAlign w:val="baseline"/>
        </w:rPr>
        <w:t>ɧ</w:t>
      </w:r>
      <w:r>
        <w:rPr>
          <w:sz w:val="16"/>
          <w:vertAlign w:val="baseline"/>
        </w:rPr>
        <w:t>2.58);</w:t>
      </w:r>
      <w:r>
        <w:rPr>
          <w:spacing w:val="27"/>
          <w:sz w:val="16"/>
          <w:vertAlign w:val="baseline"/>
        </w:rPr>
        <w:t> </w:t>
      </w:r>
      <w:r>
        <w:rPr>
          <w:sz w:val="16"/>
          <w:vertAlign w:val="superscript"/>
        </w:rPr>
        <w:t>*</w:t>
      </w:r>
      <w:r>
        <w:rPr>
          <w:sz w:val="16"/>
          <w:vertAlign w:val="baseline"/>
        </w:rPr>
        <w:t>P&lt;0.05(t-</w:t>
      </w:r>
      <w:r>
        <w:rPr>
          <w:spacing w:val="-2"/>
          <w:sz w:val="16"/>
          <w:vertAlign w:val="baseline"/>
        </w:rPr>
        <w:t>value</w:t>
      </w:r>
      <w:r>
        <w:rPr>
          <w:rFonts w:ascii="Liberation Serif" w:hAnsi="Liberation Serif"/>
          <w:spacing w:val="-2"/>
          <w:sz w:val="16"/>
          <w:vertAlign w:val="baseline"/>
        </w:rPr>
        <w:t>ɧ</w:t>
      </w:r>
      <w:r>
        <w:rPr>
          <w:spacing w:val="-2"/>
          <w:sz w:val="16"/>
          <w:vertAlign w:val="baseline"/>
        </w:rPr>
        <w:t>1.96)</w:t>
      </w:r>
    </w:p>
    <w:p>
      <w:pPr>
        <w:pStyle w:val="BodyText"/>
        <w:spacing w:before="40"/>
      </w:pPr>
      <w:r>
        <w:rPr/>
        <w:drawing>
          <wp:anchor distT="0" distB="0" distL="0" distR="0" allowOverlap="1" layoutInCell="1" locked="0" behindDoc="1" simplePos="0" relativeHeight="487591936">
            <wp:simplePos x="0" y="0"/>
            <wp:positionH relativeFrom="page">
              <wp:posOffset>1459946</wp:posOffset>
            </wp:positionH>
            <wp:positionV relativeFrom="paragraph">
              <wp:posOffset>186895</wp:posOffset>
            </wp:positionV>
            <wp:extent cx="3857193" cy="101212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857193" cy="1012126"/>
                    </a:xfrm>
                    <a:prstGeom prst="rect">
                      <a:avLst/>
                    </a:prstGeom>
                  </pic:spPr>
                </pic:pic>
              </a:graphicData>
            </a:graphic>
          </wp:anchor>
        </w:drawing>
      </w:r>
    </w:p>
    <w:p>
      <w:pPr>
        <w:pStyle w:val="BodyText"/>
        <w:rPr>
          <w:sz w:val="16"/>
        </w:rPr>
      </w:pPr>
    </w:p>
    <w:p>
      <w:pPr>
        <w:pStyle w:val="BodyText"/>
        <w:spacing w:before="5"/>
        <w:rPr>
          <w:sz w:val="16"/>
        </w:rPr>
      </w:pPr>
    </w:p>
    <w:p>
      <w:pPr>
        <w:spacing w:before="0"/>
        <w:ind w:left="293" w:right="0" w:firstLine="0"/>
        <w:jc w:val="both"/>
        <w:rPr>
          <w:sz w:val="16"/>
        </w:rPr>
      </w:pPr>
      <w:r>
        <w:rPr>
          <w:sz w:val="16"/>
        </w:rPr>
        <w:t>Fig.</w:t>
      </w:r>
      <w:r>
        <w:rPr>
          <w:spacing w:val="-3"/>
          <w:sz w:val="16"/>
        </w:rPr>
        <w:t> </w:t>
      </w:r>
      <w:r>
        <w:rPr>
          <w:sz w:val="16"/>
        </w:rPr>
        <w:t>2.</w:t>
      </w:r>
      <w:r>
        <w:rPr>
          <w:spacing w:val="-2"/>
          <w:sz w:val="16"/>
        </w:rPr>
        <w:t> </w:t>
      </w:r>
      <w:r>
        <w:rPr>
          <w:sz w:val="16"/>
        </w:rPr>
        <w:t>Paths</w:t>
      </w:r>
      <w:r>
        <w:rPr>
          <w:spacing w:val="-5"/>
          <w:sz w:val="16"/>
        </w:rPr>
        <w:t> </w:t>
      </w:r>
      <w:r>
        <w:rPr>
          <w:sz w:val="16"/>
        </w:rPr>
        <w:t>analysis</w:t>
      </w:r>
      <w:r>
        <w:rPr>
          <w:spacing w:val="-4"/>
          <w:sz w:val="16"/>
        </w:rPr>
        <w:t> </w:t>
      </w:r>
      <w:r>
        <w:rPr>
          <w:sz w:val="16"/>
        </w:rPr>
        <w:t>of</w:t>
      </w:r>
      <w:r>
        <w:rPr>
          <w:spacing w:val="-4"/>
          <w:sz w:val="16"/>
        </w:rPr>
        <w:t> </w:t>
      </w:r>
      <w:r>
        <w:rPr>
          <w:sz w:val="16"/>
        </w:rPr>
        <w:t>the</w:t>
      </w:r>
      <w:r>
        <w:rPr>
          <w:spacing w:val="-5"/>
          <w:sz w:val="16"/>
        </w:rPr>
        <w:t> </w:t>
      </w:r>
      <w:r>
        <w:rPr>
          <w:sz w:val="16"/>
        </w:rPr>
        <w:t>structural</w:t>
      </w:r>
      <w:r>
        <w:rPr>
          <w:spacing w:val="-8"/>
          <w:sz w:val="16"/>
        </w:rPr>
        <w:t> </w:t>
      </w:r>
      <w:r>
        <w:rPr>
          <w:sz w:val="16"/>
        </w:rPr>
        <w:t>equation</w:t>
      </w:r>
      <w:r>
        <w:rPr>
          <w:spacing w:val="-5"/>
          <w:sz w:val="16"/>
        </w:rPr>
        <w:t> </w:t>
      </w:r>
      <w:r>
        <w:rPr>
          <w:spacing w:val="-2"/>
          <w:sz w:val="16"/>
        </w:rPr>
        <w:t>modeling</w:t>
      </w:r>
    </w:p>
    <w:p>
      <w:pPr>
        <w:pStyle w:val="BodyText"/>
        <w:spacing w:before="67"/>
        <w:rPr>
          <w:sz w:val="16"/>
        </w:rPr>
      </w:pPr>
    </w:p>
    <w:p>
      <w:pPr>
        <w:pStyle w:val="ListParagraph"/>
        <w:numPr>
          <w:ilvl w:val="0"/>
          <w:numId w:val="1"/>
        </w:numPr>
        <w:tabs>
          <w:tab w:pos="498" w:val="left" w:leader="none"/>
        </w:tabs>
        <w:spacing w:line="240" w:lineRule="auto" w:before="1" w:after="0"/>
        <w:ind w:left="498" w:right="0" w:hanging="205"/>
        <w:jc w:val="left"/>
        <w:rPr>
          <w:sz w:val="20"/>
        </w:rPr>
      </w:pPr>
      <w:r>
        <w:rPr>
          <w:w w:val="105"/>
          <w:sz w:val="20"/>
        </w:rPr>
        <w:t>Results</w:t>
      </w:r>
      <w:r>
        <w:rPr>
          <w:spacing w:val="4"/>
          <w:w w:val="105"/>
          <w:sz w:val="20"/>
        </w:rPr>
        <w:t> </w:t>
      </w:r>
      <w:r>
        <w:rPr>
          <w:w w:val="105"/>
          <w:sz w:val="20"/>
        </w:rPr>
        <w:t>and</w:t>
      </w:r>
      <w:r>
        <w:rPr>
          <w:spacing w:val="5"/>
          <w:w w:val="105"/>
          <w:sz w:val="20"/>
        </w:rPr>
        <w:t> </w:t>
      </w:r>
      <w:r>
        <w:rPr>
          <w:spacing w:val="-2"/>
          <w:w w:val="105"/>
          <w:sz w:val="20"/>
        </w:rPr>
        <w:t>discussion</w:t>
      </w:r>
    </w:p>
    <w:p>
      <w:pPr>
        <w:pStyle w:val="BodyText"/>
        <w:spacing w:before="20"/>
      </w:pPr>
    </w:p>
    <w:p>
      <w:pPr>
        <w:pStyle w:val="BodyText"/>
        <w:spacing w:line="249" w:lineRule="auto"/>
        <w:ind w:left="293" w:right="281" w:firstLine="237"/>
        <w:jc w:val="both"/>
      </w:pPr>
      <w:r>
        <w:rPr/>
        <w:t>As shown in Table 2, under the significant level of 0.001, perceived risk and perceived value are related to consumption attitude; while consumption attitude is also significantly related to hydrogen-electric motorcycle purchase intention. Under the significantly level of 0.05, perceived value has significant relation with hydrogen-electric motorcycle purchase intention. Also, the hypotheses of perceived risk having effect on hydrogen-electric motorcycle purchase intention. Therefore, four out of five hypotheses are supported. The explanations are as follow:</w:t>
      </w:r>
    </w:p>
    <w:p>
      <w:pPr>
        <w:pStyle w:val="BodyText"/>
        <w:spacing w:line="249" w:lineRule="auto" w:before="5"/>
        <w:ind w:left="293" w:right="281" w:firstLine="237"/>
        <w:jc w:val="both"/>
      </w:pPr>
      <w:r>
        <w:rPr/>
        <w:t>The influence of perceived risk on hydrogen-electric motorcycle purchase intention (H2) is not supported; however, its influence through the mediating consumption attitude (H1) is supported. This means that consumers' believe, cultivated in their daily lives, require right green consumption attitude to further develop into hydrogen-electric motorcycle purchase intention. Similar to what MaCarthy and Shrum (1994) have pointed out, perceived risk and purchase intention do not have direct relation; but it will become influential through attitude. Therefore, the abovementioned assumption is supported.</w:t>
      </w:r>
    </w:p>
    <w:p>
      <w:pPr>
        <w:pStyle w:val="BodyText"/>
        <w:spacing w:line="249" w:lineRule="auto" w:before="5"/>
        <w:ind w:left="293" w:right="282" w:firstLine="237"/>
        <w:jc w:val="both"/>
      </w:pPr>
      <w:r>
        <w:rPr/>
        <w:t>The</w:t>
      </w:r>
      <w:r>
        <w:rPr>
          <w:spacing w:val="-2"/>
        </w:rPr>
        <w:t> </w:t>
      </w:r>
      <w:r>
        <w:rPr/>
        <w:t>hypothesis</w:t>
      </w:r>
      <w:r>
        <w:rPr>
          <w:spacing w:val="-4"/>
        </w:rPr>
        <w:t> </w:t>
      </w:r>
      <w:r>
        <w:rPr/>
        <w:t>of</w:t>
      </w:r>
      <w:r>
        <w:rPr>
          <w:spacing w:val="-2"/>
        </w:rPr>
        <w:t> </w:t>
      </w:r>
      <w:r>
        <w:rPr/>
        <w:t>the</w:t>
      </w:r>
      <w:r>
        <w:rPr>
          <w:spacing w:val="-2"/>
        </w:rPr>
        <w:t> </w:t>
      </w:r>
      <w:r>
        <w:rPr/>
        <w:t>indirect effect</w:t>
      </w:r>
      <w:r>
        <w:rPr>
          <w:spacing w:val="-3"/>
        </w:rPr>
        <w:t> </w:t>
      </w:r>
      <w:r>
        <w:rPr/>
        <w:t>of</w:t>
      </w:r>
      <w:r>
        <w:rPr>
          <w:spacing w:val="-5"/>
        </w:rPr>
        <w:t> </w:t>
      </w:r>
      <w:r>
        <w:rPr/>
        <w:t>perceived</w:t>
      </w:r>
      <w:r>
        <w:rPr>
          <w:spacing w:val="-1"/>
        </w:rPr>
        <w:t> </w:t>
      </w:r>
      <w:r>
        <w:rPr/>
        <w:t>value</w:t>
      </w:r>
      <w:r>
        <w:rPr>
          <w:spacing w:val="-2"/>
        </w:rPr>
        <w:t> </w:t>
      </w:r>
      <w:r>
        <w:rPr/>
        <w:t>on</w:t>
      </w:r>
      <w:r>
        <w:rPr>
          <w:spacing w:val="-4"/>
        </w:rPr>
        <w:t> </w:t>
      </w:r>
      <w:r>
        <w:rPr/>
        <w:t>hydrogen-electric motorcycle</w:t>
      </w:r>
      <w:r>
        <w:rPr>
          <w:spacing w:val="-3"/>
        </w:rPr>
        <w:t> </w:t>
      </w:r>
      <w:r>
        <w:rPr/>
        <w:t>purchase</w:t>
      </w:r>
      <w:r>
        <w:rPr>
          <w:spacing w:val="-3"/>
        </w:rPr>
        <w:t> </w:t>
      </w:r>
      <w:r>
        <w:rPr/>
        <w:t>intention (H3) verifies MaCarthy and Shrum (1994) value-attitude-behavior theory. Therefore, perceived value is a determining factor of consumption attitude; the two have positive relationship. In regards to the direct influence of perceived value on hydrogen-electric motorcycle purchase intention (H4), Monroe and Krihnan (1985) states that consumers' perceived value influences hydrogen-electric motorcycle purchase intention.</w:t>
      </w:r>
      <w:r>
        <w:rPr>
          <w:spacing w:val="80"/>
        </w:rPr>
        <w:t> </w:t>
      </w:r>
      <w:r>
        <w:rPr/>
        <w:t>The researches reveal that perceived value has direct influence on purchase decision (Dodds et al., 1991; Agarwal and Teas, 2001). The result</w:t>
      </w:r>
      <w:r>
        <w:rPr>
          <w:spacing w:val="17"/>
        </w:rPr>
        <w:t> </w:t>
      </w:r>
      <w:r>
        <w:rPr/>
        <w:t>supports that perceived value</w:t>
      </w:r>
      <w:r>
        <w:rPr>
          <w:spacing w:val="18"/>
        </w:rPr>
        <w:t> </w:t>
      </w:r>
      <w:r>
        <w:rPr/>
        <w:t>is positively related</w:t>
      </w:r>
      <w:r>
        <w:rPr>
          <w:spacing w:val="18"/>
        </w:rPr>
        <w:t> </w:t>
      </w:r>
      <w:r>
        <w:rPr/>
        <w:t>to hydrogen-electric</w:t>
      </w:r>
    </w:p>
    <w:p>
      <w:pPr>
        <w:spacing w:after="0" w:line="249" w:lineRule="auto"/>
        <w:jc w:val="both"/>
        <w:sectPr>
          <w:pgSz w:w="10890" w:h="14860"/>
          <w:pgMar w:header="713" w:footer="0" w:top="900" w:bottom="280" w:left="520" w:right="940"/>
        </w:sectPr>
      </w:pPr>
    </w:p>
    <w:p>
      <w:pPr>
        <w:pStyle w:val="BodyText"/>
        <w:spacing w:before="102"/>
      </w:pPr>
    </w:p>
    <w:p>
      <w:pPr>
        <w:pStyle w:val="BodyText"/>
        <w:spacing w:line="249" w:lineRule="auto"/>
        <w:ind w:left="236"/>
      </w:pPr>
      <w:r>
        <w:rPr/>
        <w:t>motorcycle</w:t>
      </w:r>
      <w:r>
        <w:rPr>
          <w:spacing w:val="27"/>
        </w:rPr>
        <w:t> </w:t>
      </w:r>
      <w:r>
        <w:rPr/>
        <w:t>purchase</w:t>
      </w:r>
      <w:r>
        <w:rPr>
          <w:spacing w:val="27"/>
        </w:rPr>
        <w:t> </w:t>
      </w:r>
      <w:r>
        <w:rPr/>
        <w:t>intention;</w:t>
      </w:r>
      <w:r>
        <w:rPr>
          <w:spacing w:val="27"/>
        </w:rPr>
        <w:t> </w:t>
      </w:r>
      <w:r>
        <w:rPr/>
        <w:t>furthermore,</w:t>
      </w:r>
      <w:r>
        <w:rPr>
          <w:spacing w:val="27"/>
        </w:rPr>
        <w:t> </w:t>
      </w:r>
      <w:r>
        <w:rPr/>
        <w:t>the</w:t>
      </w:r>
      <w:r>
        <w:rPr>
          <w:spacing w:val="27"/>
        </w:rPr>
        <w:t> </w:t>
      </w:r>
      <w:r>
        <w:rPr/>
        <w:t>hypothesis</w:t>
      </w:r>
      <w:r>
        <w:rPr>
          <w:spacing w:val="26"/>
        </w:rPr>
        <w:t> </w:t>
      </w:r>
      <w:r>
        <w:rPr/>
        <w:t>of</w:t>
      </w:r>
      <w:r>
        <w:rPr>
          <w:spacing w:val="25"/>
        </w:rPr>
        <w:t> </w:t>
      </w:r>
      <w:r>
        <w:rPr/>
        <w:t>consumption</w:t>
      </w:r>
      <w:r>
        <w:rPr>
          <w:spacing w:val="26"/>
        </w:rPr>
        <w:t> </w:t>
      </w:r>
      <w:r>
        <w:rPr/>
        <w:t>attitude</w:t>
      </w:r>
      <w:r>
        <w:rPr>
          <w:spacing w:val="28"/>
        </w:rPr>
        <w:t> </w:t>
      </w:r>
      <w:r>
        <w:rPr/>
        <w:t>having</w:t>
      </w:r>
      <w:r>
        <w:rPr>
          <w:spacing w:val="26"/>
        </w:rPr>
        <w:t> </w:t>
      </w:r>
      <w:r>
        <w:rPr/>
        <w:t>positive</w:t>
      </w:r>
      <w:r>
        <w:rPr>
          <w:spacing w:val="28"/>
        </w:rPr>
        <w:t> </w:t>
      </w:r>
      <w:r>
        <w:rPr/>
        <w:t>causal relationship with hydrogen-electric motorcycle purchase intention is also supported.</w:t>
      </w:r>
    </w:p>
    <w:p>
      <w:pPr>
        <w:pStyle w:val="BodyText"/>
        <w:spacing w:before="12"/>
      </w:pPr>
    </w:p>
    <w:p>
      <w:pPr>
        <w:pStyle w:val="ListParagraph"/>
        <w:numPr>
          <w:ilvl w:val="0"/>
          <w:numId w:val="1"/>
        </w:numPr>
        <w:tabs>
          <w:tab w:pos="441" w:val="left" w:leader="none"/>
        </w:tabs>
        <w:spacing w:line="240" w:lineRule="auto" w:before="0" w:after="0"/>
        <w:ind w:left="441" w:right="0" w:hanging="205"/>
        <w:jc w:val="both"/>
        <w:rPr>
          <w:sz w:val="20"/>
        </w:rPr>
      </w:pPr>
      <w:r>
        <w:rPr>
          <w:w w:val="105"/>
          <w:sz w:val="20"/>
        </w:rPr>
        <w:t>Management</w:t>
      </w:r>
      <w:r>
        <w:rPr>
          <w:spacing w:val="11"/>
          <w:w w:val="105"/>
          <w:sz w:val="20"/>
        </w:rPr>
        <w:t> </w:t>
      </w:r>
      <w:r>
        <w:rPr>
          <w:spacing w:val="-2"/>
          <w:w w:val="105"/>
          <w:sz w:val="20"/>
        </w:rPr>
        <w:t>Implication</w:t>
      </w:r>
    </w:p>
    <w:p>
      <w:pPr>
        <w:pStyle w:val="BodyText"/>
        <w:spacing w:before="13"/>
      </w:pPr>
    </w:p>
    <w:p>
      <w:pPr>
        <w:pStyle w:val="BodyText"/>
        <w:spacing w:line="208" w:lineRule="auto"/>
        <w:ind w:left="236" w:right="339" w:firstLine="237"/>
        <w:jc w:val="both"/>
      </w:pPr>
      <w:r>
        <w:rPr/>
        <w:t>In the trend of green consumption and rising waves of the global environmental awareness, government should educate the consumers by broadcasting messages through news and promotion campaigns to communicate its policies. With appropriate plans and policies, a communication mechanism between the government, businesses and consumers in facilitating consumers' trust and understanding. On the other hand, clear rules can be enforced to protect green products, which often have less competiveness with higher prices. After all, consumers are more likely</w:t>
      </w:r>
      <w:r>
        <w:rPr>
          <w:spacing w:val="-1"/>
        </w:rPr>
        <w:t> </w:t>
      </w:r>
      <w:r>
        <w:rPr/>
        <w:t>to purchase green</w:t>
      </w:r>
      <w:r>
        <w:rPr>
          <w:spacing w:val="-1"/>
        </w:rPr>
        <w:t> </w:t>
      </w:r>
      <w:r>
        <w:rPr/>
        <w:t>products with motivation</w:t>
      </w:r>
      <w:r>
        <w:rPr>
          <w:spacing w:val="-1"/>
        </w:rPr>
        <w:t> </w:t>
      </w:r>
      <w:r>
        <w:rPr/>
        <w:t>of</w:t>
      </w:r>
      <w:r>
        <w:rPr>
          <w:spacing w:val="-1"/>
        </w:rPr>
        <w:t> </w:t>
      </w:r>
      <w:r>
        <w:rPr/>
        <w:t>competitive price. As time progresses, the supply of recycled materials will increase, therefore vendors will gain more bargain power in negotiation with the suppliers. Green product price is expected to be more competitive with refined cost structure and economic scale. Hence, only if government, businesses and consumers work together, the</w:t>
      </w:r>
      <w:r>
        <w:rPr>
          <w:spacing w:val="40"/>
        </w:rPr>
        <w:t> </w:t>
      </w:r>
      <w:r>
        <w:rPr/>
        <w:t>society may progress toward the sustainable development.</w:t>
      </w:r>
    </w:p>
    <w:p>
      <w:pPr>
        <w:pStyle w:val="BodyText"/>
      </w:pPr>
    </w:p>
    <w:p>
      <w:pPr>
        <w:pStyle w:val="BodyText"/>
        <w:spacing w:before="8"/>
      </w:pPr>
    </w:p>
    <w:p>
      <w:pPr>
        <w:pStyle w:val="BodyText"/>
        <w:spacing w:before="1"/>
        <w:ind w:left="236"/>
      </w:pPr>
      <w:r>
        <w:rPr>
          <w:spacing w:val="-2"/>
          <w:w w:val="105"/>
        </w:rPr>
        <w:t>Acknowledgements</w:t>
      </w:r>
    </w:p>
    <w:p>
      <w:pPr>
        <w:pStyle w:val="BodyText"/>
        <w:spacing w:before="17"/>
      </w:pPr>
    </w:p>
    <w:p>
      <w:pPr>
        <w:pStyle w:val="BodyText"/>
        <w:spacing w:line="249" w:lineRule="auto"/>
        <w:ind w:left="236" w:right="342" w:firstLine="439"/>
      </w:pPr>
      <w:r>
        <w:rPr/>
        <w:t>Funding</w:t>
      </w:r>
      <w:r>
        <w:rPr>
          <w:spacing w:val="24"/>
        </w:rPr>
        <w:t> </w:t>
      </w:r>
      <w:r>
        <w:rPr/>
        <w:t>for</w:t>
      </w:r>
      <w:r>
        <w:rPr>
          <w:spacing w:val="26"/>
        </w:rPr>
        <w:t> </w:t>
      </w:r>
      <w:r>
        <w:rPr/>
        <w:t>this</w:t>
      </w:r>
      <w:r>
        <w:rPr>
          <w:spacing w:val="25"/>
        </w:rPr>
        <w:t> </w:t>
      </w:r>
      <w:r>
        <w:rPr/>
        <w:t>research</w:t>
      </w:r>
      <w:r>
        <w:rPr>
          <w:spacing w:val="24"/>
        </w:rPr>
        <w:t> </w:t>
      </w:r>
      <w:r>
        <w:rPr/>
        <w:t>was</w:t>
      </w:r>
      <w:r>
        <w:rPr>
          <w:spacing w:val="25"/>
        </w:rPr>
        <w:t> </w:t>
      </w:r>
      <w:r>
        <w:rPr/>
        <w:t>provided</w:t>
      </w:r>
      <w:r>
        <w:rPr>
          <w:spacing w:val="24"/>
        </w:rPr>
        <w:t> </w:t>
      </w:r>
      <w:r>
        <w:rPr/>
        <w:t>by the</w:t>
      </w:r>
      <w:r>
        <w:rPr>
          <w:spacing w:val="26"/>
        </w:rPr>
        <w:t> </w:t>
      </w:r>
      <w:r>
        <w:rPr/>
        <w:t>R.O.C.</w:t>
      </w:r>
      <w:r>
        <w:rPr>
          <w:spacing w:val="26"/>
        </w:rPr>
        <w:t> </w:t>
      </w:r>
      <w:r>
        <w:rPr/>
        <w:t>Government's</w:t>
      </w:r>
      <w:r>
        <w:rPr>
          <w:spacing w:val="25"/>
        </w:rPr>
        <w:t> </w:t>
      </w:r>
      <w:r>
        <w:rPr/>
        <w:t>National</w:t>
      </w:r>
      <w:r>
        <w:rPr>
          <w:spacing w:val="25"/>
        </w:rPr>
        <w:t> </w:t>
      </w:r>
      <w:r>
        <w:rPr/>
        <w:t>Science</w:t>
      </w:r>
      <w:r>
        <w:rPr>
          <w:spacing w:val="25"/>
        </w:rPr>
        <w:t> </w:t>
      </w:r>
      <w:r>
        <w:rPr/>
        <w:t>Council</w:t>
      </w:r>
      <w:r>
        <w:rPr>
          <w:spacing w:val="25"/>
        </w:rPr>
        <w:t> </w:t>
      </w:r>
      <w:r>
        <w:rPr/>
        <w:t>(NSC </w:t>
      </w:r>
      <w:r>
        <w:rPr>
          <w:spacing w:val="-2"/>
        </w:rPr>
        <w:t>101-3113-P-006-019).</w:t>
      </w:r>
    </w:p>
    <w:p>
      <w:pPr>
        <w:pStyle w:val="BodyText"/>
      </w:pPr>
    </w:p>
    <w:p>
      <w:pPr>
        <w:pStyle w:val="BodyText"/>
        <w:spacing w:before="7"/>
      </w:pPr>
    </w:p>
    <w:p>
      <w:pPr>
        <w:pStyle w:val="BodyText"/>
        <w:spacing w:before="1"/>
        <w:ind w:left="236"/>
      </w:pPr>
      <w:r>
        <w:rPr>
          <w:spacing w:val="-2"/>
          <w:w w:val="105"/>
        </w:rPr>
        <w:t>References</w:t>
      </w:r>
    </w:p>
    <w:p>
      <w:pPr>
        <w:pStyle w:val="ListParagraph"/>
        <w:numPr>
          <w:ilvl w:val="0"/>
          <w:numId w:val="3"/>
        </w:numPr>
        <w:tabs>
          <w:tab w:pos="526" w:val="left" w:leader="none"/>
        </w:tabs>
        <w:spacing w:line="240" w:lineRule="auto" w:before="192" w:after="0"/>
        <w:ind w:left="236" w:right="338" w:firstLine="0"/>
        <w:jc w:val="both"/>
        <w:rPr>
          <w:sz w:val="20"/>
        </w:rPr>
      </w:pPr>
      <w:r>
        <w:rPr>
          <w:sz w:val="20"/>
        </w:rPr>
        <w:t>Agarwal S, Teas RK. Perceived value: mediating role of perceived risk. </w:t>
      </w:r>
      <w:r>
        <w:rPr>
          <w:color w:val="212121"/>
          <w:sz w:val="20"/>
        </w:rPr>
        <w:t>J Market Theor Pract </w:t>
      </w:r>
      <w:r>
        <w:rPr>
          <w:sz w:val="20"/>
        </w:rPr>
        <w:t>2001; 9(4): </w:t>
      </w:r>
      <w:r>
        <w:rPr>
          <w:spacing w:val="-2"/>
          <w:sz w:val="20"/>
        </w:rPr>
        <w:t>1-14.</w:t>
      </w:r>
    </w:p>
    <w:p>
      <w:pPr>
        <w:pStyle w:val="ListParagraph"/>
        <w:numPr>
          <w:ilvl w:val="0"/>
          <w:numId w:val="3"/>
        </w:numPr>
        <w:tabs>
          <w:tab w:pos="530" w:val="left" w:leader="none"/>
        </w:tabs>
        <w:spacing w:line="240" w:lineRule="auto" w:before="1" w:after="0"/>
        <w:ind w:left="236" w:right="338" w:firstLine="0"/>
        <w:jc w:val="both"/>
        <w:rPr>
          <w:sz w:val="20"/>
        </w:rPr>
      </w:pPr>
      <w:r>
        <w:rPr>
          <w:sz w:val="20"/>
        </w:rPr>
        <w:t>Chen S. Understanding normative influence on green consumption behavior: the moderating role of self- construal and self-regulatory resources. Master's Thesis, Concordia University Montreal, Quebec, Canada; </w:t>
      </w:r>
      <w:r>
        <w:rPr>
          <w:spacing w:val="-2"/>
          <w:sz w:val="20"/>
        </w:rPr>
        <w:t>2012.</w:t>
      </w:r>
    </w:p>
    <w:p>
      <w:pPr>
        <w:pStyle w:val="ListParagraph"/>
        <w:numPr>
          <w:ilvl w:val="0"/>
          <w:numId w:val="3"/>
        </w:numPr>
        <w:tabs>
          <w:tab w:pos="519" w:val="left" w:leader="none"/>
        </w:tabs>
        <w:spacing w:line="229" w:lineRule="exact" w:before="0" w:after="0"/>
        <w:ind w:left="519" w:right="0" w:hanging="283"/>
        <w:jc w:val="both"/>
        <w:rPr>
          <w:sz w:val="20"/>
        </w:rPr>
      </w:pPr>
      <w:r>
        <w:rPr>
          <w:sz w:val="20"/>
        </w:rPr>
        <w:t>Chiou</w:t>
      </w:r>
      <w:r>
        <w:rPr>
          <w:spacing w:val="-7"/>
          <w:sz w:val="20"/>
        </w:rPr>
        <w:t> </w:t>
      </w:r>
      <w:r>
        <w:rPr>
          <w:sz w:val="20"/>
        </w:rPr>
        <w:t>H.</w:t>
      </w:r>
      <w:r>
        <w:rPr>
          <w:spacing w:val="-5"/>
          <w:sz w:val="20"/>
        </w:rPr>
        <w:t> </w:t>
      </w:r>
      <w:r>
        <w:rPr>
          <w:sz w:val="20"/>
        </w:rPr>
        <w:t>Structural</w:t>
      </w:r>
      <w:r>
        <w:rPr>
          <w:spacing w:val="-5"/>
          <w:sz w:val="20"/>
        </w:rPr>
        <w:t> </w:t>
      </w:r>
      <w:r>
        <w:rPr>
          <w:sz w:val="20"/>
        </w:rPr>
        <w:t>Equation</w:t>
      </w:r>
      <w:r>
        <w:rPr>
          <w:spacing w:val="-6"/>
          <w:sz w:val="20"/>
        </w:rPr>
        <w:t> </w:t>
      </w:r>
      <w:r>
        <w:rPr>
          <w:sz w:val="20"/>
        </w:rPr>
        <w:t>Modeling.</w:t>
      </w:r>
      <w:r>
        <w:rPr>
          <w:spacing w:val="-5"/>
          <w:sz w:val="20"/>
        </w:rPr>
        <w:t> </w:t>
      </w:r>
      <w:r>
        <w:rPr>
          <w:sz w:val="20"/>
        </w:rPr>
        <w:t>2</w:t>
      </w:r>
      <w:r>
        <w:rPr>
          <w:sz w:val="20"/>
          <w:vertAlign w:val="superscript"/>
        </w:rPr>
        <w:t>nd</w:t>
      </w:r>
      <w:r>
        <w:rPr>
          <w:spacing w:val="-5"/>
          <w:sz w:val="20"/>
          <w:vertAlign w:val="baseline"/>
        </w:rPr>
        <w:t> </w:t>
      </w:r>
      <w:r>
        <w:rPr>
          <w:sz w:val="20"/>
          <w:vertAlign w:val="baseline"/>
        </w:rPr>
        <w:t>ed.</w:t>
      </w:r>
      <w:r>
        <w:rPr>
          <w:spacing w:val="-4"/>
          <w:sz w:val="20"/>
          <w:vertAlign w:val="baseline"/>
        </w:rPr>
        <w:t> </w:t>
      </w:r>
      <w:r>
        <w:rPr>
          <w:sz w:val="20"/>
          <w:vertAlign w:val="baseline"/>
        </w:rPr>
        <w:t>Taipei:</w:t>
      </w:r>
      <w:r>
        <w:rPr>
          <w:spacing w:val="-8"/>
          <w:sz w:val="20"/>
          <w:vertAlign w:val="baseline"/>
        </w:rPr>
        <w:t> </w:t>
      </w:r>
      <w:r>
        <w:rPr>
          <w:sz w:val="20"/>
          <w:vertAlign w:val="baseline"/>
        </w:rPr>
        <w:t>Yeh</w:t>
      </w:r>
      <w:r>
        <w:rPr>
          <w:spacing w:val="-6"/>
          <w:sz w:val="20"/>
          <w:vertAlign w:val="baseline"/>
        </w:rPr>
        <w:t> </w:t>
      </w:r>
      <w:r>
        <w:rPr>
          <w:sz w:val="20"/>
          <w:vertAlign w:val="baseline"/>
        </w:rPr>
        <w:t>Yeh</w:t>
      </w:r>
      <w:r>
        <w:rPr>
          <w:spacing w:val="-6"/>
          <w:sz w:val="20"/>
          <w:vertAlign w:val="baseline"/>
        </w:rPr>
        <w:t> </w:t>
      </w:r>
      <w:r>
        <w:rPr>
          <w:sz w:val="20"/>
          <w:vertAlign w:val="baseline"/>
        </w:rPr>
        <w:t>Book</w:t>
      </w:r>
      <w:r>
        <w:rPr>
          <w:spacing w:val="-6"/>
          <w:sz w:val="20"/>
          <w:vertAlign w:val="baseline"/>
        </w:rPr>
        <w:t> </w:t>
      </w:r>
      <w:r>
        <w:rPr>
          <w:sz w:val="20"/>
          <w:vertAlign w:val="baseline"/>
        </w:rPr>
        <w:t>Gallery;</w:t>
      </w:r>
      <w:r>
        <w:rPr>
          <w:spacing w:val="-6"/>
          <w:sz w:val="20"/>
          <w:vertAlign w:val="baseline"/>
        </w:rPr>
        <w:t> </w:t>
      </w:r>
      <w:r>
        <w:rPr>
          <w:spacing w:val="-2"/>
          <w:sz w:val="20"/>
          <w:vertAlign w:val="baseline"/>
        </w:rPr>
        <w:t>2011.</w:t>
      </w:r>
    </w:p>
    <w:p>
      <w:pPr>
        <w:pStyle w:val="ListParagraph"/>
        <w:numPr>
          <w:ilvl w:val="0"/>
          <w:numId w:val="3"/>
        </w:numPr>
        <w:tabs>
          <w:tab w:pos="556" w:val="left" w:leader="none"/>
        </w:tabs>
        <w:spacing w:line="240" w:lineRule="auto" w:before="0" w:after="0"/>
        <w:ind w:left="236" w:right="342" w:firstLine="0"/>
        <w:jc w:val="both"/>
        <w:rPr>
          <w:sz w:val="20"/>
        </w:rPr>
      </w:pPr>
      <w:r>
        <w:rPr>
          <w:sz w:val="20"/>
        </w:rPr>
        <w:t>Dodds WB, Monroe KB, Grewal D. Effect of price, brand and store information on buyers' product evaluations. J Market Res 1991; 28 (3): 85-99.</w:t>
      </w:r>
    </w:p>
    <w:p>
      <w:pPr>
        <w:pStyle w:val="ListParagraph"/>
        <w:numPr>
          <w:ilvl w:val="0"/>
          <w:numId w:val="3"/>
        </w:numPr>
        <w:tabs>
          <w:tab w:pos="519" w:val="left" w:leader="none"/>
        </w:tabs>
        <w:spacing w:line="240" w:lineRule="auto" w:before="1" w:after="0"/>
        <w:ind w:left="519" w:right="0" w:hanging="283"/>
        <w:jc w:val="both"/>
        <w:rPr>
          <w:sz w:val="20"/>
        </w:rPr>
      </w:pPr>
      <w:r>
        <w:rPr>
          <w:sz w:val="20"/>
        </w:rPr>
        <w:t>Howard</w:t>
      </w:r>
      <w:r>
        <w:rPr>
          <w:spacing w:val="-7"/>
          <w:sz w:val="20"/>
        </w:rPr>
        <w:t> </w:t>
      </w:r>
      <w:r>
        <w:rPr>
          <w:sz w:val="20"/>
        </w:rPr>
        <w:t>J.</w:t>
      </w:r>
      <w:r>
        <w:rPr>
          <w:spacing w:val="-6"/>
          <w:sz w:val="20"/>
        </w:rPr>
        <w:t> </w:t>
      </w:r>
      <w:r>
        <w:rPr>
          <w:sz w:val="20"/>
        </w:rPr>
        <w:t>Consumer</w:t>
      </w:r>
      <w:r>
        <w:rPr>
          <w:spacing w:val="-6"/>
          <w:sz w:val="20"/>
        </w:rPr>
        <w:t> </w:t>
      </w:r>
      <w:r>
        <w:rPr>
          <w:sz w:val="20"/>
        </w:rPr>
        <w:t>behavior</w:t>
      </w:r>
      <w:r>
        <w:rPr>
          <w:spacing w:val="-6"/>
          <w:sz w:val="20"/>
        </w:rPr>
        <w:t> </w:t>
      </w:r>
      <w:r>
        <w:rPr>
          <w:sz w:val="20"/>
        </w:rPr>
        <w:t>in</w:t>
      </w:r>
      <w:r>
        <w:rPr>
          <w:spacing w:val="-7"/>
          <w:sz w:val="20"/>
        </w:rPr>
        <w:t> </w:t>
      </w:r>
      <w:r>
        <w:rPr>
          <w:sz w:val="20"/>
        </w:rPr>
        <w:t>marketing</w:t>
      </w:r>
      <w:r>
        <w:rPr>
          <w:spacing w:val="-8"/>
          <w:sz w:val="20"/>
        </w:rPr>
        <w:t> </w:t>
      </w:r>
      <w:r>
        <w:rPr>
          <w:sz w:val="20"/>
        </w:rPr>
        <w:t>strategy.</w:t>
      </w:r>
      <w:r>
        <w:rPr>
          <w:spacing w:val="-6"/>
          <w:sz w:val="20"/>
        </w:rPr>
        <w:t> </w:t>
      </w:r>
      <w:r>
        <w:rPr>
          <w:sz w:val="20"/>
        </w:rPr>
        <w:t>New</w:t>
      </w:r>
      <w:r>
        <w:rPr>
          <w:spacing w:val="-9"/>
          <w:sz w:val="20"/>
        </w:rPr>
        <w:t> </w:t>
      </w:r>
      <w:r>
        <w:rPr>
          <w:sz w:val="20"/>
        </w:rPr>
        <w:t>Jersey:</w:t>
      </w:r>
      <w:r>
        <w:rPr>
          <w:spacing w:val="-7"/>
          <w:sz w:val="20"/>
        </w:rPr>
        <w:t> </w:t>
      </w:r>
      <w:r>
        <w:rPr>
          <w:sz w:val="20"/>
        </w:rPr>
        <w:t>Prentice-Hall</w:t>
      </w:r>
      <w:r>
        <w:rPr>
          <w:spacing w:val="-7"/>
          <w:sz w:val="20"/>
        </w:rPr>
        <w:t> </w:t>
      </w:r>
      <w:r>
        <w:rPr>
          <w:sz w:val="20"/>
        </w:rPr>
        <w:t>Inc;</w:t>
      </w:r>
      <w:r>
        <w:rPr>
          <w:spacing w:val="-7"/>
          <w:sz w:val="20"/>
        </w:rPr>
        <w:t> </w:t>
      </w:r>
      <w:r>
        <w:rPr>
          <w:spacing w:val="-2"/>
          <w:sz w:val="20"/>
        </w:rPr>
        <w:t>1989.</w:t>
      </w:r>
    </w:p>
    <w:p>
      <w:pPr>
        <w:pStyle w:val="ListParagraph"/>
        <w:numPr>
          <w:ilvl w:val="0"/>
          <w:numId w:val="3"/>
        </w:numPr>
        <w:tabs>
          <w:tab w:pos="526" w:val="left" w:leader="none"/>
        </w:tabs>
        <w:spacing w:line="240" w:lineRule="auto" w:before="0" w:after="0"/>
        <w:ind w:left="236" w:right="344" w:firstLine="0"/>
        <w:jc w:val="both"/>
        <w:rPr>
          <w:sz w:val="20"/>
        </w:rPr>
      </w:pPr>
      <w:r>
        <w:rPr>
          <w:sz w:val="20"/>
        </w:rPr>
        <w:t>Kim</w:t>
      </w:r>
      <w:r>
        <w:rPr>
          <w:spacing w:val="-1"/>
          <w:sz w:val="20"/>
        </w:rPr>
        <w:t> </w:t>
      </w:r>
      <w:r>
        <w:rPr>
          <w:sz w:val="20"/>
        </w:rPr>
        <w:t>DJ, Ferrin DL, Raghav RH. A trust-based consumer decision making model in electronic commerce: The role of trust, perceived risk, and their antecedents. Decis Support Syst 2008; 44(2): 544-564.</w:t>
      </w:r>
    </w:p>
    <w:p>
      <w:pPr>
        <w:pStyle w:val="ListParagraph"/>
        <w:numPr>
          <w:ilvl w:val="0"/>
          <w:numId w:val="3"/>
        </w:numPr>
        <w:tabs>
          <w:tab w:pos="552" w:val="left" w:leader="none"/>
        </w:tabs>
        <w:spacing w:line="240" w:lineRule="auto" w:before="0" w:after="0"/>
        <w:ind w:left="236" w:right="346" w:firstLine="0"/>
        <w:jc w:val="both"/>
        <w:rPr>
          <w:sz w:val="20"/>
        </w:rPr>
      </w:pPr>
      <w:r>
        <w:rPr>
          <w:sz w:val="20"/>
        </w:rPr>
        <w:t>Lin PC, Huang YH. The influence factors on choice behavior regarding green products based on the theory of consumption values. J Cleaner Prod 2012; 22(1): 11-18.</w:t>
      </w:r>
    </w:p>
    <w:p>
      <w:pPr>
        <w:pStyle w:val="ListParagraph"/>
        <w:numPr>
          <w:ilvl w:val="0"/>
          <w:numId w:val="3"/>
        </w:numPr>
        <w:tabs>
          <w:tab w:pos="532" w:val="left" w:leader="none"/>
        </w:tabs>
        <w:spacing w:line="240" w:lineRule="auto" w:before="0" w:after="0"/>
        <w:ind w:left="236" w:right="343" w:firstLine="0"/>
        <w:jc w:val="both"/>
        <w:rPr>
          <w:sz w:val="20"/>
        </w:rPr>
      </w:pPr>
      <w:r>
        <w:rPr>
          <w:sz w:val="20"/>
        </w:rPr>
        <w:t>MaCarthy JA, Shrum LJ. The recycling of solid wastes: personal values, value orientations, and attitudes about recycling as antecedents of recycling behavior. </w:t>
      </w:r>
      <w:r>
        <w:rPr>
          <w:color w:val="212121"/>
          <w:sz w:val="20"/>
        </w:rPr>
        <w:t>J Bus Res </w:t>
      </w:r>
      <w:r>
        <w:rPr>
          <w:sz w:val="20"/>
        </w:rPr>
        <w:t>1994; 30: 53-62.</w:t>
      </w:r>
    </w:p>
    <w:p>
      <w:pPr>
        <w:pStyle w:val="ListParagraph"/>
        <w:numPr>
          <w:ilvl w:val="0"/>
          <w:numId w:val="3"/>
        </w:numPr>
        <w:tabs>
          <w:tab w:pos="522" w:val="left" w:leader="none"/>
        </w:tabs>
        <w:spacing w:line="240" w:lineRule="auto" w:before="1" w:after="0"/>
        <w:ind w:left="236" w:right="338" w:firstLine="0"/>
        <w:jc w:val="both"/>
        <w:rPr>
          <w:sz w:val="20"/>
        </w:rPr>
      </w:pPr>
      <w:r>
        <w:rPr>
          <w:sz w:val="20"/>
        </w:rPr>
        <w:t>Monroe KB, Krishnan</w:t>
      </w:r>
      <w:r>
        <w:rPr>
          <w:spacing w:val="-2"/>
          <w:sz w:val="20"/>
        </w:rPr>
        <w:t> </w:t>
      </w:r>
      <w:r>
        <w:rPr>
          <w:sz w:val="20"/>
        </w:rPr>
        <w:t>R. The effect</w:t>
      </w:r>
      <w:r>
        <w:rPr>
          <w:spacing w:val="-1"/>
          <w:sz w:val="20"/>
        </w:rPr>
        <w:t> </w:t>
      </w:r>
      <w:r>
        <w:rPr>
          <w:sz w:val="20"/>
        </w:rPr>
        <w:t>of</w:t>
      </w:r>
      <w:r>
        <w:rPr>
          <w:spacing w:val="-2"/>
          <w:sz w:val="20"/>
        </w:rPr>
        <w:t> </w:t>
      </w:r>
      <w:r>
        <w:rPr>
          <w:sz w:val="20"/>
        </w:rPr>
        <w:t>price</w:t>
      </w:r>
      <w:r>
        <w:rPr>
          <w:spacing w:val="-3"/>
          <w:sz w:val="20"/>
        </w:rPr>
        <w:t> </w:t>
      </w:r>
      <w:r>
        <w:rPr>
          <w:sz w:val="20"/>
        </w:rPr>
        <w:t>on</w:t>
      </w:r>
      <w:r>
        <w:rPr>
          <w:spacing w:val="-2"/>
          <w:sz w:val="20"/>
        </w:rPr>
        <w:t> </w:t>
      </w:r>
      <w:r>
        <w:rPr>
          <w:sz w:val="20"/>
        </w:rPr>
        <w:t>subjective product evaluations. In</w:t>
      </w:r>
      <w:r>
        <w:rPr>
          <w:spacing w:val="-2"/>
          <w:sz w:val="20"/>
        </w:rPr>
        <w:t> </w:t>
      </w:r>
      <w:r>
        <w:rPr>
          <w:sz w:val="20"/>
        </w:rPr>
        <w:t>Perceived Quality:</w:t>
      </w:r>
      <w:r>
        <w:rPr>
          <w:spacing w:val="-1"/>
          <w:sz w:val="20"/>
        </w:rPr>
        <w:t> </w:t>
      </w:r>
      <w:r>
        <w:rPr>
          <w:sz w:val="20"/>
        </w:rPr>
        <w:t>How Consumers View Stores and Merchandise. Jacob Jacoby and Jerry C. Olson, eds. Lexington, MA: Lexington Books; 1985, 209-232.</w:t>
      </w:r>
    </w:p>
    <w:p>
      <w:pPr>
        <w:pStyle w:val="ListParagraph"/>
        <w:numPr>
          <w:ilvl w:val="0"/>
          <w:numId w:val="3"/>
        </w:numPr>
        <w:tabs>
          <w:tab w:pos="685" w:val="left" w:leader="none"/>
        </w:tabs>
        <w:spacing w:line="240" w:lineRule="auto" w:before="0" w:after="0"/>
        <w:ind w:left="236" w:right="341" w:firstLine="0"/>
        <w:jc w:val="both"/>
        <w:rPr>
          <w:sz w:val="20"/>
        </w:rPr>
      </w:pPr>
      <w:r>
        <w:rPr>
          <w:sz w:val="20"/>
        </w:rPr>
        <w:t>MOTC, 2012. Statistical data from the Ministry of Transportation and Communications R.O.C.: </w:t>
      </w:r>
      <w:hyperlink r:id="rId16">
        <w:r>
          <w:rPr>
            <w:spacing w:val="-2"/>
            <w:sz w:val="20"/>
          </w:rPr>
          <w:t>http://www.motc.gov.tw/.</w:t>
        </w:r>
      </w:hyperlink>
    </w:p>
    <w:p>
      <w:pPr>
        <w:pStyle w:val="ListParagraph"/>
        <w:numPr>
          <w:ilvl w:val="0"/>
          <w:numId w:val="3"/>
        </w:numPr>
        <w:tabs>
          <w:tab w:pos="647" w:val="left" w:leader="none"/>
        </w:tabs>
        <w:spacing w:line="229" w:lineRule="exact" w:before="0" w:after="0"/>
        <w:ind w:left="647" w:right="0" w:hanging="411"/>
        <w:jc w:val="both"/>
        <w:rPr>
          <w:sz w:val="20"/>
        </w:rPr>
      </w:pPr>
      <w:r>
        <w:rPr>
          <w:sz w:val="20"/>
        </w:rPr>
        <w:t>Peng</w:t>
      </w:r>
      <w:r>
        <w:rPr>
          <w:spacing w:val="22"/>
          <w:sz w:val="20"/>
        </w:rPr>
        <w:t> </w:t>
      </w:r>
      <w:r>
        <w:rPr>
          <w:sz w:val="20"/>
        </w:rPr>
        <w:t>H.</w:t>
      </w:r>
      <w:r>
        <w:rPr>
          <w:spacing w:val="23"/>
          <w:sz w:val="20"/>
        </w:rPr>
        <w:t> </w:t>
      </w:r>
      <w:r>
        <w:rPr>
          <w:sz w:val="20"/>
        </w:rPr>
        <w:t>2011.</w:t>
      </w:r>
      <w:r>
        <w:rPr>
          <w:spacing w:val="25"/>
          <w:sz w:val="20"/>
        </w:rPr>
        <w:t> </w:t>
      </w:r>
      <w:r>
        <w:rPr>
          <w:sz w:val="20"/>
        </w:rPr>
        <w:t>Construction</w:t>
      </w:r>
      <w:r>
        <w:rPr>
          <w:spacing w:val="22"/>
          <w:sz w:val="20"/>
        </w:rPr>
        <w:t> </w:t>
      </w:r>
      <w:r>
        <w:rPr>
          <w:sz w:val="20"/>
        </w:rPr>
        <w:t>of</w:t>
      </w:r>
      <w:r>
        <w:rPr>
          <w:spacing w:val="25"/>
          <w:sz w:val="20"/>
        </w:rPr>
        <w:t> </w:t>
      </w:r>
      <w:r>
        <w:rPr>
          <w:sz w:val="20"/>
        </w:rPr>
        <w:t>Liaoning</w:t>
      </w:r>
      <w:r>
        <w:rPr>
          <w:spacing w:val="25"/>
          <w:sz w:val="20"/>
        </w:rPr>
        <w:t> </w:t>
      </w:r>
      <w:r>
        <w:rPr>
          <w:sz w:val="20"/>
        </w:rPr>
        <w:t>green</w:t>
      </w:r>
      <w:r>
        <w:rPr>
          <w:spacing w:val="22"/>
          <w:sz w:val="20"/>
        </w:rPr>
        <w:t> </w:t>
      </w:r>
      <w:r>
        <w:rPr>
          <w:sz w:val="20"/>
        </w:rPr>
        <w:t>consumption</w:t>
      </w:r>
      <w:r>
        <w:rPr>
          <w:spacing w:val="22"/>
          <w:sz w:val="20"/>
        </w:rPr>
        <w:t> </w:t>
      </w:r>
      <w:r>
        <w:rPr>
          <w:sz w:val="20"/>
        </w:rPr>
        <w:t>pattern</w:t>
      </w:r>
      <w:r>
        <w:rPr>
          <w:spacing w:val="23"/>
          <w:sz w:val="20"/>
        </w:rPr>
        <w:t> </w:t>
      </w:r>
      <w:r>
        <w:rPr>
          <w:sz w:val="20"/>
        </w:rPr>
        <w:t>to</w:t>
      </w:r>
      <w:r>
        <w:rPr>
          <w:spacing w:val="25"/>
          <w:sz w:val="20"/>
        </w:rPr>
        <w:t> </w:t>
      </w:r>
      <w:r>
        <w:rPr>
          <w:sz w:val="20"/>
        </w:rPr>
        <w:t>develop</w:t>
      </w:r>
      <w:r>
        <w:rPr>
          <w:spacing w:val="25"/>
          <w:sz w:val="20"/>
        </w:rPr>
        <w:t> </w:t>
      </w:r>
      <w:r>
        <w:rPr>
          <w:sz w:val="20"/>
        </w:rPr>
        <w:t>low-carbon</w:t>
      </w:r>
      <w:r>
        <w:rPr>
          <w:spacing w:val="23"/>
          <w:sz w:val="20"/>
        </w:rPr>
        <w:t> </w:t>
      </w:r>
      <w:r>
        <w:rPr>
          <w:spacing w:val="-2"/>
          <w:sz w:val="20"/>
        </w:rPr>
        <w:t>economy.</w:t>
      </w:r>
    </w:p>
    <w:p>
      <w:pPr>
        <w:pStyle w:val="BodyText"/>
        <w:spacing w:line="229" w:lineRule="exact"/>
        <w:ind w:left="236"/>
        <w:jc w:val="both"/>
      </w:pPr>
      <w:r>
        <w:rPr/>
        <w:t>Advances</w:t>
      </w:r>
      <w:r>
        <w:rPr>
          <w:spacing w:val="-8"/>
        </w:rPr>
        <w:t> </w:t>
      </w:r>
      <w:r>
        <w:rPr/>
        <w:t>in</w:t>
      </w:r>
      <w:r>
        <w:rPr>
          <w:spacing w:val="-8"/>
        </w:rPr>
        <w:t> </w:t>
      </w:r>
      <w:r>
        <w:rPr/>
        <w:t>Intelligent</w:t>
      </w:r>
      <w:r>
        <w:rPr>
          <w:spacing w:val="-8"/>
        </w:rPr>
        <w:t> </w:t>
      </w:r>
      <w:r>
        <w:rPr/>
        <w:t>and</w:t>
      </w:r>
      <w:r>
        <w:rPr>
          <w:spacing w:val="-6"/>
        </w:rPr>
        <w:t> </w:t>
      </w:r>
      <w:r>
        <w:rPr/>
        <w:t>Soft</w:t>
      </w:r>
      <w:r>
        <w:rPr>
          <w:spacing w:val="-7"/>
        </w:rPr>
        <w:t> </w:t>
      </w:r>
      <w:r>
        <w:rPr/>
        <w:t>Computing</w:t>
      </w:r>
      <w:r>
        <w:rPr>
          <w:spacing w:val="-8"/>
        </w:rPr>
        <w:t> </w:t>
      </w:r>
      <w:r>
        <w:rPr/>
        <w:t>2011;</w:t>
      </w:r>
      <w:r>
        <w:rPr>
          <w:spacing w:val="-8"/>
        </w:rPr>
        <w:t> </w:t>
      </w:r>
      <w:r>
        <w:rPr/>
        <w:t>106:</w:t>
      </w:r>
      <w:r>
        <w:rPr>
          <w:spacing w:val="-7"/>
        </w:rPr>
        <w:t> </w:t>
      </w:r>
      <w:r>
        <w:rPr/>
        <w:t>635-639.</w:t>
      </w:r>
      <w:r>
        <w:rPr>
          <w:spacing w:val="-8"/>
        </w:rPr>
        <w:t> </w:t>
      </w:r>
      <w:r>
        <w:rPr/>
        <w:t>DOI:</w:t>
      </w:r>
      <w:r>
        <w:rPr>
          <w:spacing w:val="-7"/>
        </w:rPr>
        <w:t> </w:t>
      </w:r>
      <w:r>
        <w:rPr/>
        <w:t>10.1007/978-3-642-23753-</w:t>
      </w:r>
      <w:r>
        <w:rPr>
          <w:spacing w:val="-2"/>
        </w:rPr>
        <w:t>9_102</w:t>
      </w:r>
    </w:p>
    <w:p>
      <w:pPr>
        <w:pStyle w:val="ListParagraph"/>
        <w:numPr>
          <w:ilvl w:val="0"/>
          <w:numId w:val="3"/>
        </w:numPr>
        <w:tabs>
          <w:tab w:pos="618" w:val="left" w:leader="none"/>
        </w:tabs>
        <w:spacing w:line="240" w:lineRule="auto" w:before="1" w:after="0"/>
        <w:ind w:left="236" w:right="283" w:firstLine="0"/>
        <w:jc w:val="both"/>
        <w:rPr>
          <w:sz w:val="20"/>
        </w:rPr>
      </w:pPr>
      <w:r>
        <w:rPr>
          <w:sz w:val="20"/>
        </w:rPr>
        <w:t>Rosenberg</w:t>
      </w:r>
      <w:r>
        <w:rPr>
          <w:spacing w:val="-3"/>
          <w:sz w:val="20"/>
        </w:rPr>
        <w:t> </w:t>
      </w:r>
      <w:r>
        <w:rPr>
          <w:sz w:val="20"/>
        </w:rPr>
        <w:t>MJ,</w:t>
      </w:r>
      <w:r>
        <w:rPr>
          <w:spacing w:val="-1"/>
          <w:sz w:val="20"/>
        </w:rPr>
        <w:t> </w:t>
      </w:r>
      <w:r>
        <w:rPr>
          <w:sz w:val="20"/>
        </w:rPr>
        <w:t>Hanland</w:t>
      </w:r>
      <w:r>
        <w:rPr>
          <w:spacing w:val="-1"/>
          <w:sz w:val="20"/>
        </w:rPr>
        <w:t> </w:t>
      </w:r>
      <w:r>
        <w:rPr>
          <w:sz w:val="20"/>
        </w:rPr>
        <w:t>JC.</w:t>
      </w:r>
      <w:r>
        <w:rPr>
          <w:spacing w:val="-1"/>
          <w:sz w:val="20"/>
        </w:rPr>
        <w:t> </w:t>
      </w:r>
      <w:r>
        <w:rPr>
          <w:sz w:val="20"/>
        </w:rPr>
        <w:t>1960.</w:t>
      </w:r>
      <w:r>
        <w:rPr>
          <w:spacing w:val="-1"/>
          <w:sz w:val="20"/>
        </w:rPr>
        <w:t> </w:t>
      </w:r>
      <w:r>
        <w:rPr>
          <w:sz w:val="20"/>
        </w:rPr>
        <w:t>Low-</w:t>
      </w:r>
      <w:r>
        <w:rPr>
          <w:spacing w:val="-4"/>
          <w:sz w:val="20"/>
        </w:rPr>
        <w:t> </w:t>
      </w:r>
      <w:r>
        <w:rPr>
          <w:sz w:val="20"/>
        </w:rPr>
        <w:t>commitment</w:t>
      </w:r>
      <w:r>
        <w:rPr>
          <w:spacing w:val="-2"/>
          <w:sz w:val="20"/>
        </w:rPr>
        <w:t> </w:t>
      </w:r>
      <w:r>
        <w:rPr>
          <w:sz w:val="20"/>
        </w:rPr>
        <w:t>consumer</w:t>
      </w:r>
      <w:r>
        <w:rPr>
          <w:spacing w:val="-1"/>
          <w:sz w:val="20"/>
        </w:rPr>
        <w:t> </w:t>
      </w:r>
      <w:r>
        <w:rPr>
          <w:sz w:val="20"/>
        </w:rPr>
        <w:t>behavior.</w:t>
      </w:r>
      <w:r>
        <w:rPr>
          <w:spacing w:val="-1"/>
          <w:sz w:val="20"/>
        </w:rPr>
        <w:t> </w:t>
      </w:r>
      <w:r>
        <w:rPr>
          <w:sz w:val="20"/>
        </w:rPr>
        <w:t>J</w:t>
      </w:r>
      <w:r>
        <w:rPr>
          <w:spacing w:val="-1"/>
          <w:sz w:val="20"/>
        </w:rPr>
        <w:t> </w:t>
      </w:r>
      <w:r>
        <w:rPr>
          <w:sz w:val="20"/>
        </w:rPr>
        <w:t>Abnorm</w:t>
      </w:r>
      <w:r>
        <w:rPr>
          <w:spacing w:val="-1"/>
          <w:sz w:val="20"/>
        </w:rPr>
        <w:t> </w:t>
      </w:r>
      <w:r>
        <w:rPr>
          <w:sz w:val="20"/>
        </w:rPr>
        <w:t>Soc</w:t>
      </w:r>
      <w:r>
        <w:rPr>
          <w:spacing w:val="-1"/>
          <w:sz w:val="20"/>
        </w:rPr>
        <w:t> </w:t>
      </w:r>
      <w:r>
        <w:rPr>
          <w:sz w:val="20"/>
        </w:rPr>
        <w:t>Psychol</w:t>
      </w:r>
      <w:r>
        <w:rPr>
          <w:spacing w:val="-2"/>
          <w:sz w:val="20"/>
        </w:rPr>
        <w:t> </w:t>
      </w:r>
      <w:r>
        <w:rPr>
          <w:sz w:val="20"/>
        </w:rPr>
        <w:t>1960;</w:t>
      </w:r>
      <w:r>
        <w:rPr>
          <w:spacing w:val="-2"/>
          <w:sz w:val="20"/>
        </w:rPr>
        <w:t> </w:t>
      </w:r>
      <w:r>
        <w:rPr>
          <w:sz w:val="20"/>
        </w:rPr>
        <w:t>2: </w:t>
      </w:r>
      <w:r>
        <w:rPr>
          <w:spacing w:val="-2"/>
          <w:sz w:val="20"/>
        </w:rPr>
        <w:t>367-72.</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6608">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798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2443561</wp:posOffset>
              </wp:positionH>
              <wp:positionV relativeFrom="page">
                <wp:posOffset>455282</wp:posOffset>
              </wp:positionV>
              <wp:extent cx="244792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47925" cy="137160"/>
                      </a:xfrm>
                      <a:prstGeom prst="rect">
                        <a:avLst/>
                      </a:prstGeom>
                    </wps:spPr>
                    <wps:txbx>
                      <w:txbxContent>
                        <w:p>
                          <w:pPr>
                            <w:spacing w:before="12"/>
                            <w:ind w:left="20" w:right="0" w:firstLine="0"/>
                            <w:jc w:val="left"/>
                            <w:rPr>
                              <w:i/>
                              <w:sz w:val="16"/>
                            </w:rPr>
                          </w:pPr>
                          <w:r>
                            <w:rPr>
                              <w:i/>
                              <w:color w:val="231F20"/>
                              <w:sz w:val="16"/>
                            </w:rPr>
                            <w:t>Han-Shen</w:t>
                          </w:r>
                          <w:r>
                            <w:rPr>
                              <w:i/>
                              <w:color w:val="231F20"/>
                              <w:spacing w:val="-2"/>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163</w:t>
                          </w:r>
                          <w:r>
                            <w:rPr>
                              <w:i/>
                              <w:color w:val="231F20"/>
                              <w:spacing w:val="-1"/>
                              <w:sz w:val="16"/>
                            </w:rPr>
                            <w:t> </w:t>
                          </w:r>
                          <w:r>
                            <w:rPr>
                              <w:i/>
                              <w:color w:val="231F20"/>
                              <w:sz w:val="16"/>
                            </w:rPr>
                            <w:t>–</w:t>
                          </w:r>
                          <w:r>
                            <w:rPr>
                              <w:i/>
                              <w:color w:val="231F20"/>
                              <w:spacing w:val="-2"/>
                              <w:sz w:val="16"/>
                            </w:rPr>
                            <w:t> </w:t>
                          </w:r>
                          <w:r>
                            <w:rPr>
                              <w:i/>
                              <w:color w:val="231F20"/>
                              <w:spacing w:val="-5"/>
                              <w:sz w:val="16"/>
                            </w:rPr>
                            <w:t>168</w:t>
                          </w:r>
                        </w:p>
                      </w:txbxContent>
                    </wps:txbx>
                    <wps:bodyPr wrap="square" lIns="0" tIns="0" rIns="0" bIns="0" rtlCol="0">
                      <a:noAutofit/>
                    </wps:bodyPr>
                  </wps:wsp>
                </a:graphicData>
              </a:graphic>
            </wp:anchor>
          </w:drawing>
        </mc:Choice>
        <mc:Fallback>
          <w:pict>
            <v:shape style="position:absolute;margin-left:192.406403pt;margin-top:35.849003pt;width:192.75pt;height:10.8pt;mso-position-horizontal-relative:page;mso-position-vertical-relative:page;z-index:-16079360" type="#_x0000_t202" id="docshape10" filled="false" stroked="false">
              <v:textbox inset="0,0,0,0">
                <w:txbxContent>
                  <w:p>
                    <w:pPr>
                      <w:spacing w:before="12"/>
                      <w:ind w:left="20" w:right="0" w:firstLine="0"/>
                      <w:jc w:val="left"/>
                      <w:rPr>
                        <w:i/>
                        <w:sz w:val="16"/>
                      </w:rPr>
                    </w:pPr>
                    <w:r>
                      <w:rPr>
                        <w:i/>
                        <w:color w:val="231F20"/>
                        <w:sz w:val="16"/>
                      </w:rPr>
                      <w:t>Han-Shen</w:t>
                    </w:r>
                    <w:r>
                      <w:rPr>
                        <w:i/>
                        <w:color w:val="231F20"/>
                        <w:spacing w:val="-2"/>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163</w:t>
                    </w:r>
                    <w:r>
                      <w:rPr>
                        <w:i/>
                        <w:color w:val="231F20"/>
                        <w:spacing w:val="-1"/>
                        <w:sz w:val="16"/>
                      </w:rPr>
                      <w:t> </w:t>
                    </w:r>
                    <w:r>
                      <w:rPr>
                        <w:i/>
                        <w:color w:val="231F20"/>
                        <w:sz w:val="16"/>
                      </w:rPr>
                      <w:t>–</w:t>
                    </w:r>
                    <w:r>
                      <w:rPr>
                        <w:i/>
                        <w:color w:val="231F20"/>
                        <w:spacing w:val="-2"/>
                        <w:sz w:val="16"/>
                      </w:rPr>
                      <w:t> </w:t>
                    </w:r>
                    <w:r>
                      <w:rPr>
                        <w:i/>
                        <w:color w:val="231F20"/>
                        <w:spacing w:val="-5"/>
                        <w:sz w:val="16"/>
                      </w:rPr>
                      <w:t>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7632">
              <wp:simplePos x="0" y="0"/>
              <wp:positionH relativeFrom="page">
                <wp:posOffset>2240927</wp:posOffset>
              </wp:positionH>
              <wp:positionV relativeFrom="page">
                <wp:posOffset>455282</wp:posOffset>
              </wp:positionV>
              <wp:extent cx="244792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47925" cy="137160"/>
                      </a:xfrm>
                      <a:prstGeom prst="rect">
                        <a:avLst/>
                      </a:prstGeom>
                    </wps:spPr>
                    <wps:txbx>
                      <w:txbxContent>
                        <w:p>
                          <w:pPr>
                            <w:spacing w:before="12"/>
                            <w:ind w:left="20" w:right="0" w:firstLine="0"/>
                            <w:jc w:val="left"/>
                            <w:rPr>
                              <w:i/>
                              <w:sz w:val="16"/>
                            </w:rPr>
                          </w:pPr>
                          <w:r>
                            <w:rPr>
                              <w:i/>
                              <w:color w:val="231F20"/>
                              <w:sz w:val="16"/>
                            </w:rPr>
                            <w:t>Han-Shen</w:t>
                          </w:r>
                          <w:r>
                            <w:rPr>
                              <w:i/>
                              <w:color w:val="231F20"/>
                              <w:spacing w:val="-2"/>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163</w:t>
                          </w:r>
                          <w:r>
                            <w:rPr>
                              <w:i/>
                              <w:color w:val="231F20"/>
                              <w:spacing w:val="-1"/>
                              <w:sz w:val="16"/>
                            </w:rPr>
                            <w:t> </w:t>
                          </w:r>
                          <w:r>
                            <w:rPr>
                              <w:i/>
                              <w:color w:val="231F20"/>
                              <w:sz w:val="16"/>
                            </w:rPr>
                            <w:t>–</w:t>
                          </w:r>
                          <w:r>
                            <w:rPr>
                              <w:i/>
                              <w:color w:val="231F20"/>
                              <w:spacing w:val="-2"/>
                              <w:sz w:val="16"/>
                            </w:rPr>
                            <w:t> </w:t>
                          </w:r>
                          <w:r>
                            <w:rPr>
                              <w:i/>
                              <w:color w:val="231F20"/>
                              <w:spacing w:val="-5"/>
                              <w:sz w:val="16"/>
                            </w:rPr>
                            <w:t>168</w:t>
                          </w:r>
                        </w:p>
                      </w:txbxContent>
                    </wps:txbx>
                    <wps:bodyPr wrap="square" lIns="0" tIns="0" rIns="0" bIns="0" rtlCol="0">
                      <a:noAutofit/>
                    </wps:bodyPr>
                  </wps:wsp>
                </a:graphicData>
              </a:graphic>
            </wp:anchor>
          </w:drawing>
        </mc:Choice>
        <mc:Fallback>
          <w:pict>
            <v:shape style="position:absolute;margin-left:176.451004pt;margin-top:35.849003pt;width:192.75pt;height:10.8pt;mso-position-horizontal-relative:page;mso-position-vertical-relative:page;z-index:-16078848" type="#_x0000_t202" id="docshape11" filled="false" stroked="false">
              <v:textbox inset="0,0,0,0">
                <w:txbxContent>
                  <w:p>
                    <w:pPr>
                      <w:spacing w:before="12"/>
                      <w:ind w:left="20" w:right="0" w:firstLine="0"/>
                      <w:jc w:val="left"/>
                      <w:rPr>
                        <w:i/>
                        <w:sz w:val="16"/>
                      </w:rPr>
                    </w:pPr>
                    <w:r>
                      <w:rPr>
                        <w:i/>
                        <w:color w:val="231F20"/>
                        <w:sz w:val="16"/>
                      </w:rPr>
                      <w:t>Han-Shen</w:t>
                    </w:r>
                    <w:r>
                      <w:rPr>
                        <w:i/>
                        <w:color w:val="231F20"/>
                        <w:spacing w:val="-2"/>
                        <w:sz w:val="16"/>
                      </w:rPr>
                      <w:t> </w:t>
                    </w:r>
                    <w:r>
                      <w:rPr>
                        <w:i/>
                        <w:color w:val="231F20"/>
                        <w:sz w:val="16"/>
                      </w:rPr>
                      <w:t>Chen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163</w:t>
                    </w:r>
                    <w:r>
                      <w:rPr>
                        <w:i/>
                        <w:color w:val="231F20"/>
                        <w:spacing w:val="-1"/>
                        <w:sz w:val="16"/>
                      </w:rPr>
                      <w:t> </w:t>
                    </w:r>
                    <w:r>
                      <w:rPr>
                        <w:i/>
                        <w:color w:val="231F20"/>
                        <w:sz w:val="16"/>
                      </w:rPr>
                      <w:t>–</w:t>
                    </w:r>
                    <w:r>
                      <w:rPr>
                        <w:i/>
                        <w:color w:val="231F20"/>
                        <w:spacing w:val="-2"/>
                        <w:sz w:val="16"/>
                      </w:rPr>
                      <w:t> </w:t>
                    </w:r>
                    <w:r>
                      <w:rPr>
                        <w:i/>
                        <w:color w:val="231F20"/>
                        <w:spacing w:val="-5"/>
                        <w:sz w:val="16"/>
                      </w:rPr>
                      <w:t>168</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833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6" w:hanging="29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58" w:hanging="292"/>
      </w:pPr>
      <w:rPr>
        <w:rFonts w:hint="default"/>
        <w:lang w:val="en-US" w:eastAsia="en-US" w:bidi="ar-SA"/>
      </w:rPr>
    </w:lvl>
    <w:lvl w:ilvl="2">
      <w:start w:val="0"/>
      <w:numFmt w:val="bullet"/>
      <w:lvlText w:val="•"/>
      <w:lvlJc w:val="left"/>
      <w:pPr>
        <w:ind w:left="2077" w:hanging="292"/>
      </w:pPr>
      <w:rPr>
        <w:rFonts w:hint="default"/>
        <w:lang w:val="en-US" w:eastAsia="en-US" w:bidi="ar-SA"/>
      </w:rPr>
    </w:lvl>
    <w:lvl w:ilvl="3">
      <w:start w:val="0"/>
      <w:numFmt w:val="bullet"/>
      <w:lvlText w:val="•"/>
      <w:lvlJc w:val="left"/>
      <w:pPr>
        <w:ind w:left="2995" w:hanging="292"/>
      </w:pPr>
      <w:rPr>
        <w:rFonts w:hint="default"/>
        <w:lang w:val="en-US" w:eastAsia="en-US" w:bidi="ar-SA"/>
      </w:rPr>
    </w:lvl>
    <w:lvl w:ilvl="4">
      <w:start w:val="0"/>
      <w:numFmt w:val="bullet"/>
      <w:lvlText w:val="•"/>
      <w:lvlJc w:val="left"/>
      <w:pPr>
        <w:ind w:left="3914" w:hanging="292"/>
      </w:pPr>
      <w:rPr>
        <w:rFonts w:hint="default"/>
        <w:lang w:val="en-US" w:eastAsia="en-US" w:bidi="ar-SA"/>
      </w:rPr>
    </w:lvl>
    <w:lvl w:ilvl="5">
      <w:start w:val="0"/>
      <w:numFmt w:val="bullet"/>
      <w:lvlText w:val="•"/>
      <w:lvlJc w:val="left"/>
      <w:pPr>
        <w:ind w:left="4832" w:hanging="292"/>
      </w:pPr>
      <w:rPr>
        <w:rFonts w:hint="default"/>
        <w:lang w:val="en-US" w:eastAsia="en-US" w:bidi="ar-SA"/>
      </w:rPr>
    </w:lvl>
    <w:lvl w:ilvl="6">
      <w:start w:val="0"/>
      <w:numFmt w:val="bullet"/>
      <w:lvlText w:val="•"/>
      <w:lvlJc w:val="left"/>
      <w:pPr>
        <w:ind w:left="5751" w:hanging="292"/>
      </w:pPr>
      <w:rPr>
        <w:rFonts w:hint="default"/>
        <w:lang w:val="en-US" w:eastAsia="en-US" w:bidi="ar-SA"/>
      </w:rPr>
    </w:lvl>
    <w:lvl w:ilvl="7">
      <w:start w:val="0"/>
      <w:numFmt w:val="bullet"/>
      <w:lvlText w:val="•"/>
      <w:lvlJc w:val="left"/>
      <w:pPr>
        <w:ind w:left="6669" w:hanging="292"/>
      </w:pPr>
      <w:rPr>
        <w:rFonts w:hint="default"/>
        <w:lang w:val="en-US" w:eastAsia="en-US" w:bidi="ar-SA"/>
      </w:rPr>
    </w:lvl>
    <w:lvl w:ilvl="8">
      <w:start w:val="0"/>
      <w:numFmt w:val="bullet"/>
      <w:lvlText w:val="•"/>
      <w:lvlJc w:val="left"/>
      <w:pPr>
        <w:ind w:left="7588" w:hanging="292"/>
      </w:pPr>
      <w:rPr>
        <w:rFonts w:hint="default"/>
        <w:lang w:val="en-US" w:eastAsia="en-US" w:bidi="ar-SA"/>
      </w:rPr>
    </w:lvl>
  </w:abstractNum>
  <w:abstractNum w:abstractNumId="1">
    <w:multiLevelType w:val="hybridMultilevel"/>
    <w:lvl w:ilvl="0">
      <w:start w:val="0"/>
      <w:numFmt w:val="bullet"/>
      <w:lvlText w:val=""/>
      <w:lvlJc w:val="left"/>
      <w:pPr>
        <w:ind w:left="533" w:hanging="2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28" w:hanging="240"/>
      </w:pPr>
      <w:rPr>
        <w:rFonts w:hint="default"/>
        <w:lang w:val="en-US" w:eastAsia="en-US" w:bidi="ar-SA"/>
      </w:rPr>
    </w:lvl>
    <w:lvl w:ilvl="2">
      <w:start w:val="0"/>
      <w:numFmt w:val="bullet"/>
      <w:lvlText w:val="•"/>
      <w:lvlJc w:val="left"/>
      <w:pPr>
        <w:ind w:left="2317" w:hanging="240"/>
      </w:pPr>
      <w:rPr>
        <w:rFonts w:hint="default"/>
        <w:lang w:val="en-US" w:eastAsia="en-US" w:bidi="ar-SA"/>
      </w:rPr>
    </w:lvl>
    <w:lvl w:ilvl="3">
      <w:start w:val="0"/>
      <w:numFmt w:val="bullet"/>
      <w:lvlText w:val="•"/>
      <w:lvlJc w:val="left"/>
      <w:pPr>
        <w:ind w:left="3205" w:hanging="240"/>
      </w:pPr>
      <w:rPr>
        <w:rFonts w:hint="default"/>
        <w:lang w:val="en-US" w:eastAsia="en-US" w:bidi="ar-SA"/>
      </w:rPr>
    </w:lvl>
    <w:lvl w:ilvl="4">
      <w:start w:val="0"/>
      <w:numFmt w:val="bullet"/>
      <w:lvlText w:val="•"/>
      <w:lvlJc w:val="left"/>
      <w:pPr>
        <w:ind w:left="4094" w:hanging="240"/>
      </w:pPr>
      <w:rPr>
        <w:rFonts w:hint="default"/>
        <w:lang w:val="en-US" w:eastAsia="en-US" w:bidi="ar-SA"/>
      </w:rPr>
    </w:lvl>
    <w:lvl w:ilvl="5">
      <w:start w:val="0"/>
      <w:numFmt w:val="bullet"/>
      <w:lvlText w:val="•"/>
      <w:lvlJc w:val="left"/>
      <w:pPr>
        <w:ind w:left="4982" w:hanging="240"/>
      </w:pPr>
      <w:rPr>
        <w:rFonts w:hint="default"/>
        <w:lang w:val="en-US" w:eastAsia="en-US" w:bidi="ar-SA"/>
      </w:rPr>
    </w:lvl>
    <w:lvl w:ilvl="6">
      <w:start w:val="0"/>
      <w:numFmt w:val="bullet"/>
      <w:lvlText w:val="•"/>
      <w:lvlJc w:val="left"/>
      <w:pPr>
        <w:ind w:left="5871" w:hanging="240"/>
      </w:pPr>
      <w:rPr>
        <w:rFonts w:hint="default"/>
        <w:lang w:val="en-US" w:eastAsia="en-US" w:bidi="ar-SA"/>
      </w:rPr>
    </w:lvl>
    <w:lvl w:ilvl="7">
      <w:start w:val="0"/>
      <w:numFmt w:val="bullet"/>
      <w:lvlText w:val="•"/>
      <w:lvlJc w:val="left"/>
      <w:pPr>
        <w:ind w:left="6759" w:hanging="240"/>
      </w:pPr>
      <w:rPr>
        <w:rFonts w:hint="default"/>
        <w:lang w:val="en-US" w:eastAsia="en-US" w:bidi="ar-SA"/>
      </w:rPr>
    </w:lvl>
    <w:lvl w:ilvl="8">
      <w:start w:val="0"/>
      <w:numFmt w:val="bullet"/>
      <w:lvlText w:val="•"/>
      <w:lvlJc w:val="left"/>
      <w:pPr>
        <w:ind w:left="7648" w:hanging="240"/>
      </w:pPr>
      <w:rPr>
        <w:rFonts w:hint="default"/>
        <w:lang w:val="en-US" w:eastAsia="en-US" w:bidi="ar-SA"/>
      </w:rPr>
    </w:lvl>
  </w:abstractNum>
  <w:abstractNum w:abstractNumId="0">
    <w:multiLevelType w:val="hybridMultilevel"/>
    <w:lvl w:ilvl="0">
      <w:start w:val="1"/>
      <w:numFmt w:val="decimal"/>
      <w:lvlText w:val="%1."/>
      <w:lvlJc w:val="left"/>
      <w:pPr>
        <w:ind w:left="443"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68"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760" w:hanging="356"/>
      </w:pPr>
      <w:rPr>
        <w:rFonts w:hint="default"/>
        <w:lang w:val="en-US" w:eastAsia="en-US" w:bidi="ar-SA"/>
      </w:rPr>
    </w:lvl>
    <w:lvl w:ilvl="3">
      <w:start w:val="0"/>
      <w:numFmt w:val="bullet"/>
      <w:lvlText w:val="•"/>
      <w:lvlJc w:val="left"/>
      <w:pPr>
        <w:ind w:left="1843" w:hanging="356"/>
      </w:pPr>
      <w:rPr>
        <w:rFonts w:hint="default"/>
        <w:lang w:val="en-US" w:eastAsia="en-US" w:bidi="ar-SA"/>
      </w:rPr>
    </w:lvl>
    <w:lvl w:ilvl="4">
      <w:start w:val="0"/>
      <w:numFmt w:val="bullet"/>
      <w:lvlText w:val="•"/>
      <w:lvlJc w:val="left"/>
      <w:pPr>
        <w:ind w:left="2926" w:hanging="356"/>
      </w:pPr>
      <w:rPr>
        <w:rFonts w:hint="default"/>
        <w:lang w:val="en-US" w:eastAsia="en-US" w:bidi="ar-SA"/>
      </w:rPr>
    </w:lvl>
    <w:lvl w:ilvl="5">
      <w:start w:val="0"/>
      <w:numFmt w:val="bullet"/>
      <w:lvlText w:val="•"/>
      <w:lvlJc w:val="left"/>
      <w:pPr>
        <w:ind w:left="4009" w:hanging="356"/>
      </w:pPr>
      <w:rPr>
        <w:rFonts w:hint="default"/>
        <w:lang w:val="en-US" w:eastAsia="en-US" w:bidi="ar-SA"/>
      </w:rPr>
    </w:lvl>
    <w:lvl w:ilvl="6">
      <w:start w:val="0"/>
      <w:numFmt w:val="bullet"/>
      <w:lvlText w:val="•"/>
      <w:lvlJc w:val="left"/>
      <w:pPr>
        <w:ind w:left="5092" w:hanging="356"/>
      </w:pPr>
      <w:rPr>
        <w:rFonts w:hint="default"/>
        <w:lang w:val="en-US" w:eastAsia="en-US" w:bidi="ar-SA"/>
      </w:rPr>
    </w:lvl>
    <w:lvl w:ilvl="7">
      <w:start w:val="0"/>
      <w:numFmt w:val="bullet"/>
      <w:lvlText w:val="•"/>
      <w:lvlJc w:val="left"/>
      <w:pPr>
        <w:ind w:left="6175" w:hanging="356"/>
      </w:pPr>
      <w:rPr>
        <w:rFonts w:hint="default"/>
        <w:lang w:val="en-US" w:eastAsia="en-US" w:bidi="ar-SA"/>
      </w:rPr>
    </w:lvl>
    <w:lvl w:ilvl="8">
      <w:start w:val="0"/>
      <w:numFmt w:val="bullet"/>
      <w:lvlText w:val="•"/>
      <w:lvlJc w:val="left"/>
      <w:pPr>
        <w:ind w:left="7258"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thsieh@ms10.hinet.ne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motc.gov.tw/"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Han.-Shen Chen</dc:creator>
  <cp:keywords>green consumption attitude; perceived risk; perceived value; purchase intention; hydrogen-electric motorcycle</cp:keywords>
  <dc:subject>, 2 (2012) 163-168. doi:10.1016/j.aasri.2012.09.029</dc:subject>
  <dc:title>A Study of Relationships among Green Consumption Attitude, Perceived Risk, Perceived Value toward Hydrogen-Electric Motorcycle Purchase Intention</dc:title>
  <dcterms:created xsi:type="dcterms:W3CDTF">2023-11-25T02:39:57Z</dcterms:created>
  <dcterms:modified xsi:type="dcterms:W3CDTF">2023-11-25T02:39:57Z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10.1016/j.aasri.2012.09.029</vt:lpwstr>
  </property>
  <property fmtid="{D5CDD505-2E9C-101B-9397-08002B2CF9AE}" pid="12" name="robots">
    <vt:lpwstr>noindex</vt:lpwstr>
  </property>
</Properties>
</file>