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91" w:right="0" w:firstLine="0"/>
        <w:jc w:val="left"/>
        <w:rPr>
          <w:rFonts w:ascii="Arial"/>
          <w:sz w:val="18"/>
        </w:rPr>
      </w:pPr>
      <w:r>
        <w:rPr/>
        <w:drawing>
          <wp:anchor distT="0" distB="0" distL="0" distR="0" allowOverlap="1" layoutInCell="1" locked="0" behindDoc="0" simplePos="0" relativeHeight="15730176">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82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2</w:t>
      </w:r>
      <w:r>
        <w:rPr>
          <w:color w:val="231F20"/>
          <w:spacing w:val="-1"/>
          <w:sz w:val="16"/>
        </w:rPr>
        <w:t> </w:t>
      </w:r>
      <w:r>
        <w:rPr>
          <w:color w:val="231F20"/>
          <w:sz w:val="16"/>
        </w:rPr>
        <w:t>(2012)</w:t>
      </w:r>
      <w:r>
        <w:rPr>
          <w:color w:val="231F20"/>
          <w:spacing w:val="-1"/>
          <w:sz w:val="16"/>
        </w:rPr>
        <w:t> </w:t>
      </w:r>
      <w:r>
        <w:rPr>
          <w:color w:val="231F20"/>
          <w:sz w:val="16"/>
        </w:rPr>
        <w:t>44 –</w:t>
      </w:r>
      <w:r>
        <w:rPr>
          <w:color w:val="231F20"/>
          <w:spacing w:val="-1"/>
          <w:sz w:val="16"/>
        </w:rPr>
        <w:t> </w:t>
      </w:r>
      <w:r>
        <w:rPr>
          <w:color w:val="231F20"/>
          <w:spacing w:val="-5"/>
          <w:sz w:val="16"/>
        </w:rPr>
        <w:t>49</w:t>
      </w:r>
    </w:p>
    <w:p>
      <w:pPr>
        <w:pStyle w:val="Title"/>
      </w:pPr>
      <w:r>
        <w:rPr/>
        <w:br w:type="column"/>
      </w:r>
      <w:r>
        <w:rPr>
          <w:color w:val="231F20"/>
          <w:spacing w:val="-2"/>
        </w:rPr>
        <w:t>AASRI</w:t>
      </w:r>
    </w:p>
    <w:p>
      <w:pPr>
        <w:spacing w:line="388" w:lineRule="exact" w:before="0"/>
        <w:ind w:left="634" w:right="0" w:firstLine="0"/>
        <w:jc w:val="left"/>
        <w:rPr>
          <w:sz w:val="34"/>
        </w:rPr>
      </w:pPr>
      <w:r>
        <w:rPr>
          <w:color w:val="231F20"/>
          <w:spacing w:val="-2"/>
          <w:sz w:val="34"/>
        </w:rPr>
        <w:t>Procedia</w:t>
      </w:r>
    </w:p>
    <w:p>
      <w:pPr>
        <w:spacing w:before="247"/>
        <w:ind w:left="21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40" w:right="940"/>
          <w:pgNumType w:start="44"/>
          <w:cols w:num="2" w:equalWidth="0">
            <w:col w:w="6231" w:space="1238"/>
            <w:col w:w="2041"/>
          </w:cols>
        </w:sectPr>
      </w:pPr>
    </w:p>
    <w:p>
      <w:pPr>
        <w:pStyle w:val="BodyText"/>
        <w:rPr>
          <w:sz w:val="24"/>
        </w:rPr>
      </w:pPr>
      <w:r>
        <w:rPr/>
        <mc:AlternateContent>
          <mc:Choice Requires="wps">
            <w:drawing>
              <wp:anchor distT="0" distB="0" distL="0" distR="0" allowOverlap="1" layoutInCell="1" locked="0" behindDoc="1" simplePos="0" relativeHeight="487372288">
                <wp:simplePos x="0" y="0"/>
                <wp:positionH relativeFrom="page">
                  <wp:posOffset>432003</wp:posOffset>
                </wp:positionH>
                <wp:positionV relativeFrom="page">
                  <wp:posOffset>1668005</wp:posOffset>
                </wp:positionV>
                <wp:extent cx="6026150" cy="676592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6026150" cy="6765925"/>
                          <a:chExt cx="6026150" cy="6765925"/>
                        </a:xfrm>
                      </wpg:grpSpPr>
                      <wps:wsp>
                        <wps:cNvPr id="4" name="Graphic 4"/>
                        <wps:cNvSpPr/>
                        <wps:spPr>
                          <a:xfrm>
                            <a:off x="0" y="0"/>
                            <a:ext cx="6013450" cy="6765925"/>
                          </a:xfrm>
                          <a:custGeom>
                            <a:avLst/>
                            <a:gdLst/>
                            <a:ahLst/>
                            <a:cxnLst/>
                            <a:rect l="l" t="t" r="r" b="b"/>
                            <a:pathLst>
                              <a:path w="6013450" h="6765925">
                                <a:moveTo>
                                  <a:pt x="6013132" y="0"/>
                                </a:moveTo>
                                <a:lnTo>
                                  <a:pt x="0" y="0"/>
                                </a:lnTo>
                                <a:lnTo>
                                  <a:pt x="0" y="6765417"/>
                                </a:lnTo>
                                <a:lnTo>
                                  <a:pt x="6013132" y="6765417"/>
                                </a:lnTo>
                                <a:lnTo>
                                  <a:pt x="6013132" y="0"/>
                                </a:lnTo>
                                <a:close/>
                              </a:path>
                            </a:pathLst>
                          </a:custGeom>
                          <a:solidFill>
                            <a:srgbClr val="FFFFFF"/>
                          </a:solidFill>
                        </wps:spPr>
                        <wps:bodyPr wrap="square" lIns="0" tIns="0" rIns="0" bIns="0" rtlCol="0">
                          <a:prstTxWarp prst="textNoShape">
                            <a:avLst/>
                          </a:prstTxWarp>
                          <a:noAutofit/>
                        </wps:bodyPr>
                      </wps:wsp>
                      <wps:wsp>
                        <wps:cNvPr id="5" name="Graphic 5"/>
                        <wps:cNvSpPr/>
                        <wps:spPr>
                          <a:xfrm>
                            <a:off x="102260" y="2574797"/>
                            <a:ext cx="5652770" cy="2468880"/>
                          </a:xfrm>
                          <a:custGeom>
                            <a:avLst/>
                            <a:gdLst/>
                            <a:ahLst/>
                            <a:cxnLst/>
                            <a:rect l="l" t="t" r="r" b="b"/>
                            <a:pathLst>
                              <a:path w="5652770" h="2468880">
                                <a:moveTo>
                                  <a:pt x="5652503" y="2462784"/>
                                </a:moveTo>
                                <a:lnTo>
                                  <a:pt x="0" y="2462784"/>
                                </a:lnTo>
                                <a:lnTo>
                                  <a:pt x="0" y="2468880"/>
                                </a:lnTo>
                                <a:lnTo>
                                  <a:pt x="5652503" y="2468880"/>
                                </a:lnTo>
                                <a:lnTo>
                                  <a:pt x="5652503" y="2462784"/>
                                </a:lnTo>
                                <a:close/>
                              </a:path>
                              <a:path w="5652770" h="2468880">
                                <a:moveTo>
                                  <a:pt x="5652503" y="0"/>
                                </a:moveTo>
                                <a:lnTo>
                                  <a:pt x="0" y="0"/>
                                </a:lnTo>
                                <a:lnTo>
                                  <a:pt x="0" y="6096"/>
                                </a:lnTo>
                                <a:lnTo>
                                  <a:pt x="5652503" y="6096"/>
                                </a:lnTo>
                                <a:lnTo>
                                  <a:pt x="5652503" y="0"/>
                                </a:lnTo>
                                <a:close/>
                              </a:path>
                            </a:pathLst>
                          </a:custGeom>
                          <a:solidFill>
                            <a:srgbClr val="000000"/>
                          </a:solidFill>
                        </wps:spPr>
                        <wps:bodyPr wrap="square" lIns="0" tIns="0" rIns="0" bIns="0" rtlCol="0">
                          <a:prstTxWarp prst="textNoShape">
                            <a:avLst/>
                          </a:prstTxWarp>
                          <a:noAutofit/>
                        </wps:bodyPr>
                      </wps:wsp>
                      <wps:wsp>
                        <wps:cNvPr id="6" name="Graphic 6"/>
                        <wps:cNvSpPr/>
                        <wps:spPr>
                          <a:xfrm>
                            <a:off x="126658" y="5743206"/>
                            <a:ext cx="541655" cy="1270"/>
                          </a:xfrm>
                          <a:custGeom>
                            <a:avLst/>
                            <a:gdLst/>
                            <a:ahLst/>
                            <a:cxnLst/>
                            <a:rect l="l" t="t" r="r" b="b"/>
                            <a:pathLst>
                              <a:path w="541655" h="0">
                                <a:moveTo>
                                  <a:pt x="0" y="0"/>
                                </a:moveTo>
                                <a:lnTo>
                                  <a:pt x="541029" y="0"/>
                                </a:lnTo>
                              </a:path>
                            </a:pathLst>
                          </a:custGeom>
                          <a:ln w="7169">
                            <a:solidFill>
                              <a:srgbClr val="1E1D20"/>
                            </a:solidFill>
                            <a:prstDash val="solid"/>
                          </a:ln>
                        </wps:spPr>
                        <wps:bodyPr wrap="square" lIns="0" tIns="0" rIns="0" bIns="0" rtlCol="0">
                          <a:prstTxWarp prst="textNoShape">
                            <a:avLst/>
                          </a:prstTxWarp>
                          <a:noAutofit/>
                        </wps:bodyPr>
                      </wps:wsp>
                      <wps:wsp>
                        <wps:cNvPr id="7" name="Graphic 7"/>
                        <wps:cNvSpPr/>
                        <wps:spPr>
                          <a:xfrm>
                            <a:off x="121843" y="4290986"/>
                            <a:ext cx="5904230" cy="377190"/>
                          </a:xfrm>
                          <a:custGeom>
                            <a:avLst/>
                            <a:gdLst/>
                            <a:ahLst/>
                            <a:cxnLst/>
                            <a:rect l="l" t="t" r="r" b="b"/>
                            <a:pathLst>
                              <a:path w="5904230" h="377190">
                                <a:moveTo>
                                  <a:pt x="5904001" y="0"/>
                                </a:moveTo>
                                <a:lnTo>
                                  <a:pt x="0" y="0"/>
                                </a:lnTo>
                                <a:lnTo>
                                  <a:pt x="0" y="376999"/>
                                </a:lnTo>
                                <a:lnTo>
                                  <a:pt x="5904001" y="376999"/>
                                </a:lnTo>
                                <a:lnTo>
                                  <a:pt x="5904001"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34.015999pt;margin-top:131.339005pt;width:474.5pt;height:532.75pt;mso-position-horizontal-relative:page;mso-position-vertical-relative:page;z-index:-15944192" id="docshapegroup1" coordorigin="680,2627" coordsize="9490,10655">
                <v:rect style="position:absolute;left:680;top:2626;width:9470;height:10655" id="docshape2" filled="true" fillcolor="#ffffff" stroked="false">
                  <v:fill type="solid"/>
                </v:rect>
                <v:shape style="position:absolute;left:841;top:6681;width:8902;height:3888" id="docshape3" coordorigin="841,6682" coordsize="8902,3888" path="m9743,10560l841,10560,841,10570,9743,10570,9743,10560xm9743,6682l841,6682,841,6691,9743,6691,9743,6682xe" filled="true" fillcolor="#000000" stroked="false">
                  <v:path arrowok="t"/>
                  <v:fill type="solid"/>
                </v:shape>
                <v:line style="position:absolute" from="880,11671" to="1732,11671" stroked="true" strokeweight=".564533pt" strokecolor="#1e1d20">
                  <v:stroke dashstyle="solid"/>
                </v:line>
                <v:rect style="position:absolute;left:872;top:9384;width:9298;height:594" id="docshape4" filled="true" fillcolor="#ffffff" stroked="false">
                  <v:fill type="solid"/>
                </v:rect>
                <w10:wrap type="none"/>
              </v:group>
            </w:pict>
          </mc:Fallback>
        </mc:AlternateContent>
      </w: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ge">
                  <wp:posOffset>1260080</wp:posOffset>
                </wp:positionV>
                <wp:extent cx="1308100" cy="3492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1200" id="docshape5"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ge">
                  <wp:posOffset>570280</wp:posOffset>
                </wp:positionV>
                <wp:extent cx="1308100" cy="3492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712" id="docshape6" coordorigin="8111,898" coordsize="2060,55" path="m10170,942l8111,942,8111,952,10170,952,10170,942xm10170,898l8111,898,8111,917,10170,917,10170,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69"/>
        <w:rPr>
          <w:sz w:val="24"/>
        </w:rPr>
      </w:pPr>
    </w:p>
    <w:p>
      <w:pPr>
        <w:spacing w:before="1"/>
        <w:ind w:left="201" w:right="5" w:firstLine="0"/>
        <w:jc w:val="center"/>
        <w:rPr>
          <w:sz w:val="24"/>
        </w:rPr>
      </w:pPr>
      <w:r>
        <w:rPr>
          <w:sz w:val="24"/>
        </w:rPr>
        <w:t>2012</w:t>
      </w:r>
      <w:r>
        <w:rPr>
          <w:spacing w:val="-9"/>
          <w:sz w:val="24"/>
        </w:rPr>
        <w:t> </w:t>
      </w:r>
      <w:r>
        <w:rPr>
          <w:sz w:val="24"/>
        </w:rPr>
        <w:t>AASRI</w:t>
      </w:r>
      <w:r>
        <w:rPr>
          <w:spacing w:val="-14"/>
          <w:sz w:val="24"/>
        </w:rPr>
        <w:t> </w:t>
      </w:r>
      <w:r>
        <w:rPr>
          <w:sz w:val="24"/>
        </w:rPr>
        <w:t>Conference</w:t>
      </w:r>
      <w:r>
        <w:rPr>
          <w:spacing w:val="-7"/>
          <w:sz w:val="24"/>
        </w:rPr>
        <w:t> </w:t>
      </w:r>
      <w:r>
        <w:rPr>
          <w:sz w:val="24"/>
        </w:rPr>
        <w:t>on</w:t>
      </w:r>
      <w:r>
        <w:rPr>
          <w:spacing w:val="-8"/>
          <w:sz w:val="24"/>
        </w:rPr>
        <w:t> </w:t>
      </w:r>
      <w:r>
        <w:rPr>
          <w:sz w:val="24"/>
        </w:rPr>
        <w:t>Power</w:t>
      </w:r>
      <w:r>
        <w:rPr>
          <w:spacing w:val="-9"/>
          <w:sz w:val="24"/>
        </w:rPr>
        <w:t> </w:t>
      </w:r>
      <w:r>
        <w:rPr>
          <w:sz w:val="24"/>
        </w:rPr>
        <w:t>and</w:t>
      </w:r>
      <w:r>
        <w:rPr>
          <w:spacing w:val="-9"/>
          <w:sz w:val="24"/>
        </w:rPr>
        <w:t> </w:t>
      </w:r>
      <w:r>
        <w:rPr>
          <w:sz w:val="24"/>
        </w:rPr>
        <w:t>Energy</w:t>
      </w:r>
      <w:r>
        <w:rPr>
          <w:spacing w:val="-12"/>
          <w:sz w:val="24"/>
        </w:rPr>
        <w:t> </w:t>
      </w:r>
      <w:r>
        <w:rPr>
          <w:spacing w:val="-2"/>
          <w:sz w:val="24"/>
        </w:rPr>
        <w:t>Systems</w:t>
      </w:r>
    </w:p>
    <w:p>
      <w:pPr>
        <w:pStyle w:val="BodyText"/>
        <w:spacing w:before="101"/>
        <w:rPr>
          <w:sz w:val="24"/>
        </w:rPr>
      </w:pPr>
    </w:p>
    <w:p>
      <w:pPr>
        <w:pStyle w:val="Heading1"/>
        <w:spacing w:line="237" w:lineRule="auto"/>
        <w:ind w:right="1"/>
        <w:jc w:val="center"/>
      </w:pPr>
      <w:r>
        <w:rPr/>
        <w:t>Commercial</w:t>
      </w:r>
      <w:r>
        <w:rPr>
          <w:spacing w:val="-4"/>
        </w:rPr>
        <w:t> </w:t>
      </w:r>
      <w:r>
        <w:rPr/>
        <w:t>Viability</w:t>
      </w:r>
      <w:r>
        <w:rPr>
          <w:spacing w:val="-4"/>
        </w:rPr>
        <w:t> </w:t>
      </w:r>
      <w:r>
        <w:rPr/>
        <w:t>of</w:t>
      </w:r>
      <w:r>
        <w:rPr>
          <w:spacing w:val="-4"/>
        </w:rPr>
        <w:t> </w:t>
      </w:r>
      <w:r>
        <w:rPr/>
        <w:t>Strategic</w:t>
      </w:r>
      <w:r>
        <w:rPr>
          <w:spacing w:val="-4"/>
        </w:rPr>
        <w:t> </w:t>
      </w:r>
      <w:r>
        <w:rPr/>
        <w:t>Choice</w:t>
      </w:r>
      <w:r>
        <w:rPr>
          <w:spacing w:val="-4"/>
        </w:rPr>
        <w:t> </w:t>
      </w:r>
      <w:r>
        <w:rPr/>
        <w:t>on</w:t>
      </w:r>
      <w:r>
        <w:rPr>
          <w:spacing w:val="-5"/>
        </w:rPr>
        <w:t> </w:t>
      </w:r>
      <w:r>
        <w:rPr/>
        <w:t>Green</w:t>
      </w:r>
      <w:r>
        <w:rPr>
          <w:spacing w:val="-5"/>
        </w:rPr>
        <w:t> </w:t>
      </w:r>
      <w:r>
        <w:rPr/>
        <w:t>Energy Business: Hydro Power versus Wind Power (Latvian case)</w:t>
      </w:r>
    </w:p>
    <w:p>
      <w:pPr>
        <w:spacing w:before="3"/>
        <w:ind w:left="201" w:right="6" w:firstLine="0"/>
        <w:jc w:val="center"/>
        <w:rPr>
          <w:sz w:val="26"/>
        </w:rPr>
      </w:pPr>
      <w:r>
        <w:rPr>
          <w:sz w:val="26"/>
        </w:rPr>
        <w:t>Andrejs</w:t>
      </w:r>
      <w:r>
        <w:rPr>
          <w:spacing w:val="-9"/>
          <w:sz w:val="26"/>
        </w:rPr>
        <w:t> </w:t>
      </w:r>
      <w:r>
        <w:rPr>
          <w:sz w:val="32"/>
        </w:rPr>
        <w:t>č</w:t>
      </w:r>
      <w:r>
        <w:rPr>
          <w:sz w:val="26"/>
        </w:rPr>
        <w:t>irjevskis</w:t>
      </w:r>
      <w:r>
        <w:rPr>
          <w:sz w:val="26"/>
          <w:vertAlign w:val="superscript"/>
        </w:rPr>
        <w:t>a,</w:t>
      </w:r>
      <w:r>
        <w:rPr>
          <w:sz w:val="26"/>
          <w:vertAlign w:val="baseline"/>
        </w:rPr>
        <w:t>*,</w:t>
      </w:r>
      <w:r>
        <w:rPr>
          <w:spacing w:val="-9"/>
          <w:sz w:val="26"/>
          <w:vertAlign w:val="baseline"/>
        </w:rPr>
        <w:t> </w:t>
      </w:r>
      <w:r>
        <w:rPr>
          <w:sz w:val="26"/>
          <w:vertAlign w:val="baseline"/>
        </w:rPr>
        <w:t>Jekaterina</w:t>
      </w:r>
      <w:r>
        <w:rPr>
          <w:spacing w:val="-8"/>
          <w:sz w:val="26"/>
          <w:vertAlign w:val="baseline"/>
        </w:rPr>
        <w:t> </w:t>
      </w:r>
      <w:r>
        <w:rPr>
          <w:spacing w:val="-2"/>
          <w:sz w:val="26"/>
          <w:vertAlign w:val="baseline"/>
        </w:rPr>
        <w:t>Novikova</w:t>
      </w:r>
      <w:r>
        <w:rPr>
          <w:spacing w:val="-2"/>
          <w:sz w:val="26"/>
          <w:vertAlign w:val="superscript"/>
        </w:rPr>
        <w:t>b</w:t>
      </w:r>
    </w:p>
    <w:p>
      <w:pPr>
        <w:pStyle w:val="BodyText"/>
        <w:spacing w:before="67"/>
        <w:rPr>
          <w:sz w:val="26"/>
        </w:rPr>
      </w:pPr>
    </w:p>
    <w:p>
      <w:pPr>
        <w:spacing w:before="1"/>
        <w:ind w:left="201" w:right="0" w:firstLine="0"/>
        <w:jc w:val="center"/>
        <w:rPr>
          <w:i/>
          <w:sz w:val="16"/>
        </w:rPr>
      </w:pPr>
      <w:r>
        <w:rPr>
          <w:i/>
          <w:sz w:val="16"/>
          <w:vertAlign w:val="superscript"/>
        </w:rPr>
        <w:t>a</w:t>
      </w:r>
      <w:r>
        <w:rPr>
          <w:i/>
          <w:spacing w:val="-14"/>
          <w:sz w:val="16"/>
          <w:vertAlign w:val="baseline"/>
        </w:rPr>
        <w:t> </w:t>
      </w:r>
      <w:r>
        <w:rPr>
          <w:i/>
          <w:sz w:val="16"/>
          <w:vertAlign w:val="baseline"/>
        </w:rPr>
        <w:t>RISEBA,</w:t>
      </w:r>
      <w:r>
        <w:rPr>
          <w:i/>
          <w:spacing w:val="-5"/>
          <w:sz w:val="16"/>
          <w:vertAlign w:val="baseline"/>
        </w:rPr>
        <w:t> </w:t>
      </w:r>
      <w:r>
        <w:rPr>
          <w:i/>
          <w:sz w:val="16"/>
          <w:vertAlign w:val="baseline"/>
        </w:rPr>
        <w:t>Meza</w:t>
      </w:r>
      <w:r>
        <w:rPr>
          <w:i/>
          <w:spacing w:val="-2"/>
          <w:sz w:val="16"/>
          <w:vertAlign w:val="baseline"/>
        </w:rPr>
        <w:t> </w:t>
      </w:r>
      <w:r>
        <w:rPr>
          <w:i/>
          <w:sz w:val="16"/>
          <w:vertAlign w:val="baseline"/>
        </w:rPr>
        <w:t>street</w:t>
      </w:r>
      <w:r>
        <w:rPr>
          <w:i/>
          <w:spacing w:val="-4"/>
          <w:sz w:val="16"/>
          <w:vertAlign w:val="baseline"/>
        </w:rPr>
        <w:t> </w:t>
      </w:r>
      <w:r>
        <w:rPr>
          <w:i/>
          <w:sz w:val="16"/>
          <w:vertAlign w:val="baseline"/>
        </w:rPr>
        <w:t>3,</w:t>
      </w:r>
      <w:r>
        <w:rPr>
          <w:i/>
          <w:spacing w:val="-4"/>
          <w:sz w:val="16"/>
          <w:vertAlign w:val="baseline"/>
        </w:rPr>
        <w:t> </w:t>
      </w:r>
      <w:r>
        <w:rPr>
          <w:i/>
          <w:sz w:val="16"/>
          <w:vertAlign w:val="baseline"/>
        </w:rPr>
        <w:t>Riga</w:t>
      </w:r>
      <w:r>
        <w:rPr>
          <w:i/>
          <w:spacing w:val="-2"/>
          <w:sz w:val="16"/>
          <w:vertAlign w:val="baseline"/>
        </w:rPr>
        <w:t> </w:t>
      </w:r>
      <w:r>
        <w:rPr>
          <w:i/>
          <w:sz w:val="16"/>
          <w:vertAlign w:val="baseline"/>
        </w:rPr>
        <w:t>LV</w:t>
      </w:r>
      <w:r>
        <w:rPr>
          <w:i/>
          <w:spacing w:val="-6"/>
          <w:sz w:val="16"/>
          <w:vertAlign w:val="baseline"/>
        </w:rPr>
        <w:t> </w:t>
      </w:r>
      <w:r>
        <w:rPr>
          <w:i/>
          <w:sz w:val="16"/>
          <w:vertAlign w:val="baseline"/>
        </w:rPr>
        <w:t>1048,</w:t>
      </w:r>
      <w:r>
        <w:rPr>
          <w:i/>
          <w:spacing w:val="-2"/>
          <w:sz w:val="16"/>
          <w:vertAlign w:val="baseline"/>
        </w:rPr>
        <w:t> Latvia,</w:t>
      </w:r>
    </w:p>
    <w:p>
      <w:pPr>
        <w:spacing w:before="15"/>
        <w:ind w:left="201" w:right="7" w:firstLine="0"/>
        <w:jc w:val="center"/>
        <w:rPr>
          <w:i/>
          <w:sz w:val="16"/>
        </w:rPr>
      </w:pPr>
      <w:r>
        <w:rPr>
          <w:i/>
          <w:sz w:val="16"/>
          <w:vertAlign w:val="superscript"/>
        </w:rPr>
        <w:t>b</w:t>
      </w:r>
      <w:r>
        <w:rPr>
          <w:i/>
          <w:sz w:val="16"/>
          <w:vertAlign w:val="baseline"/>
        </w:rPr>
        <w:t>RISEBA,</w:t>
      </w:r>
      <w:r>
        <w:rPr>
          <w:i/>
          <w:spacing w:val="-5"/>
          <w:sz w:val="16"/>
          <w:vertAlign w:val="baseline"/>
        </w:rPr>
        <w:t> </w:t>
      </w:r>
      <w:r>
        <w:rPr>
          <w:i/>
          <w:sz w:val="16"/>
          <w:vertAlign w:val="baseline"/>
        </w:rPr>
        <w:t>Meza</w:t>
      </w:r>
      <w:r>
        <w:rPr>
          <w:i/>
          <w:spacing w:val="-2"/>
          <w:sz w:val="16"/>
          <w:vertAlign w:val="baseline"/>
        </w:rPr>
        <w:t> </w:t>
      </w:r>
      <w:r>
        <w:rPr>
          <w:i/>
          <w:sz w:val="16"/>
          <w:vertAlign w:val="baseline"/>
        </w:rPr>
        <w:t>street</w:t>
      </w:r>
      <w:r>
        <w:rPr>
          <w:i/>
          <w:spacing w:val="-4"/>
          <w:sz w:val="16"/>
          <w:vertAlign w:val="baseline"/>
        </w:rPr>
        <w:t> </w:t>
      </w:r>
      <w:r>
        <w:rPr>
          <w:i/>
          <w:sz w:val="16"/>
          <w:vertAlign w:val="baseline"/>
        </w:rPr>
        <w:t>3,</w:t>
      </w:r>
      <w:r>
        <w:rPr>
          <w:i/>
          <w:spacing w:val="-3"/>
          <w:sz w:val="16"/>
          <w:vertAlign w:val="baseline"/>
        </w:rPr>
        <w:t> </w:t>
      </w:r>
      <w:r>
        <w:rPr>
          <w:i/>
          <w:sz w:val="16"/>
          <w:vertAlign w:val="baseline"/>
        </w:rPr>
        <w:t>Riga</w:t>
      </w:r>
      <w:r>
        <w:rPr>
          <w:i/>
          <w:spacing w:val="-2"/>
          <w:sz w:val="16"/>
          <w:vertAlign w:val="baseline"/>
        </w:rPr>
        <w:t> </w:t>
      </w:r>
      <w:r>
        <w:rPr>
          <w:i/>
          <w:sz w:val="16"/>
          <w:vertAlign w:val="baseline"/>
        </w:rPr>
        <w:t>LV</w:t>
      </w:r>
      <w:r>
        <w:rPr>
          <w:i/>
          <w:spacing w:val="-5"/>
          <w:sz w:val="16"/>
          <w:vertAlign w:val="baseline"/>
        </w:rPr>
        <w:t> </w:t>
      </w:r>
      <w:r>
        <w:rPr>
          <w:i/>
          <w:sz w:val="16"/>
          <w:vertAlign w:val="baseline"/>
        </w:rPr>
        <w:t>1048,</w:t>
      </w:r>
      <w:r>
        <w:rPr>
          <w:i/>
          <w:spacing w:val="-3"/>
          <w:sz w:val="16"/>
          <w:vertAlign w:val="baseline"/>
        </w:rPr>
        <w:t> </w:t>
      </w:r>
      <w:r>
        <w:rPr>
          <w:i/>
          <w:spacing w:val="-2"/>
          <w:sz w:val="16"/>
          <w:vertAlign w:val="baseline"/>
        </w:rPr>
        <w:t>Latvia</w:t>
      </w:r>
    </w:p>
    <w:p>
      <w:pPr>
        <w:pStyle w:val="BodyText"/>
        <w:rPr>
          <w:i/>
          <w:sz w:val="16"/>
        </w:rPr>
      </w:pPr>
    </w:p>
    <w:p>
      <w:pPr>
        <w:pStyle w:val="BodyText"/>
        <w:rPr>
          <w:i/>
          <w:sz w:val="16"/>
        </w:rPr>
      </w:pPr>
    </w:p>
    <w:p>
      <w:pPr>
        <w:pStyle w:val="BodyText"/>
        <w:rPr>
          <w:i/>
          <w:sz w:val="16"/>
        </w:rPr>
      </w:pPr>
    </w:p>
    <w:p>
      <w:pPr>
        <w:pStyle w:val="BodyText"/>
        <w:rPr>
          <w:i/>
          <w:sz w:val="16"/>
        </w:rPr>
      </w:pPr>
    </w:p>
    <w:p>
      <w:pPr>
        <w:pStyle w:val="BodyText"/>
        <w:spacing w:before="22"/>
        <w:rPr>
          <w:i/>
          <w:sz w:val="16"/>
        </w:rPr>
      </w:pPr>
    </w:p>
    <w:p>
      <w:pPr>
        <w:spacing w:before="0"/>
        <w:ind w:left="430" w:right="0" w:firstLine="0"/>
        <w:jc w:val="left"/>
        <w:rPr>
          <w:sz w:val="18"/>
        </w:rPr>
      </w:pPr>
      <w:r>
        <w:rPr>
          <w:spacing w:val="-2"/>
          <w:w w:val="110"/>
          <w:sz w:val="18"/>
        </w:rPr>
        <w:t>Abstract</w:t>
      </w:r>
    </w:p>
    <w:p>
      <w:pPr>
        <w:pStyle w:val="BodyText"/>
        <w:spacing w:before="15"/>
        <w:rPr>
          <w:sz w:val="18"/>
        </w:rPr>
      </w:pPr>
    </w:p>
    <w:p>
      <w:pPr>
        <w:spacing w:before="1"/>
        <w:ind w:left="430" w:right="226" w:firstLine="0"/>
        <w:jc w:val="both"/>
        <w:rPr>
          <w:sz w:val="18"/>
        </w:rPr>
      </w:pPr>
      <w:r>
        <w:rPr/>
        <mc:AlternateContent>
          <mc:Choice Requires="wps">
            <w:drawing>
              <wp:anchor distT="0" distB="0" distL="0" distR="0" allowOverlap="1" layoutInCell="1" locked="0" behindDoc="1" simplePos="0" relativeHeight="487370752">
                <wp:simplePos x="0" y="0"/>
                <wp:positionH relativeFrom="page">
                  <wp:posOffset>440080</wp:posOffset>
                </wp:positionH>
                <wp:positionV relativeFrom="paragraph">
                  <wp:posOffset>17932</wp:posOffset>
                </wp:positionV>
                <wp:extent cx="5447030" cy="113664"/>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5447030" cy="113664"/>
                        </a:xfrm>
                        <a:prstGeom prst="rect">
                          <a:avLst/>
                        </a:prstGeom>
                      </wps:spPr>
                      <wps:txbx>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4.652pt;margin-top:1.412017pt;width:428.9pt;height:8.950pt;mso-position-horizontal-relative:page;mso-position-vertical-relative:paragraph;z-index:-15945728" type="#_x0000_t202" id="docshape7" filled="false" stroked="false">
                <v:textbox inset="0,0,0,0">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v:textbox>
                <w10:wrap type="none"/>
              </v:shape>
            </w:pict>
          </mc:Fallback>
        </mc:AlternateContent>
      </w:r>
      <w:r>
        <w:rPr>
          <w:sz w:val="18"/>
        </w:rPr>
        <w:t>Development of green energy, especially such types as hydropower and wind power, presents great opportunities for companies' growth. The aim of the paper is to investigate commercial viability of green energy business to make an investment choice for Latvian privately owned small sized hydropower producer and seller LLC “Green Energy</w:t>
      </w:r>
      <w:r>
        <w:rPr>
          <w:spacing w:val="40"/>
          <w:sz w:val="18"/>
        </w:rPr>
        <w:t> </w:t>
      </w:r>
      <w:r>
        <w:rPr>
          <w:sz w:val="18"/>
        </w:rPr>
        <w:t>Solutions” (“GES”). Firstly the paper investigated theoretical and practical application of such concept of commercial viability of a strategy as a SFA: suitability, feasibility and acceptability. Then the latest trends of Green Energy Business</w:t>
      </w:r>
      <w:r>
        <w:rPr>
          <w:spacing w:val="40"/>
          <w:sz w:val="18"/>
        </w:rPr>
        <w:t> </w:t>
      </w:r>
      <w:r>
        <w:rPr>
          <w:sz w:val="18"/>
        </w:rPr>
        <w:t>in EU and in Latvia have been explored and strategic suitability has been defined. Secondly, to confirm or disprove investments in a hydropower station or wind turbine, Equivalent annual annuities of each alternative investment project have been calculated and financial feasibility has been discussed. Finally, recommendations for stakeholders regarding further growth of company "GES" and acceptability of given strategic choice have been reviewed in detail.</w:t>
      </w:r>
    </w:p>
    <w:p>
      <w:pPr>
        <w:pStyle w:val="BodyText"/>
        <w:rPr>
          <w:sz w:val="16"/>
        </w:rPr>
      </w:pPr>
    </w:p>
    <w:p>
      <w:pPr>
        <w:pStyle w:val="BodyText"/>
        <w:spacing w:before="36"/>
        <w:rPr>
          <w:sz w:val="16"/>
        </w:rPr>
      </w:pPr>
    </w:p>
    <w:p>
      <w:pPr>
        <w:spacing w:before="0"/>
        <w:ind w:left="432" w:right="0" w:firstLine="0"/>
        <w:jc w:val="left"/>
        <w:rPr>
          <w:sz w:val="16"/>
        </w:rPr>
      </w:pPr>
      <w:r>
        <w:rPr/>
        <mc:AlternateContent>
          <mc:Choice Requires="wps">
            <w:drawing>
              <wp:anchor distT="0" distB="0" distL="0" distR="0" allowOverlap="1" layoutInCell="1" locked="0" behindDoc="1" simplePos="0" relativeHeight="487371264">
                <wp:simplePos x="0" y="0"/>
                <wp:positionH relativeFrom="page">
                  <wp:posOffset>552550</wp:posOffset>
                </wp:positionH>
                <wp:positionV relativeFrom="paragraph">
                  <wp:posOffset>-106106</wp:posOffset>
                </wp:positionV>
                <wp:extent cx="4982210" cy="31559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982210" cy="315595"/>
                        </a:xfrm>
                        <a:prstGeom prst="rect">
                          <a:avLst/>
                        </a:prstGeom>
                      </wps:spPr>
                      <wps:txbx>
                        <w:txbxContent>
                          <w:p>
                            <w:pPr>
                              <w:pStyle w:val="BodyText"/>
                              <w:spacing w:line="266" w:lineRule="exact"/>
                            </w:pPr>
                            <w:r>
                              <w:rPr/>
                              <w:t>©</w:t>
                            </w:r>
                            <w:r>
                              <w:rPr>
                                <w:spacing w:val="-7"/>
                              </w:rPr>
                              <w:t> </w:t>
                            </w:r>
                            <w:r>
                              <w:rPr/>
                              <w:t>2012</w:t>
                            </w:r>
                            <w:r>
                              <w:rPr>
                                <w:spacing w:val="-5"/>
                              </w:rPr>
                              <w:t> </w:t>
                            </w:r>
                            <w:r>
                              <w:rPr/>
                              <w:t>Andrejs</w:t>
                            </w:r>
                            <w:r>
                              <w:rPr>
                                <w:spacing w:val="-6"/>
                              </w:rPr>
                              <w:t> </w:t>
                            </w:r>
                            <w:r>
                              <w:rPr>
                                <w:sz w:val="24"/>
                              </w:rPr>
                              <w:t>č</w:t>
                            </w:r>
                            <w:r>
                              <w:rPr/>
                              <w:t>irjevskis,</w:t>
                            </w:r>
                            <w:r>
                              <w:rPr>
                                <w:spacing w:val="38"/>
                              </w:rPr>
                              <w:t> </w:t>
                            </w:r>
                            <w:r>
                              <w:rPr/>
                              <w:t>Jekaterina</w:t>
                            </w:r>
                            <w:r>
                              <w:rPr>
                                <w:spacing w:val="-6"/>
                              </w:rPr>
                              <w:t> </w:t>
                            </w:r>
                            <w:r>
                              <w:rPr/>
                              <w:t>Novikova.</w:t>
                            </w:r>
                            <w:r>
                              <w:rPr>
                                <w:spacing w:val="39"/>
                              </w:rPr>
                              <w:t> </w:t>
                            </w:r>
                            <w:r>
                              <w:rPr/>
                              <w:t>Published</w:t>
                            </w:r>
                            <w:r>
                              <w:rPr>
                                <w:spacing w:val="-4"/>
                              </w:rPr>
                              <w:t> </w:t>
                            </w:r>
                            <w:r>
                              <w:rPr/>
                              <w:t>by</w:t>
                            </w:r>
                            <w:r>
                              <w:rPr>
                                <w:spacing w:val="-9"/>
                              </w:rPr>
                              <w:t> </w:t>
                            </w:r>
                            <w:r>
                              <w:rPr/>
                              <w:t>Elsevier</w:t>
                            </w:r>
                            <w:r>
                              <w:rPr>
                                <w:spacing w:val="-7"/>
                              </w:rPr>
                              <w:t> </w:t>
                            </w:r>
                            <w:r>
                              <w:rPr>
                                <w:spacing w:val="-4"/>
                              </w:rPr>
                              <w:t>B.V.</w:t>
                            </w:r>
                          </w:p>
                          <w:p>
                            <w:pPr>
                              <w:pStyle w:val="BodyText"/>
                              <w:spacing w:before="1"/>
                            </w:pPr>
                            <w:r>
                              <w:rPr/>
                              <w:t>Selection</w:t>
                            </w:r>
                            <w:r>
                              <w:rPr>
                                <w:spacing w:val="-7"/>
                              </w:rPr>
                              <w:t> </w:t>
                            </w:r>
                            <w:r>
                              <w:rPr/>
                              <w:t>and/or</w:t>
                            </w:r>
                            <w:r>
                              <w:rPr>
                                <w:spacing w:val="-5"/>
                              </w:rPr>
                              <w:t> </w:t>
                            </w:r>
                            <w:r>
                              <w:rPr/>
                              <w:t>peer</w:t>
                            </w:r>
                            <w:r>
                              <w:rPr>
                                <w:spacing w:val="-5"/>
                              </w:rPr>
                              <w:t> </w:t>
                            </w:r>
                            <w:r>
                              <w:rPr/>
                              <w:t>review</w:t>
                            </w:r>
                            <w:r>
                              <w:rPr>
                                <w:spacing w:val="-10"/>
                              </w:rPr>
                              <w:t> </w:t>
                            </w:r>
                            <w:r>
                              <w:rPr/>
                              <w:t>under</w:t>
                            </w:r>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wps:txbx>
                      <wps:bodyPr wrap="square" lIns="0" tIns="0" rIns="0" bIns="0" rtlCol="0">
                        <a:noAutofit/>
                      </wps:bodyPr>
                    </wps:wsp>
                  </a:graphicData>
                </a:graphic>
              </wp:anchor>
            </w:drawing>
          </mc:Choice>
          <mc:Fallback>
            <w:pict>
              <v:shape style="position:absolute;margin-left:43.5079pt;margin-top:-8.35487pt;width:392.3pt;height:24.85pt;mso-position-horizontal-relative:page;mso-position-vertical-relative:paragraph;z-index:-15945216" type="#_x0000_t202" id="docshape8" filled="false" stroked="false">
                <v:textbox inset="0,0,0,0">
                  <w:txbxContent>
                    <w:p>
                      <w:pPr>
                        <w:pStyle w:val="BodyText"/>
                        <w:spacing w:line="266" w:lineRule="exact"/>
                      </w:pPr>
                      <w:r>
                        <w:rPr/>
                        <w:t>©</w:t>
                      </w:r>
                      <w:r>
                        <w:rPr>
                          <w:spacing w:val="-7"/>
                        </w:rPr>
                        <w:t> </w:t>
                      </w:r>
                      <w:r>
                        <w:rPr/>
                        <w:t>2012</w:t>
                      </w:r>
                      <w:r>
                        <w:rPr>
                          <w:spacing w:val="-5"/>
                        </w:rPr>
                        <w:t> </w:t>
                      </w:r>
                      <w:r>
                        <w:rPr/>
                        <w:t>Andrejs</w:t>
                      </w:r>
                      <w:r>
                        <w:rPr>
                          <w:spacing w:val="-6"/>
                        </w:rPr>
                        <w:t> </w:t>
                      </w:r>
                      <w:r>
                        <w:rPr>
                          <w:sz w:val="24"/>
                        </w:rPr>
                        <w:t>č</w:t>
                      </w:r>
                      <w:r>
                        <w:rPr/>
                        <w:t>irjevskis,</w:t>
                      </w:r>
                      <w:r>
                        <w:rPr>
                          <w:spacing w:val="38"/>
                        </w:rPr>
                        <w:t> </w:t>
                      </w:r>
                      <w:r>
                        <w:rPr/>
                        <w:t>Jekaterina</w:t>
                      </w:r>
                      <w:r>
                        <w:rPr>
                          <w:spacing w:val="-6"/>
                        </w:rPr>
                        <w:t> </w:t>
                      </w:r>
                      <w:r>
                        <w:rPr/>
                        <w:t>Novikova.</w:t>
                      </w:r>
                      <w:r>
                        <w:rPr>
                          <w:spacing w:val="39"/>
                        </w:rPr>
                        <w:t> </w:t>
                      </w:r>
                      <w:r>
                        <w:rPr/>
                        <w:t>Published</w:t>
                      </w:r>
                      <w:r>
                        <w:rPr>
                          <w:spacing w:val="-4"/>
                        </w:rPr>
                        <w:t> </w:t>
                      </w:r>
                      <w:r>
                        <w:rPr/>
                        <w:t>by</w:t>
                      </w:r>
                      <w:r>
                        <w:rPr>
                          <w:spacing w:val="-9"/>
                        </w:rPr>
                        <w:t> </w:t>
                      </w:r>
                      <w:r>
                        <w:rPr/>
                        <w:t>Elsevier</w:t>
                      </w:r>
                      <w:r>
                        <w:rPr>
                          <w:spacing w:val="-7"/>
                        </w:rPr>
                        <w:t> </w:t>
                      </w:r>
                      <w:r>
                        <w:rPr>
                          <w:spacing w:val="-4"/>
                        </w:rPr>
                        <w:t>B.V.</w:t>
                      </w:r>
                    </w:p>
                    <w:p>
                      <w:pPr>
                        <w:pStyle w:val="BodyText"/>
                        <w:spacing w:before="1"/>
                      </w:pPr>
                      <w:r>
                        <w:rPr/>
                        <w:t>Selection</w:t>
                      </w:r>
                      <w:r>
                        <w:rPr>
                          <w:spacing w:val="-7"/>
                        </w:rPr>
                        <w:t> </w:t>
                      </w:r>
                      <w:r>
                        <w:rPr/>
                        <w:t>and/or</w:t>
                      </w:r>
                      <w:r>
                        <w:rPr>
                          <w:spacing w:val="-5"/>
                        </w:rPr>
                        <w:t> </w:t>
                      </w:r>
                      <w:r>
                        <w:rPr/>
                        <w:t>peer</w:t>
                      </w:r>
                      <w:r>
                        <w:rPr>
                          <w:spacing w:val="-5"/>
                        </w:rPr>
                        <w:t> </w:t>
                      </w:r>
                      <w:r>
                        <w:rPr/>
                        <w:t>review</w:t>
                      </w:r>
                      <w:r>
                        <w:rPr>
                          <w:spacing w:val="-10"/>
                        </w:rPr>
                        <w:t> </w:t>
                      </w:r>
                      <w:r>
                        <w:rPr/>
                        <w:t>under</w:t>
                      </w:r>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v:textbox>
                <w10:wrap type="none"/>
              </v:shape>
            </w:pict>
          </mc:Fallback>
        </mc:AlternateContent>
      </w: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p>
      <w:pPr>
        <w:spacing w:before="46"/>
        <w:ind w:left="439"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1"/>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pacing w:val="-2"/>
            <w:sz w:val="16"/>
          </w:rPr>
          <w:t>license.</w:t>
        </w:r>
      </w:hyperlink>
    </w:p>
    <w:p>
      <w:pPr>
        <w:spacing w:before="165"/>
        <w:ind w:left="430" w:right="0" w:firstLine="0"/>
        <w:jc w:val="left"/>
        <w:rPr>
          <w:sz w:val="16"/>
        </w:rPr>
      </w:pPr>
      <w:r>
        <w:rPr>
          <w:i/>
          <w:sz w:val="16"/>
        </w:rPr>
        <w:t>Keywords:</w:t>
      </w:r>
      <w:r>
        <w:rPr>
          <w:i/>
          <w:spacing w:val="-9"/>
          <w:sz w:val="16"/>
        </w:rPr>
        <w:t> </w:t>
      </w:r>
      <w:r>
        <w:rPr>
          <w:sz w:val="16"/>
        </w:rPr>
        <w:t>Green</w:t>
      </w:r>
      <w:r>
        <w:rPr>
          <w:spacing w:val="-6"/>
          <w:sz w:val="16"/>
        </w:rPr>
        <w:t> </w:t>
      </w:r>
      <w:r>
        <w:rPr>
          <w:sz w:val="16"/>
        </w:rPr>
        <w:t>energy</w:t>
      </w:r>
      <w:r>
        <w:rPr>
          <w:spacing w:val="-10"/>
          <w:sz w:val="16"/>
        </w:rPr>
        <w:t> </w:t>
      </w:r>
      <w:r>
        <w:rPr>
          <w:sz w:val="16"/>
        </w:rPr>
        <w:t>business,</w:t>
      </w:r>
      <w:r>
        <w:rPr>
          <w:spacing w:val="-8"/>
          <w:sz w:val="16"/>
        </w:rPr>
        <w:t> </w:t>
      </w:r>
      <w:r>
        <w:rPr>
          <w:sz w:val="16"/>
        </w:rPr>
        <w:t>Suitability,</w:t>
      </w:r>
      <w:r>
        <w:rPr>
          <w:spacing w:val="-6"/>
          <w:sz w:val="16"/>
        </w:rPr>
        <w:t> </w:t>
      </w:r>
      <w:r>
        <w:rPr>
          <w:sz w:val="16"/>
        </w:rPr>
        <w:t>Feasibility,</w:t>
      </w:r>
      <w:r>
        <w:rPr>
          <w:spacing w:val="-6"/>
          <w:sz w:val="16"/>
        </w:rPr>
        <w:t> </w:t>
      </w:r>
      <w:r>
        <w:rPr>
          <w:sz w:val="16"/>
        </w:rPr>
        <w:t>Acceptability,</w:t>
      </w:r>
      <w:r>
        <w:rPr>
          <w:spacing w:val="-6"/>
          <w:sz w:val="16"/>
        </w:rPr>
        <w:t> </w:t>
      </w:r>
      <w:r>
        <w:rPr>
          <w:sz w:val="16"/>
        </w:rPr>
        <w:t>Equivalent</w:t>
      </w:r>
      <w:r>
        <w:rPr>
          <w:spacing w:val="-9"/>
          <w:sz w:val="16"/>
        </w:rPr>
        <w:t> </w:t>
      </w:r>
      <w:r>
        <w:rPr>
          <w:sz w:val="16"/>
        </w:rPr>
        <w:t>annual</w:t>
      </w:r>
      <w:r>
        <w:rPr>
          <w:spacing w:val="-9"/>
          <w:sz w:val="16"/>
        </w:rPr>
        <w:t> </w:t>
      </w:r>
      <w:r>
        <w:rPr>
          <w:spacing w:val="-2"/>
          <w:sz w:val="16"/>
        </w:rPr>
        <w:t>annuity</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54"/>
        <w:rPr>
          <w:sz w:val="16"/>
        </w:rPr>
      </w:pPr>
    </w:p>
    <w:p>
      <w:pPr>
        <w:spacing w:before="0"/>
        <w:ind w:left="670" w:right="0" w:firstLine="0"/>
        <w:jc w:val="left"/>
        <w:rPr>
          <w:sz w:val="16"/>
        </w:rPr>
      </w:pPr>
      <w:r>
        <w:rPr>
          <w:sz w:val="16"/>
        </w:rPr>
        <w:t>*</w:t>
      </w:r>
      <w:r>
        <w:rPr>
          <w:spacing w:val="-7"/>
          <w:sz w:val="16"/>
        </w:rPr>
        <w:t> </w:t>
      </w:r>
      <w:r>
        <w:rPr>
          <w:sz w:val="16"/>
        </w:rPr>
        <w:t>Corresponding</w:t>
      </w:r>
      <w:r>
        <w:rPr>
          <w:spacing w:val="-6"/>
          <w:sz w:val="16"/>
        </w:rPr>
        <w:t> </w:t>
      </w:r>
      <w:r>
        <w:rPr>
          <w:sz w:val="16"/>
        </w:rPr>
        <w:t>author.</w:t>
      </w:r>
      <w:r>
        <w:rPr>
          <w:spacing w:val="-4"/>
          <w:sz w:val="16"/>
        </w:rPr>
        <w:t> </w:t>
      </w:r>
      <w:r>
        <w:rPr>
          <w:sz w:val="16"/>
        </w:rPr>
        <w:t>Tel.:</w:t>
      </w:r>
      <w:r>
        <w:rPr>
          <w:spacing w:val="-7"/>
          <w:sz w:val="16"/>
        </w:rPr>
        <w:t> </w:t>
      </w:r>
      <w:r>
        <w:rPr>
          <w:sz w:val="16"/>
        </w:rPr>
        <w:t>+371-</w:t>
      </w:r>
      <w:r>
        <w:rPr>
          <w:spacing w:val="-8"/>
          <w:sz w:val="16"/>
        </w:rPr>
        <w:t> </w:t>
      </w:r>
      <w:r>
        <w:rPr>
          <w:sz w:val="16"/>
        </w:rPr>
        <w:t>295-583-75;</w:t>
      </w:r>
      <w:r>
        <w:rPr>
          <w:spacing w:val="-4"/>
          <w:sz w:val="16"/>
        </w:rPr>
        <w:t> </w:t>
      </w:r>
      <w:r>
        <w:rPr>
          <w:sz w:val="16"/>
        </w:rPr>
        <w:t>fax:</w:t>
      </w:r>
      <w:r>
        <w:rPr>
          <w:spacing w:val="-6"/>
          <w:sz w:val="16"/>
        </w:rPr>
        <w:t> </w:t>
      </w:r>
      <w:r>
        <w:rPr>
          <w:sz w:val="16"/>
        </w:rPr>
        <w:t>+371-675-002-</w:t>
      </w:r>
      <w:r>
        <w:rPr>
          <w:spacing w:val="-5"/>
          <w:sz w:val="16"/>
        </w:rPr>
        <w:t>56.</w:t>
      </w:r>
    </w:p>
    <w:p>
      <w:pPr>
        <w:spacing w:before="16"/>
        <w:ind w:left="670" w:right="0" w:firstLine="0"/>
        <w:jc w:val="left"/>
        <w:rPr>
          <w:sz w:val="16"/>
        </w:rPr>
      </w:pPr>
      <w:r>
        <w:rPr>
          <w:i/>
          <w:sz w:val="16"/>
        </w:rPr>
        <w:t>E-mail</w:t>
      </w:r>
      <w:r>
        <w:rPr>
          <w:i/>
          <w:spacing w:val="-6"/>
          <w:sz w:val="16"/>
        </w:rPr>
        <w:t> </w:t>
      </w:r>
      <w:r>
        <w:rPr>
          <w:i/>
          <w:sz w:val="16"/>
        </w:rPr>
        <w:t>address:</w:t>
      </w:r>
      <w:r>
        <w:rPr>
          <w:i/>
          <w:spacing w:val="-5"/>
          <w:sz w:val="16"/>
        </w:rPr>
        <w:t> </w:t>
      </w:r>
      <w:hyperlink r:id="rId11">
        <w:r>
          <w:rPr>
            <w:spacing w:val="-2"/>
            <w:sz w:val="16"/>
          </w:rPr>
          <w:t>andrejs.cirjevskis@riseba.lv</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
        <w:rPr>
          <w:sz w:val="16"/>
        </w:rPr>
      </w:pPr>
    </w:p>
    <w:p>
      <w:pPr>
        <w:spacing w:before="1"/>
        <w:ind w:left="131" w:right="0" w:firstLine="0"/>
        <w:jc w:val="left"/>
        <w:rPr>
          <w:sz w:val="16"/>
        </w:rPr>
      </w:pPr>
      <w:r>
        <w:rPr>
          <w:color w:val="231F20"/>
          <w:sz w:val="16"/>
        </w:rPr>
        <w:t>2212-6716</w:t>
      </w:r>
      <w:r>
        <w:rPr>
          <w:color w:val="231F20"/>
          <w:spacing w:val="-10"/>
          <w:sz w:val="16"/>
        </w:rPr>
        <w:t> </w:t>
      </w:r>
      <w:r>
        <w:rPr>
          <w:color w:val="231F20"/>
          <w:sz w:val="16"/>
        </w:rPr>
        <w:t>©</w:t>
      </w:r>
      <w:r>
        <w:rPr>
          <w:color w:val="231F20"/>
          <w:spacing w:val="-7"/>
          <w:sz w:val="16"/>
        </w:rPr>
        <w:t> </w:t>
      </w:r>
      <w:r>
        <w:rPr>
          <w:color w:val="231F20"/>
          <w:sz w:val="16"/>
        </w:rPr>
        <w:t>2012</w:t>
      </w:r>
      <w:r>
        <w:rPr>
          <w:color w:val="231F20"/>
          <w:spacing w:val="-7"/>
          <w:sz w:val="16"/>
        </w:rPr>
        <w:t> </w:t>
      </w:r>
      <w:r>
        <w:rPr>
          <w:color w:val="231F20"/>
          <w:sz w:val="16"/>
        </w:rPr>
        <w:t>Published</w:t>
      </w:r>
      <w:r>
        <w:rPr>
          <w:color w:val="231F20"/>
          <w:spacing w:val="-8"/>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B.V.</w:t>
      </w:r>
      <w:r>
        <w:rPr>
          <w:color w:val="231F20"/>
          <w:spacing w:val="-7"/>
          <w:sz w:val="16"/>
        </w:rPr>
        <w:t> </w:t>
      </w:r>
      <w:r>
        <w:rPr>
          <w:color w:val="231F20"/>
          <w:sz w:val="16"/>
        </w:rPr>
        <w:t>Selection</w:t>
      </w:r>
      <w:r>
        <w:rPr>
          <w:color w:val="231F20"/>
          <w:spacing w:val="-8"/>
          <w:sz w:val="16"/>
        </w:rPr>
        <w:t> </w:t>
      </w:r>
      <w:r>
        <w:rPr>
          <w:color w:val="231F20"/>
          <w:sz w:val="16"/>
        </w:rPr>
        <w:t>and/or</w:t>
      </w:r>
      <w:r>
        <w:rPr>
          <w:color w:val="231F20"/>
          <w:spacing w:val="-7"/>
          <w:sz w:val="16"/>
        </w:rPr>
        <w:t> </w:t>
      </w:r>
      <w:r>
        <w:rPr>
          <w:color w:val="231F20"/>
          <w:sz w:val="16"/>
        </w:rPr>
        <w:t>peer</w:t>
      </w:r>
      <w:r>
        <w:rPr>
          <w:color w:val="231F20"/>
          <w:spacing w:val="-7"/>
          <w:sz w:val="16"/>
        </w:rPr>
        <w:t> </w:t>
      </w:r>
      <w:r>
        <w:rPr>
          <w:color w:val="231F20"/>
          <w:sz w:val="16"/>
        </w:rPr>
        <w:t>review</w:t>
      </w:r>
      <w:r>
        <w:rPr>
          <w:color w:val="231F20"/>
          <w:spacing w:val="-8"/>
          <w:sz w:val="16"/>
        </w:rPr>
        <w:t> </w:t>
      </w:r>
      <w:r>
        <w:rPr>
          <w:color w:val="231F20"/>
          <w:sz w:val="16"/>
        </w:rPr>
        <w:t>under</w:t>
      </w:r>
      <w:r>
        <w:rPr>
          <w:color w:val="231F20"/>
          <w:spacing w:val="-7"/>
          <w:sz w:val="16"/>
        </w:rPr>
        <w:t> </w:t>
      </w:r>
      <w:r>
        <w:rPr>
          <w:color w:val="231F20"/>
          <w:sz w:val="16"/>
        </w:rPr>
        <w:t>responsibility</w:t>
      </w:r>
      <w:r>
        <w:rPr>
          <w:color w:val="231F20"/>
          <w:spacing w:val="-7"/>
          <w:sz w:val="16"/>
        </w:rPr>
        <w:t> </w:t>
      </w:r>
      <w:r>
        <w:rPr>
          <w:color w:val="231F20"/>
          <w:sz w:val="16"/>
        </w:rPr>
        <w:t>of</w:t>
      </w:r>
      <w:r>
        <w:rPr>
          <w:color w:val="231F20"/>
          <w:spacing w:val="-7"/>
          <w:sz w:val="16"/>
        </w:rPr>
        <w:t> </w:t>
      </w:r>
      <w:r>
        <w:rPr>
          <w:color w:val="231F20"/>
          <w:sz w:val="16"/>
        </w:rPr>
        <w:t>American</w:t>
      </w:r>
      <w:r>
        <w:rPr>
          <w:color w:val="231F20"/>
          <w:spacing w:val="-8"/>
          <w:sz w:val="16"/>
        </w:rPr>
        <w:t> </w:t>
      </w:r>
      <w:r>
        <w:rPr>
          <w:color w:val="231F20"/>
          <w:sz w:val="16"/>
        </w:rPr>
        <w:t>Applied</w:t>
      </w:r>
      <w:r>
        <w:rPr>
          <w:color w:val="231F20"/>
          <w:spacing w:val="-7"/>
          <w:sz w:val="16"/>
        </w:rPr>
        <w:t> </w:t>
      </w:r>
      <w:r>
        <w:rPr>
          <w:color w:val="231F20"/>
          <w:sz w:val="16"/>
        </w:rPr>
        <w:t>Science</w:t>
      </w:r>
      <w:r>
        <w:rPr>
          <w:color w:val="231F20"/>
          <w:spacing w:val="-7"/>
          <w:sz w:val="16"/>
        </w:rPr>
        <w:t> </w:t>
      </w:r>
      <w:r>
        <w:rPr>
          <w:color w:val="231F20"/>
          <w:sz w:val="16"/>
        </w:rPr>
        <w:t>Research</w:t>
      </w:r>
      <w:r>
        <w:rPr>
          <w:color w:val="231F20"/>
          <w:spacing w:val="-7"/>
          <w:sz w:val="16"/>
        </w:rPr>
        <w:t> </w:t>
      </w:r>
      <w:r>
        <w:rPr>
          <w:color w:val="231F20"/>
          <w:spacing w:val="-2"/>
          <w:sz w:val="16"/>
        </w:rPr>
        <w:t>Institute</w:t>
      </w:r>
    </w:p>
    <w:p>
      <w:pPr>
        <w:spacing w:before="16"/>
        <w:ind w:left="104"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3"/>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z w:val="16"/>
          </w:rPr>
          <w:t>license.</w:t>
        </w:r>
      </w:hyperlink>
      <w:r>
        <w:rPr>
          <w:color w:val="0000FF"/>
          <w:spacing w:val="12"/>
          <w:sz w:val="16"/>
        </w:rPr>
        <w:t> </w:t>
      </w:r>
      <w:r>
        <w:rPr>
          <w:color w:val="231F20"/>
          <w:spacing w:val="-2"/>
          <w:sz w:val="16"/>
        </w:rPr>
        <w:t>doi:10.1016/j.aasri.2012.09.012</w:t>
      </w:r>
    </w:p>
    <w:p>
      <w:pPr>
        <w:spacing w:after="0"/>
        <w:jc w:val="left"/>
        <w:rPr>
          <w:sz w:val="16"/>
        </w:rPr>
        <w:sectPr>
          <w:type w:val="continuous"/>
          <w:pgSz w:w="10890" w:h="14860"/>
          <w:pgMar w:header="0" w:footer="0" w:top="780" w:bottom="280" w:left="440" w:right="940"/>
        </w:sectPr>
      </w:pPr>
    </w:p>
    <w:p>
      <w:pPr>
        <w:pStyle w:val="BodyText"/>
        <w:spacing w:before="156"/>
      </w:pPr>
    </w:p>
    <w:p>
      <w:pPr>
        <w:pStyle w:val="ListParagraph"/>
        <w:numPr>
          <w:ilvl w:val="0"/>
          <w:numId w:val="1"/>
        </w:numPr>
        <w:tabs>
          <w:tab w:pos="691" w:val="left" w:leader="none"/>
        </w:tabs>
        <w:spacing w:line="240" w:lineRule="auto" w:before="1" w:after="0"/>
        <w:ind w:left="691" w:right="0" w:hanging="205"/>
        <w:jc w:val="left"/>
        <w:rPr>
          <w:sz w:val="20"/>
        </w:rPr>
      </w:pPr>
      <w:r>
        <w:rPr>
          <w:spacing w:val="-2"/>
          <w:w w:val="110"/>
          <w:sz w:val="20"/>
        </w:rPr>
        <w:t>Introduction</w:t>
      </w:r>
    </w:p>
    <w:p>
      <w:pPr>
        <w:pStyle w:val="BodyText"/>
        <w:spacing w:before="10"/>
      </w:pPr>
    </w:p>
    <w:p>
      <w:pPr>
        <w:pStyle w:val="BodyText"/>
        <w:ind w:left="486" w:right="168" w:firstLine="283"/>
        <w:jc w:val="both"/>
      </w:pPr>
      <w:r>
        <w:rPr/>
        <w:t>As it was stated by Craddock, 2008 renewable energy is the fastest growing source of energy on this</w:t>
      </w:r>
      <w:r>
        <w:rPr>
          <w:spacing w:val="80"/>
        </w:rPr>
        <w:t> </w:t>
      </w:r>
      <w:r>
        <w:rPr/>
        <w:t>planet and, therefore, the greatest source for profitable business. Although green energy considered being environmentally</w:t>
      </w:r>
      <w:r>
        <w:rPr>
          <w:spacing w:val="-1"/>
        </w:rPr>
        <w:t> </w:t>
      </w:r>
      <w:r>
        <w:rPr/>
        <w:t>friendly</w:t>
      </w:r>
      <w:r>
        <w:rPr>
          <w:spacing w:val="-1"/>
        </w:rPr>
        <w:t> </w:t>
      </w:r>
      <w:r>
        <w:rPr/>
        <w:t>and a socially</w:t>
      </w:r>
      <w:r>
        <w:rPr>
          <w:spacing w:val="-3"/>
        </w:rPr>
        <w:t> </w:t>
      </w:r>
      <w:r>
        <w:rPr/>
        <w:t>viable type of</w:t>
      </w:r>
      <w:r>
        <w:rPr>
          <w:spacing w:val="-1"/>
        </w:rPr>
        <w:t> </w:t>
      </w:r>
      <w:r>
        <w:rPr/>
        <w:t>energy,</w:t>
      </w:r>
      <w:r>
        <w:rPr>
          <w:spacing w:val="-1"/>
        </w:rPr>
        <w:t> </w:t>
      </w:r>
      <w:r>
        <w:rPr/>
        <w:t>it at the same time was</w:t>
      </w:r>
      <w:r>
        <w:rPr>
          <w:spacing w:val="-1"/>
        </w:rPr>
        <w:t> </w:t>
      </w:r>
      <w:r>
        <w:rPr/>
        <w:t>highly</w:t>
      </w:r>
      <w:r>
        <w:rPr>
          <w:spacing w:val="-3"/>
        </w:rPr>
        <w:t> </w:t>
      </w:r>
      <w:r>
        <w:rPr/>
        <w:t>costly</w:t>
      </w:r>
      <w:r>
        <w:rPr>
          <w:spacing w:val="-1"/>
        </w:rPr>
        <w:t> </w:t>
      </w:r>
      <w:r>
        <w:rPr/>
        <w:t>to produce and did not have an appropriate infrastructure. The aim of the paper is to investigate Green Energy as a type</w:t>
      </w:r>
      <w:r>
        <w:rPr>
          <w:spacing w:val="40"/>
        </w:rPr>
        <w:t> </w:t>
      </w:r>
      <w:r>
        <w:rPr/>
        <w:t>of business to make an investment choice for company “GES”. In this particular research, on the basis of calculated capital budgeting effectiveness ratio, it will be confirmed or disproved recommendation on investment in a hydropower station or in wind turbine.</w:t>
      </w:r>
    </w:p>
    <w:p>
      <w:pPr>
        <w:pStyle w:val="BodyText"/>
        <w:spacing w:before="23"/>
      </w:pPr>
    </w:p>
    <w:p>
      <w:pPr>
        <w:pStyle w:val="ListParagraph"/>
        <w:numPr>
          <w:ilvl w:val="0"/>
          <w:numId w:val="1"/>
        </w:numPr>
        <w:tabs>
          <w:tab w:pos="691" w:val="left" w:leader="none"/>
        </w:tabs>
        <w:spacing w:line="240" w:lineRule="auto" w:before="0" w:after="0"/>
        <w:ind w:left="691" w:right="0" w:hanging="205"/>
        <w:jc w:val="left"/>
        <w:rPr>
          <w:sz w:val="20"/>
        </w:rPr>
      </w:pPr>
      <w:r>
        <w:rPr>
          <w:w w:val="110"/>
          <w:sz w:val="20"/>
        </w:rPr>
        <w:t>Literature</w:t>
      </w:r>
      <w:r>
        <w:rPr>
          <w:spacing w:val="8"/>
          <w:w w:val="110"/>
          <w:sz w:val="20"/>
        </w:rPr>
        <w:t> </w:t>
      </w:r>
      <w:r>
        <w:rPr>
          <w:spacing w:val="-2"/>
          <w:w w:val="110"/>
          <w:sz w:val="20"/>
        </w:rPr>
        <w:t>review</w:t>
      </w:r>
    </w:p>
    <w:p>
      <w:pPr>
        <w:pStyle w:val="BodyText"/>
        <w:spacing w:before="20"/>
      </w:pPr>
    </w:p>
    <w:p>
      <w:pPr>
        <w:pStyle w:val="BodyText"/>
        <w:spacing w:line="249" w:lineRule="auto"/>
        <w:ind w:left="486" w:right="123" w:firstLine="434"/>
        <w:jc w:val="both"/>
      </w:pPr>
      <w:r>
        <w:rPr/>
        <w:t>Child, 1972 was one of the major authors that begun to discuss the subject of strategic choice. He</w:t>
      </w:r>
      <w:r>
        <w:rPr>
          <w:spacing w:val="40"/>
        </w:rPr>
        <w:t> </w:t>
      </w:r>
      <w:r>
        <w:rPr/>
        <w:t>claimed that concept of strategic choice initially originated from the perception that the company's direction was defined by its operational strengths and opportunities. Johnson et al., 2011 have similar approach to strategic choice. They, in fact, were the major contributors on the strategy choice viability by applying clear model SFA by Johnson et al., 2011 of examining strategic opportunity through three assessment criteria: suitability, feasibility and acceptability. They stated that suitability, being the first criterion, is related with the company's strategic position and whether the company's strategic choice actually matches the external environment and company resources and capabilities. Feasibility is concerned with assessing the company's internal capabilities in terms of financial resources. Finally, as mentioned above, acceptability relates to </w:t>
      </w:r>
      <w:r>
        <w:rPr>
          <w:color w:val="363636"/>
        </w:rPr>
        <w:t>evaluates whether the chosen strategies are able to meet stakeholders' expectations in aspects of level or risks and returns and whether the expected outcomes acceptable and to whom? </w:t>
      </w:r>
      <w:r>
        <w:rPr/>
        <w:t>Johnson et al, 2011 state that since suitability considers the company's strategic position with regard to the external environment is, therefore, the rationale behind the strategy. Quantitative Strategic Planning Matrix (QSPM) by David, 2011 is a strategic management tool that allows strategists to evaluate alternative strategies objectively, based on previous identified external and internal critical success factors. In order to test feasibility it is needed to examine whether the company has the financial resources to incorporate the strategic choice. Net Present value (NPV)</w:t>
      </w:r>
      <w:r>
        <w:rPr>
          <w:spacing w:val="40"/>
        </w:rPr>
        <w:t> </w:t>
      </w:r>
      <w:r>
        <w:rPr/>
        <w:t>is a financial tool that evaluates the feasibility of a project. The discount rate of the project can be calculated using the Cost of Capital of the company. Internal Rate of Return (IRR) is also known as the discounted rate</w:t>
      </w:r>
      <w:r>
        <w:rPr>
          <w:spacing w:val="80"/>
        </w:rPr>
        <w:t> </w:t>
      </w:r>
      <w:r>
        <w:rPr/>
        <w:t>of return and</w:t>
      </w:r>
      <w:r>
        <w:rPr>
          <w:spacing w:val="40"/>
        </w:rPr>
        <w:t> </w:t>
      </w:r>
      <w:r>
        <w:rPr/>
        <w:t>generates an NPV that</w:t>
      </w:r>
      <w:r>
        <w:rPr>
          <w:spacing w:val="40"/>
        </w:rPr>
        <w:t> </w:t>
      </w:r>
      <w:r>
        <w:rPr/>
        <w:t>equals zero</w:t>
      </w:r>
      <w:r>
        <w:rPr>
          <w:spacing w:val="40"/>
        </w:rPr>
        <w:t> </w:t>
      </w:r>
      <w:r>
        <w:rPr/>
        <w:t>in order generate the</w:t>
      </w:r>
      <w:r>
        <w:rPr>
          <w:spacing w:val="40"/>
        </w:rPr>
        <w:t> </w:t>
      </w:r>
      <w:r>
        <w:rPr/>
        <w:t>project's rate of return. Modified Internal Rate of Return</w:t>
      </w:r>
      <w:r>
        <w:rPr>
          <w:spacing w:val="-1"/>
        </w:rPr>
        <w:t> </w:t>
      </w:r>
      <w:r>
        <w:rPr/>
        <w:t>(MIRR) is</w:t>
      </w:r>
      <w:r>
        <w:rPr>
          <w:spacing w:val="-1"/>
        </w:rPr>
        <w:t> </w:t>
      </w:r>
      <w:r>
        <w:rPr/>
        <w:t>a more complicated version</w:t>
      </w:r>
      <w:r>
        <w:rPr>
          <w:spacing w:val="-1"/>
        </w:rPr>
        <w:t> </w:t>
      </w:r>
      <w:r>
        <w:rPr/>
        <w:t>of</w:t>
      </w:r>
      <w:r>
        <w:rPr>
          <w:spacing w:val="-2"/>
        </w:rPr>
        <w:t> </w:t>
      </w:r>
      <w:r>
        <w:rPr/>
        <w:t>IRR as it overcomes some of its weaknesses. Payback period </w:t>
      </w:r>
      <w:r>
        <w:rPr>
          <w:color w:val="212121"/>
        </w:rPr>
        <w:t>refers to the time required to recover the initial investment or the initial cash</w:t>
      </w:r>
      <w:r>
        <w:rPr>
          <w:color w:val="212121"/>
          <w:spacing w:val="-1"/>
        </w:rPr>
        <w:t> </w:t>
      </w:r>
      <w:r>
        <w:rPr>
          <w:color w:val="212121"/>
        </w:rPr>
        <w:t>outlay</w:t>
      </w:r>
      <w:r>
        <w:rPr>
          <w:rFonts w:ascii="Arial" w:hAnsi="Arial"/>
          <w:color w:val="212121"/>
          <w:sz w:val="15"/>
        </w:rPr>
        <w:t>. </w:t>
      </w:r>
      <w:r>
        <w:rPr/>
        <w:t>One more technique using in capital budgeting is the Equivalent Annual Annuity (EAA)</w:t>
      </w:r>
      <w:r>
        <w:rPr>
          <w:i/>
        </w:rPr>
        <w:t>, </w:t>
      </w:r>
      <w:r>
        <w:rPr/>
        <w:t>which is applied to assess the projects with different lengths period by Keown et al., 2005. The project's yearly annuity can be compared between projects, and the project with the higher one should be chosen. According to Johnson et al., 2008 an acceptability “is concerned with the expected performance outcomes of a strategy and the extent to which</w:t>
      </w:r>
      <w:r>
        <w:rPr>
          <w:spacing w:val="40"/>
        </w:rPr>
        <w:t> </w:t>
      </w:r>
      <w:r>
        <w:rPr/>
        <w:t>these meet the expectation of stakeholders.” When examining the final part of selecting a strategy it is necessary to consider the stakeholders' reaction to each strategic choice. The matrix developed by Mendelow</w:t>
      </w:r>
      <w:r>
        <w:rPr>
          <w:spacing w:val="40"/>
        </w:rPr>
        <w:t> </w:t>
      </w:r>
      <w:r>
        <w:rPr/>
        <w:t>in 1991 defines how the stakeholders can impact the company or be impacted by it, and also determines the attitude of the stakeholders towards the company as well as it objectives.</w:t>
      </w:r>
    </w:p>
    <w:p>
      <w:pPr>
        <w:pStyle w:val="BodyText"/>
        <w:spacing w:before="34"/>
      </w:pPr>
    </w:p>
    <w:p>
      <w:pPr>
        <w:pStyle w:val="ListParagraph"/>
        <w:numPr>
          <w:ilvl w:val="0"/>
          <w:numId w:val="1"/>
        </w:numPr>
        <w:tabs>
          <w:tab w:pos="691" w:val="left" w:leader="none"/>
        </w:tabs>
        <w:spacing w:line="240" w:lineRule="auto" w:before="0" w:after="0"/>
        <w:ind w:left="691" w:right="0" w:hanging="205"/>
        <w:jc w:val="left"/>
        <w:rPr>
          <w:sz w:val="20"/>
        </w:rPr>
      </w:pPr>
      <w:r>
        <w:rPr>
          <w:w w:val="105"/>
          <w:sz w:val="20"/>
        </w:rPr>
        <w:t>Theoretical</w:t>
      </w:r>
      <w:r>
        <w:rPr>
          <w:spacing w:val="1"/>
          <w:w w:val="110"/>
          <w:sz w:val="20"/>
        </w:rPr>
        <w:t> </w:t>
      </w:r>
      <w:r>
        <w:rPr>
          <w:spacing w:val="-2"/>
          <w:w w:val="110"/>
          <w:sz w:val="20"/>
        </w:rPr>
        <w:t>Framework</w:t>
      </w:r>
    </w:p>
    <w:p>
      <w:pPr>
        <w:pStyle w:val="BodyText"/>
        <w:spacing w:before="8"/>
      </w:pPr>
    </w:p>
    <w:p>
      <w:pPr>
        <w:pStyle w:val="BodyText"/>
        <w:ind w:left="486" w:right="168" w:firstLine="283"/>
        <w:jc w:val="both"/>
      </w:pPr>
      <w:r>
        <w:rPr/>
        <w:t>The main goal of this paper is to investigate commercially viability of strategic choices that are available for company “GES” operating in the Green Energy. Therefore, commercially viable strategic choice may be used</w:t>
      </w:r>
      <w:r>
        <w:rPr>
          <w:spacing w:val="15"/>
        </w:rPr>
        <w:t> </w:t>
      </w:r>
      <w:r>
        <w:rPr/>
        <w:t>as</w:t>
      </w:r>
      <w:r>
        <w:rPr>
          <w:spacing w:val="14"/>
        </w:rPr>
        <w:t> </w:t>
      </w:r>
      <w:r>
        <w:rPr/>
        <w:t>a</w:t>
      </w:r>
      <w:r>
        <w:rPr>
          <w:spacing w:val="15"/>
        </w:rPr>
        <w:t> </w:t>
      </w:r>
      <w:r>
        <w:rPr/>
        <w:t>dependant</w:t>
      </w:r>
      <w:r>
        <w:rPr>
          <w:spacing w:val="15"/>
        </w:rPr>
        <w:t> </w:t>
      </w:r>
      <w:r>
        <w:rPr/>
        <w:t>variable</w:t>
      </w:r>
      <w:r>
        <w:rPr>
          <w:spacing w:val="18"/>
        </w:rPr>
        <w:t> </w:t>
      </w:r>
      <w:r>
        <w:rPr/>
        <w:t>in</w:t>
      </w:r>
      <w:r>
        <w:rPr>
          <w:spacing w:val="14"/>
        </w:rPr>
        <w:t> </w:t>
      </w:r>
      <w:r>
        <w:rPr/>
        <w:t>this</w:t>
      </w:r>
      <w:r>
        <w:rPr>
          <w:spacing w:val="16"/>
        </w:rPr>
        <w:t> </w:t>
      </w:r>
      <w:r>
        <w:rPr/>
        <w:t>study.</w:t>
      </w:r>
      <w:r>
        <w:rPr>
          <w:spacing w:val="15"/>
        </w:rPr>
        <w:t> </w:t>
      </w:r>
      <w:r>
        <w:rPr/>
        <w:t>The</w:t>
      </w:r>
      <w:r>
        <w:rPr>
          <w:spacing w:val="15"/>
        </w:rPr>
        <w:t> </w:t>
      </w:r>
      <w:r>
        <w:rPr/>
        <w:t>above</w:t>
      </w:r>
      <w:r>
        <w:rPr>
          <w:spacing w:val="15"/>
        </w:rPr>
        <w:t> </w:t>
      </w:r>
      <w:r>
        <w:rPr/>
        <w:t>stated</w:t>
      </w:r>
      <w:r>
        <w:rPr>
          <w:spacing w:val="16"/>
        </w:rPr>
        <w:t> </w:t>
      </w:r>
      <w:r>
        <w:rPr/>
        <w:t>factors</w:t>
      </w:r>
      <w:r>
        <w:rPr>
          <w:spacing w:val="14"/>
        </w:rPr>
        <w:t> </w:t>
      </w:r>
      <w:r>
        <w:rPr/>
        <w:t>influencing</w:t>
      </w:r>
      <w:r>
        <w:rPr>
          <w:spacing w:val="14"/>
        </w:rPr>
        <w:t> </w:t>
      </w:r>
      <w:r>
        <w:rPr/>
        <w:t>the</w:t>
      </w:r>
      <w:r>
        <w:rPr>
          <w:spacing w:val="15"/>
        </w:rPr>
        <w:t> </w:t>
      </w:r>
      <w:r>
        <w:rPr/>
        <w:t>strategic</w:t>
      </w:r>
      <w:r>
        <w:rPr>
          <w:spacing w:val="15"/>
        </w:rPr>
        <w:t> </w:t>
      </w:r>
      <w:r>
        <w:rPr/>
        <w:t>choice</w:t>
      </w:r>
      <w:r>
        <w:rPr>
          <w:spacing w:val="17"/>
        </w:rPr>
        <w:t> </w:t>
      </w:r>
      <w:r>
        <w:rPr/>
        <w:t>may</w:t>
      </w:r>
      <w:r>
        <w:rPr>
          <w:spacing w:val="13"/>
        </w:rPr>
        <w:t> </w:t>
      </w:r>
      <w:r>
        <w:rPr/>
        <w:t>be</w:t>
      </w:r>
    </w:p>
    <w:p>
      <w:pPr>
        <w:spacing w:after="0"/>
        <w:jc w:val="both"/>
        <w:sectPr>
          <w:headerReference w:type="default" r:id="rId12"/>
          <w:headerReference w:type="even" r:id="rId13"/>
          <w:pgSz w:w="10890" w:h="14860"/>
          <w:pgMar w:header="713" w:footer="0" w:top="900" w:bottom="280" w:left="440" w:right="940"/>
          <w:pgNumType w:start="45"/>
        </w:sectPr>
      </w:pPr>
    </w:p>
    <w:p>
      <w:pPr>
        <w:pStyle w:val="BodyText"/>
        <w:spacing w:before="147"/>
      </w:pPr>
    </w:p>
    <w:p>
      <w:pPr>
        <w:pStyle w:val="BodyText"/>
        <w:ind w:left="430" w:right="224"/>
        <w:jc w:val="both"/>
      </w:pPr>
      <w:r>
        <w:rPr/>
        <w:t>grouped under three main independent variables, which influence strategic choice: suitability (environment, resources and direction); feasibility (financial advantages); acceptability (stakeholder). Once the theoretical framework has been established, it is now possible to consider the appropriate research questions that will serve as guidelines on how to achieve the aim of the research. Research Question 1: On the basis of strategic tools, what is the most suitable type of growth strategy for company “GES”? The first research question tackles the first set of independent variables that relate to the strategic position of the company and tries to identify what strategy is the most appropriate for the company to pursue. Research Question 2: What is a</w:t>
      </w:r>
      <w:r>
        <w:rPr>
          <w:spacing w:val="80"/>
        </w:rPr>
        <w:t> </w:t>
      </w:r>
      <w:r>
        <w:rPr/>
        <w:t>more feasible choice in terms of investments' effectiveness: investing in HPS or in WPS? The second</w:t>
      </w:r>
      <w:r>
        <w:rPr>
          <w:spacing w:val="80"/>
        </w:rPr>
        <w:t> </w:t>
      </w:r>
      <w:r>
        <w:rPr/>
        <w:t>research question tries to address the second group of independent variables and intends to identify what strategic choice is financially feasible for the company. Research Question 3: Which strategic choice could satisfy the stakeholders' expectations? Third research question tries to find out if the strategic option and recommendations that may be accepted by stakeholders.</w:t>
      </w:r>
    </w:p>
    <w:p>
      <w:pPr>
        <w:pStyle w:val="BodyText"/>
        <w:spacing w:before="23"/>
      </w:pPr>
    </w:p>
    <w:p>
      <w:pPr>
        <w:pStyle w:val="ListParagraph"/>
        <w:numPr>
          <w:ilvl w:val="0"/>
          <w:numId w:val="1"/>
        </w:numPr>
        <w:tabs>
          <w:tab w:pos="635" w:val="left" w:leader="none"/>
        </w:tabs>
        <w:spacing w:line="240" w:lineRule="auto" w:before="0" w:after="0"/>
        <w:ind w:left="635" w:right="0" w:hanging="205"/>
        <w:jc w:val="left"/>
        <w:rPr>
          <w:sz w:val="20"/>
        </w:rPr>
      </w:pPr>
      <w:r>
        <w:rPr>
          <w:w w:val="105"/>
          <w:sz w:val="20"/>
        </w:rPr>
        <w:t>Description</w:t>
      </w:r>
      <w:r>
        <w:rPr>
          <w:spacing w:val="-11"/>
          <w:w w:val="105"/>
          <w:sz w:val="20"/>
        </w:rPr>
        <w:t> </w:t>
      </w:r>
      <w:r>
        <w:rPr>
          <w:w w:val="105"/>
          <w:sz w:val="20"/>
        </w:rPr>
        <w:t>of</w:t>
      </w:r>
      <w:r>
        <w:rPr>
          <w:spacing w:val="-9"/>
          <w:w w:val="105"/>
          <w:sz w:val="20"/>
        </w:rPr>
        <w:t> </w:t>
      </w:r>
      <w:r>
        <w:rPr>
          <w:spacing w:val="-2"/>
          <w:w w:val="105"/>
          <w:sz w:val="20"/>
        </w:rPr>
        <w:t>Investigation</w:t>
      </w:r>
    </w:p>
    <w:p>
      <w:pPr>
        <w:pStyle w:val="BodyText"/>
        <w:spacing w:before="8"/>
      </w:pPr>
    </w:p>
    <w:p>
      <w:pPr>
        <w:pStyle w:val="BodyText"/>
        <w:ind w:left="429" w:right="228"/>
        <w:jc w:val="both"/>
      </w:pPr>
      <w:r>
        <w:rPr/>
        <w:t>In this particular research, on the basis of calculated financial estimates for company “GES”, it will be confirmed or disproved investment</w:t>
      </w:r>
      <w:r>
        <w:rPr>
          <w:spacing w:val="-1"/>
        </w:rPr>
        <w:t> </w:t>
      </w:r>
      <w:r>
        <w:rPr/>
        <w:t>in</w:t>
      </w:r>
      <w:r>
        <w:rPr>
          <w:spacing w:val="-2"/>
        </w:rPr>
        <w:t> </w:t>
      </w:r>
      <w:r>
        <w:rPr/>
        <w:t>a hydropower station or in wind turbine. The degree of</w:t>
      </w:r>
      <w:r>
        <w:rPr>
          <w:spacing w:val="-2"/>
        </w:rPr>
        <w:t> </w:t>
      </w:r>
      <w:r>
        <w:rPr/>
        <w:t>the researcher is minimal, as the study will be conducted in the natural environment of the company without obstruction of the normal work flow of the company “GES”. It is called non-contrived as it is field study conducted in organization within the natural environment. The unit of analysis in this research is the company “GES”.</w:t>
      </w:r>
    </w:p>
    <w:p>
      <w:pPr>
        <w:pStyle w:val="BodyText"/>
        <w:ind w:left="429" w:right="224" w:firstLine="283"/>
        <w:jc w:val="both"/>
      </w:pPr>
      <w:r>
        <w:rPr/>
        <w:t>The data collection methods used in the research includes primary qualitative and secondary sources. Primary qualitative data is gathered from the semi-structured interviews with the company's representatives. Moreover, interview with President of Latvian Association of Wind Energy and other industry experts were performed. Secondary sources include company annual reports, articles, databases, press releases and books</w:t>
      </w:r>
      <w:r>
        <w:rPr>
          <w:spacing w:val="40"/>
        </w:rPr>
        <w:t> </w:t>
      </w:r>
      <w:r>
        <w:rPr/>
        <w:t>on strategic management and financial management. Due to several reasons company's real name is not mentioned in the paper, thus for the purpose of investigation the name Green Energy Solutions or “GES” was made-up. LLC “GES” is a privately held company engaged in the development and generation of green energy. The company mainly focuses on building, buying and operating hydropower projects with installed capacity between 100-500 KW. The company is committed to promote the growth of a clean and renewable energy sector in Latvia. The Company entered the hydropower industry</w:t>
      </w:r>
      <w:r>
        <w:rPr>
          <w:spacing w:val="-1"/>
        </w:rPr>
        <w:t> </w:t>
      </w:r>
      <w:r>
        <w:rPr/>
        <w:t>in 2009. The company acquired three hydropower stations (HPS) in various regions of the country: in Zilupe, Vecogre and Mezrozite. This experience encouraged the owners to continue their investment in the green energy sector. After two years exploring the available opportunities in the industry, company seeks to expand its presence in Latvia.</w:t>
      </w:r>
    </w:p>
    <w:p>
      <w:pPr>
        <w:pStyle w:val="BodyText"/>
        <w:spacing w:before="2"/>
        <w:ind w:left="429" w:right="226" w:firstLine="283"/>
        <w:jc w:val="both"/>
      </w:pPr>
      <w:r>
        <w:rPr/>
        <w:t>The investigation is divided into three interrelated parts according to the research questions of the study. The first step is to mach strategic choices in terms of its suitability, and that will be done by using QSPM matrix. The second part is devoted to the financial analysis, where several strategic choices are measured by means of such financial ratios as NPV, IRR, MIRR, Payback Period and EAA. Finally, while exploring acceptability the Mendelow matrix is used to examine stakeholders' reaction to the most suitable and feasible strategic choice.</w:t>
      </w:r>
    </w:p>
    <w:p>
      <w:pPr>
        <w:pStyle w:val="BodyText"/>
        <w:spacing w:before="22"/>
      </w:pPr>
    </w:p>
    <w:p>
      <w:pPr>
        <w:pStyle w:val="ListParagraph"/>
        <w:numPr>
          <w:ilvl w:val="0"/>
          <w:numId w:val="1"/>
        </w:numPr>
        <w:tabs>
          <w:tab w:pos="634" w:val="left" w:leader="none"/>
        </w:tabs>
        <w:spacing w:line="240" w:lineRule="auto" w:before="0" w:after="0"/>
        <w:ind w:left="634" w:right="0" w:hanging="205"/>
        <w:jc w:val="left"/>
        <w:rPr>
          <w:sz w:val="20"/>
        </w:rPr>
      </w:pPr>
      <w:r>
        <w:rPr>
          <w:w w:val="105"/>
          <w:sz w:val="20"/>
        </w:rPr>
        <w:t>Analysis</w:t>
      </w:r>
      <w:r>
        <w:rPr>
          <w:spacing w:val="7"/>
          <w:w w:val="105"/>
          <w:sz w:val="20"/>
        </w:rPr>
        <w:t> </w:t>
      </w:r>
      <w:r>
        <w:rPr>
          <w:w w:val="105"/>
          <w:sz w:val="20"/>
        </w:rPr>
        <w:t>and</w:t>
      </w:r>
      <w:r>
        <w:rPr>
          <w:spacing w:val="10"/>
          <w:w w:val="105"/>
          <w:sz w:val="20"/>
        </w:rPr>
        <w:t> </w:t>
      </w:r>
      <w:r>
        <w:rPr>
          <w:w w:val="105"/>
          <w:sz w:val="20"/>
        </w:rPr>
        <w:t>Interpretation</w:t>
      </w:r>
      <w:r>
        <w:rPr>
          <w:spacing w:val="9"/>
          <w:w w:val="105"/>
          <w:sz w:val="20"/>
        </w:rPr>
        <w:t> </w:t>
      </w:r>
      <w:r>
        <w:rPr>
          <w:w w:val="105"/>
          <w:sz w:val="20"/>
        </w:rPr>
        <w:t>of</w:t>
      </w:r>
      <w:r>
        <w:rPr>
          <w:spacing w:val="9"/>
          <w:w w:val="105"/>
          <w:sz w:val="20"/>
        </w:rPr>
        <w:t> </w:t>
      </w:r>
      <w:r>
        <w:rPr>
          <w:spacing w:val="-2"/>
          <w:w w:val="105"/>
          <w:sz w:val="20"/>
        </w:rPr>
        <w:t>Results</w:t>
      </w:r>
    </w:p>
    <w:p>
      <w:pPr>
        <w:pStyle w:val="BodyText"/>
        <w:spacing w:before="8"/>
      </w:pPr>
    </w:p>
    <w:p>
      <w:pPr>
        <w:pStyle w:val="BodyText"/>
        <w:ind w:left="429" w:right="225" w:firstLine="283"/>
        <w:jc w:val="both"/>
      </w:pPr>
      <w:r>
        <w:rPr/>
        <w:t>To answer first research question, suitability analysis is used since it seems to provide the most detailed and comprehensive analysis for answering the question. Suitability analysis included exploration of</w:t>
      </w:r>
      <w:r>
        <w:rPr>
          <w:spacing w:val="40"/>
        </w:rPr>
        <w:t> </w:t>
      </w:r>
      <w:r>
        <w:rPr/>
        <w:t>company's</w:t>
      </w:r>
      <w:r>
        <w:rPr>
          <w:spacing w:val="-2"/>
        </w:rPr>
        <w:t> </w:t>
      </w:r>
      <w:r>
        <w:rPr/>
        <w:t>direction</w:t>
      </w:r>
      <w:r>
        <w:rPr>
          <w:spacing w:val="-2"/>
        </w:rPr>
        <w:t> </w:t>
      </w:r>
      <w:r>
        <w:rPr/>
        <w:t>of development, market</w:t>
      </w:r>
      <w:r>
        <w:rPr>
          <w:spacing w:val="-1"/>
        </w:rPr>
        <w:t> </w:t>
      </w:r>
      <w:r>
        <w:rPr/>
        <w:t>and environment. As it was discussed</w:t>
      </w:r>
      <w:r>
        <w:rPr>
          <w:spacing w:val="-1"/>
        </w:rPr>
        <w:t> </w:t>
      </w:r>
      <w:r>
        <w:rPr/>
        <w:t>before, company “GES”</w:t>
      </w:r>
      <w:r>
        <w:rPr>
          <w:spacing w:val="-1"/>
        </w:rPr>
        <w:t> </w:t>
      </w:r>
      <w:r>
        <w:rPr/>
        <w:t>is a young Latvian manufacturing company, producing electricity</w:t>
      </w:r>
      <w:r>
        <w:rPr>
          <w:spacing w:val="-2"/>
        </w:rPr>
        <w:t> </w:t>
      </w:r>
      <w:r>
        <w:rPr/>
        <w:t>through Small Scale Hydropower Stations. At the moment shareholders are interested in further sales growth operating in the “Green Energy” industry. According</w:t>
      </w:r>
      <w:r>
        <w:rPr>
          <w:spacing w:val="23"/>
        </w:rPr>
        <w:t> </w:t>
      </w:r>
      <w:r>
        <w:rPr/>
        <w:t>to</w:t>
      </w:r>
      <w:r>
        <w:rPr>
          <w:spacing w:val="26"/>
        </w:rPr>
        <w:t> </w:t>
      </w:r>
      <w:r>
        <w:rPr/>
        <w:t>Siegel</w:t>
      </w:r>
      <w:r>
        <w:rPr>
          <w:spacing w:val="24"/>
        </w:rPr>
        <w:t> </w:t>
      </w:r>
      <w:r>
        <w:rPr/>
        <w:t>et</w:t>
      </w:r>
      <w:r>
        <w:rPr>
          <w:spacing w:val="24"/>
        </w:rPr>
        <w:t> </w:t>
      </w:r>
      <w:r>
        <w:rPr/>
        <w:t>al,</w:t>
      </w:r>
      <w:r>
        <w:rPr>
          <w:spacing w:val="25"/>
        </w:rPr>
        <w:t> </w:t>
      </w:r>
      <w:r>
        <w:rPr/>
        <w:t>2008</w:t>
      </w:r>
      <w:r>
        <w:rPr>
          <w:spacing w:val="25"/>
        </w:rPr>
        <w:t> </w:t>
      </w:r>
      <w:r>
        <w:rPr/>
        <w:t>Green</w:t>
      </w:r>
      <w:r>
        <w:rPr>
          <w:spacing w:val="23"/>
        </w:rPr>
        <w:t> </w:t>
      </w:r>
      <w:r>
        <w:rPr/>
        <w:t>Energy</w:t>
      </w:r>
      <w:r>
        <w:rPr>
          <w:spacing w:val="21"/>
        </w:rPr>
        <w:t> </w:t>
      </w:r>
      <w:r>
        <w:rPr/>
        <w:t>or</w:t>
      </w:r>
      <w:r>
        <w:rPr>
          <w:spacing w:val="25"/>
        </w:rPr>
        <w:t> </w:t>
      </w:r>
      <w:r>
        <w:rPr/>
        <w:t>as</w:t>
      </w:r>
      <w:r>
        <w:rPr>
          <w:spacing w:val="23"/>
        </w:rPr>
        <w:t> </w:t>
      </w:r>
      <w:r>
        <w:rPr/>
        <w:t>it</w:t>
      </w:r>
      <w:r>
        <w:rPr>
          <w:spacing w:val="24"/>
        </w:rPr>
        <w:t> </w:t>
      </w:r>
      <w:r>
        <w:rPr/>
        <w:t>is</w:t>
      </w:r>
      <w:r>
        <w:rPr>
          <w:spacing w:val="26"/>
        </w:rPr>
        <w:t> </w:t>
      </w:r>
      <w:r>
        <w:rPr/>
        <w:t>also</w:t>
      </w:r>
      <w:r>
        <w:rPr>
          <w:spacing w:val="25"/>
        </w:rPr>
        <w:t> </w:t>
      </w:r>
      <w:r>
        <w:rPr/>
        <w:t>called</w:t>
      </w:r>
      <w:r>
        <w:rPr>
          <w:spacing w:val="26"/>
        </w:rPr>
        <w:t> </w:t>
      </w:r>
      <w:r>
        <w:rPr/>
        <w:t>renewable</w:t>
      </w:r>
      <w:r>
        <w:rPr>
          <w:spacing w:val="25"/>
        </w:rPr>
        <w:t> </w:t>
      </w:r>
      <w:r>
        <w:rPr/>
        <w:t>energy</w:t>
      </w:r>
      <w:r>
        <w:rPr>
          <w:spacing w:val="26"/>
        </w:rPr>
        <w:t> </w:t>
      </w:r>
      <w:r>
        <w:rPr/>
        <w:t>is</w:t>
      </w:r>
      <w:r>
        <w:rPr>
          <w:spacing w:val="24"/>
        </w:rPr>
        <w:t> </w:t>
      </w:r>
      <w:r>
        <w:rPr/>
        <w:t>energy,</w:t>
      </w:r>
      <w:r>
        <w:rPr>
          <w:spacing w:val="27"/>
        </w:rPr>
        <w:t> </w:t>
      </w:r>
      <w:r>
        <w:rPr/>
        <w:t>which</w:t>
      </w:r>
      <w:r>
        <w:rPr>
          <w:spacing w:val="23"/>
        </w:rPr>
        <w:t> </w:t>
      </w:r>
      <w:r>
        <w:rPr/>
        <w:t>is</w:t>
      </w:r>
    </w:p>
    <w:p>
      <w:pPr>
        <w:spacing w:after="0"/>
        <w:jc w:val="both"/>
        <w:sectPr>
          <w:pgSz w:w="10890" w:h="14860"/>
          <w:pgMar w:header="713" w:footer="0" w:top="900" w:bottom="280" w:left="440" w:right="940"/>
        </w:sectPr>
      </w:pPr>
    </w:p>
    <w:p>
      <w:pPr>
        <w:pStyle w:val="BodyText"/>
        <w:spacing w:before="147"/>
      </w:pPr>
    </w:p>
    <w:p>
      <w:pPr>
        <w:pStyle w:val="BodyText"/>
        <w:ind w:left="486" w:right="166"/>
        <w:jc w:val="both"/>
      </w:pPr>
      <w:r>
        <w:rPr/>
        <w:t>basically</w:t>
      </w:r>
      <w:r>
        <w:rPr>
          <w:spacing w:val="-4"/>
        </w:rPr>
        <w:t> </w:t>
      </w:r>
      <w:r>
        <w:rPr/>
        <w:t>produced from</w:t>
      </w:r>
      <w:r>
        <w:rPr>
          <w:spacing w:val="-4"/>
        </w:rPr>
        <w:t> </w:t>
      </w:r>
      <w:r>
        <w:rPr/>
        <w:t>sustainable resources</w:t>
      </w:r>
      <w:r>
        <w:rPr>
          <w:spacing w:val="-2"/>
        </w:rPr>
        <w:t> </w:t>
      </w:r>
      <w:r>
        <w:rPr/>
        <w:t>that are constantly</w:t>
      </w:r>
      <w:r>
        <w:rPr>
          <w:spacing w:val="-4"/>
        </w:rPr>
        <w:t> </w:t>
      </w:r>
      <w:r>
        <w:rPr/>
        <w:t>replenished. Schaeffer and Pratt, 2005</w:t>
      </w:r>
      <w:r>
        <w:rPr>
          <w:spacing w:val="-2"/>
        </w:rPr>
        <w:t> </w:t>
      </w:r>
      <w:r>
        <w:rPr/>
        <w:t>stated that “Big three” commonly available sources of renewable energy at a reasonable price are: sunlight, wind,</w:t>
      </w:r>
      <w:r>
        <w:rPr>
          <w:spacing w:val="40"/>
        </w:rPr>
        <w:t> </w:t>
      </w:r>
      <w:r>
        <w:rPr/>
        <w:t>and falling water. A great deal of the world enlarge in renewable electricity supply is stimulated by hydropower and wind power according to US Energy</w:t>
      </w:r>
      <w:r>
        <w:rPr>
          <w:spacing w:val="-1"/>
        </w:rPr>
        <w:t> </w:t>
      </w:r>
      <w:r>
        <w:rPr/>
        <w:t>Information administration, 2010.</w:t>
      </w:r>
      <w:r>
        <w:rPr>
          <w:spacing w:val="-1"/>
        </w:rPr>
        <w:t> </w:t>
      </w:r>
      <w:r>
        <w:rPr/>
        <w:t>World Bank, 2010 in its latest report stated that hydropower accounts for 16 percent of global power and considered to be the principal renewable source globally. Considering Latvia, according to Latvian Energy Policy, 2009 hydropower in Latvia is already the biggest supplier to electricity production and still has unexploited potential. In relations to wind power, it is power generated by wind turbines, which “consists of a pole of tower,</w:t>
      </w:r>
      <w:r>
        <w:rPr>
          <w:spacing w:val="-1"/>
        </w:rPr>
        <w:t> </w:t>
      </w:r>
      <w:r>
        <w:rPr/>
        <w:t>blades,</w:t>
      </w:r>
      <w:r>
        <w:rPr>
          <w:spacing w:val="-1"/>
        </w:rPr>
        <w:t> </w:t>
      </w:r>
      <w:r>
        <w:rPr/>
        <w:t>and a</w:t>
      </w:r>
      <w:r>
        <w:rPr>
          <w:spacing w:val="-1"/>
        </w:rPr>
        <w:t> </w:t>
      </w:r>
      <w:r>
        <w:rPr/>
        <w:t>special</w:t>
      </w:r>
      <w:r>
        <w:rPr>
          <w:spacing w:val="-1"/>
        </w:rPr>
        <w:t> </w:t>
      </w:r>
      <w:r>
        <w:rPr/>
        <w:t>box</w:t>
      </w:r>
      <w:r>
        <w:rPr>
          <w:spacing w:val="-2"/>
        </w:rPr>
        <w:t> </w:t>
      </w:r>
      <w:r>
        <w:rPr/>
        <w:t>called</w:t>
      </w:r>
      <w:r>
        <w:rPr>
          <w:spacing w:val="-1"/>
        </w:rPr>
        <w:t> </w:t>
      </w:r>
      <w:r>
        <w:rPr/>
        <w:t>a</w:t>
      </w:r>
      <w:r>
        <w:rPr>
          <w:spacing w:val="-1"/>
        </w:rPr>
        <w:t> </w:t>
      </w:r>
      <w:r>
        <w:rPr/>
        <w:t>nacelle”</w:t>
      </w:r>
      <w:r>
        <w:rPr>
          <w:spacing w:val="-1"/>
        </w:rPr>
        <w:t> </w:t>
      </w:r>
      <w:r>
        <w:rPr/>
        <w:t>and</w:t>
      </w:r>
      <w:r>
        <w:rPr>
          <w:spacing w:val="-1"/>
        </w:rPr>
        <w:t> </w:t>
      </w:r>
      <w:r>
        <w:rPr/>
        <w:t>each</w:t>
      </w:r>
      <w:r>
        <w:rPr>
          <w:spacing w:val="-2"/>
        </w:rPr>
        <w:t> </w:t>
      </w:r>
      <w:r>
        <w:rPr/>
        <w:t>of</w:t>
      </w:r>
      <w:r>
        <w:rPr>
          <w:spacing w:val="-1"/>
        </w:rPr>
        <w:t> </w:t>
      </w:r>
      <w:r>
        <w:rPr/>
        <w:t>this</w:t>
      </w:r>
      <w:r>
        <w:rPr>
          <w:spacing w:val="-1"/>
        </w:rPr>
        <w:t> </w:t>
      </w:r>
      <w:r>
        <w:rPr/>
        <w:t>turbines</w:t>
      </w:r>
      <w:r>
        <w:rPr>
          <w:spacing w:val="-1"/>
        </w:rPr>
        <w:t> </w:t>
      </w:r>
      <w:r>
        <w:rPr/>
        <w:t>can</w:t>
      </w:r>
      <w:r>
        <w:rPr>
          <w:spacing w:val="-3"/>
        </w:rPr>
        <w:t> </w:t>
      </w:r>
      <w:r>
        <w:rPr/>
        <w:t>produce</w:t>
      </w:r>
      <w:r>
        <w:rPr>
          <w:spacing w:val="-1"/>
        </w:rPr>
        <w:t> </w:t>
      </w:r>
      <w:r>
        <w:rPr/>
        <w:t>electricity</w:t>
      </w:r>
      <w:r>
        <w:rPr>
          <w:spacing w:val="-5"/>
        </w:rPr>
        <w:t> </w:t>
      </w:r>
      <w:r>
        <w:rPr/>
        <w:t>according</w:t>
      </w:r>
      <w:r>
        <w:rPr>
          <w:spacing w:val="-2"/>
        </w:rPr>
        <w:t> </w:t>
      </w:r>
      <w:r>
        <w:rPr/>
        <w:t>to Fitzgerald and Voege, 2010. According to Boxwell, 2010 wind turbines are constantly increasing in their popularity for both: generating great amount of power for the value grid and generating small level of energy for a family.</w:t>
      </w:r>
    </w:p>
    <w:p>
      <w:pPr>
        <w:pStyle w:val="BodyText"/>
        <w:spacing w:before="1"/>
        <w:ind w:left="487" w:right="170" w:firstLine="283"/>
        <w:jc w:val="both"/>
      </w:pPr>
      <w:r>
        <w:rPr/>
        <w:t>Moreover, in the report produced by World Bank, 2010 it is stated that wind power has been constantly growing in EU at 25 percent each year during the past five years. Wind turbines were the most installed sources of electricity-generating power in the year 2008 in Europe. Aside from hydropower wind power is considered to meet future needs of renewable electricity generation according to Sorensen and Breeze, 2010. As it is stated by</w:t>
      </w:r>
      <w:r>
        <w:rPr>
          <w:spacing w:val="-3"/>
        </w:rPr>
        <w:t> </w:t>
      </w:r>
      <w:r>
        <w:rPr/>
        <w:t>European</w:t>
      </w:r>
      <w:r>
        <w:rPr>
          <w:spacing w:val="-1"/>
        </w:rPr>
        <w:t> </w:t>
      </w:r>
      <w:r>
        <w:rPr/>
        <w:t>Wind Energy Association, 2011</w:t>
      </w:r>
      <w:r>
        <w:rPr>
          <w:spacing w:val="-1"/>
        </w:rPr>
        <w:t> </w:t>
      </w:r>
      <w:r>
        <w:rPr/>
        <w:t>in</w:t>
      </w:r>
      <w:r>
        <w:rPr>
          <w:spacing w:val="-1"/>
        </w:rPr>
        <w:t> </w:t>
      </w:r>
      <w:r>
        <w:rPr/>
        <w:t>1995 year in</w:t>
      </w:r>
      <w:r>
        <w:rPr>
          <w:spacing w:val="-1"/>
        </w:rPr>
        <w:t> </w:t>
      </w:r>
      <w:r>
        <w:rPr/>
        <w:t>EU, new</w:t>
      </w:r>
      <w:r>
        <w:rPr>
          <w:spacing w:val="-2"/>
        </w:rPr>
        <w:t> </w:t>
      </w:r>
      <w:r>
        <w:rPr/>
        <w:t>installation</w:t>
      </w:r>
      <w:r>
        <w:rPr>
          <w:spacing w:val="-1"/>
        </w:rPr>
        <w:t> </w:t>
      </w:r>
      <w:r>
        <w:rPr/>
        <w:t>of</w:t>
      </w:r>
      <w:r>
        <w:rPr>
          <w:spacing w:val="-1"/>
        </w:rPr>
        <w:t> </w:t>
      </w:r>
      <w:r>
        <w:rPr/>
        <w:t>renewable power presented only 1.3 GW accounting only 14 % out of total EU power installations. Since that time the gradual increase can be clearly tracked, and already in the</w:t>
      </w:r>
      <w:r>
        <w:rPr>
          <w:spacing w:val="15"/>
        </w:rPr>
        <w:t> </w:t>
      </w:r>
      <w:r>
        <w:rPr/>
        <w:t>year 2008, renewable represented 13.3 GW- 57%</w:t>
      </w:r>
      <w:r>
        <w:rPr>
          <w:spacing w:val="40"/>
        </w:rPr>
        <w:t> </w:t>
      </w:r>
      <w:r>
        <w:rPr/>
        <w:t>of total EU power installations; moreover in the year 2010 22.7 GW was recorded. During this 15 years wind power installations considerably increased from 814 MW in 1995 to 9,259 in 2010 at an average growth rate of 17.6%. As it is stated by European Wind Energy Association (EWEA) report, 2011 the power sector is effectively transformed with the EU renewable energy policy by Renewable Electricity Directive, 2001 and Renewable Energy Directive, 2009. Thus, it is continuing to pursue successful approach and ambitious goals by setting promising goals for future green power development.</w:t>
      </w:r>
    </w:p>
    <w:p>
      <w:pPr>
        <w:pStyle w:val="BodyText"/>
        <w:spacing w:before="2"/>
        <w:ind w:left="486" w:right="167" w:firstLine="283"/>
        <w:jc w:val="both"/>
      </w:pPr>
      <w:r>
        <w:rPr/>
        <w:t>It is expected that the renewable sector will account for 34 % in 2020 and will grow to 100 % renewable</w:t>
      </w:r>
      <w:r>
        <w:rPr>
          <w:spacing w:val="40"/>
        </w:rPr>
        <w:t> </w:t>
      </w:r>
      <w:r>
        <w:rPr/>
        <w:t>by 2050. At the same time wind energy is expected to supply 497.7 TWh of electricity, supplying 14 % of Europe's total demand in 2020, showing considerable increase from 2.3 % in 2005, and 5.3 % in 2010. At the same time Latvia has a great potential for wind energy development due to a high voltage transmission line running along the Baltic Sea coastline according to Investment and Development Agency of Latvia, 2009.</w:t>
      </w:r>
      <w:r>
        <w:rPr>
          <w:spacing w:val="80"/>
        </w:rPr>
        <w:t> </w:t>
      </w:r>
      <w:r>
        <w:rPr/>
        <w:t>The potential growth of wind power industry in the future was also shown in the Renewable Energy Industry Roadmap for Latvia research by Rosende et al., 2010 where potential future development of the green energy sector in Latvia until 2020 have been examined based on two scenarios using the Green-X model (a detailed quantitative assessment of the future deployment of renewable energies on country-, sectoral- as well as technology level): the National Target Fulfillment (NAT) and Proactive Support (ACT) scenarios. According to the both scenarios the major enlargement is tracked in the wind energy industry, which starts at a minor level in 2005 and in the year 2020 will contribute 23%. Thus, Rosende et al., 2010 in the Renewable Energy Policy Action Paving (REPAP) paper claim that wind power sector will grow strongly. The existing EU protocol states that Latvia by</w:t>
      </w:r>
      <w:r>
        <w:rPr>
          <w:spacing w:val="-1"/>
        </w:rPr>
        <w:t> </w:t>
      </w:r>
      <w:r>
        <w:rPr/>
        <w:t>the end of the year 2020 should boost its portion</w:t>
      </w:r>
      <w:r>
        <w:rPr>
          <w:spacing w:val="-1"/>
        </w:rPr>
        <w:t> </w:t>
      </w:r>
      <w:r>
        <w:rPr/>
        <w:t>of renewable energy</w:t>
      </w:r>
      <w:r>
        <w:rPr>
          <w:spacing w:val="-1"/>
        </w:rPr>
        <w:t> </w:t>
      </w:r>
      <w:r>
        <w:rPr/>
        <w:t>in the end consumption by 7.1% in order to achieve 42.0% according to U.S. Foreign Commercial Service, 2010.</w:t>
      </w:r>
    </w:p>
    <w:p>
      <w:pPr>
        <w:pStyle w:val="BodyText"/>
        <w:ind w:left="487" w:right="173" w:firstLine="283"/>
        <w:jc w:val="both"/>
      </w:pPr>
      <w:r>
        <w:rPr/>
        <w:t>Three strategies and its` suitability have been assessed by means of QSPM matrix: Invest in HPS modernization; Invest in WPS construction; Proceed with current strategy. QSPM matrix has shown that out</w:t>
      </w:r>
      <w:r>
        <w:rPr>
          <w:spacing w:val="40"/>
        </w:rPr>
        <w:t> </w:t>
      </w:r>
      <w:r>
        <w:rPr/>
        <w:t>of three alternative strategies, Investment in HPS modernization appears to be the most attractive strategy for the company to pursue as shown in table 1.</w:t>
      </w:r>
    </w:p>
    <w:p>
      <w:pPr>
        <w:pStyle w:val="BodyText"/>
        <w:ind w:left="487" w:right="171" w:firstLine="283"/>
        <w:jc w:val="both"/>
      </w:pPr>
      <w:r>
        <w:rPr/>
        <w:t>To</w:t>
      </w:r>
      <w:r>
        <w:rPr>
          <w:spacing w:val="-2"/>
        </w:rPr>
        <w:t> </w:t>
      </w:r>
      <w:r>
        <w:rPr/>
        <w:t>answer</w:t>
      </w:r>
      <w:r>
        <w:rPr>
          <w:spacing w:val="-1"/>
        </w:rPr>
        <w:t> </w:t>
      </w:r>
      <w:r>
        <w:rPr/>
        <w:t>the</w:t>
      </w:r>
      <w:r>
        <w:rPr>
          <w:spacing w:val="-1"/>
        </w:rPr>
        <w:t> </w:t>
      </w:r>
      <w:r>
        <w:rPr/>
        <w:t>second research</w:t>
      </w:r>
      <w:r>
        <w:rPr>
          <w:spacing w:val="-2"/>
        </w:rPr>
        <w:t> </w:t>
      </w:r>
      <w:r>
        <w:rPr/>
        <w:t>question, feasibility</w:t>
      </w:r>
      <w:r>
        <w:rPr>
          <w:spacing w:val="-2"/>
        </w:rPr>
        <w:t> </w:t>
      </w:r>
      <w:r>
        <w:rPr/>
        <w:t>analysis has</w:t>
      </w:r>
      <w:r>
        <w:rPr>
          <w:spacing w:val="-1"/>
        </w:rPr>
        <w:t> </w:t>
      </w:r>
      <w:r>
        <w:rPr/>
        <w:t>been</w:t>
      </w:r>
      <w:r>
        <w:rPr>
          <w:spacing w:val="-2"/>
        </w:rPr>
        <w:t> </w:t>
      </w:r>
      <w:r>
        <w:rPr/>
        <w:t>used since</w:t>
      </w:r>
      <w:r>
        <w:rPr>
          <w:spacing w:val="-1"/>
        </w:rPr>
        <w:t> </w:t>
      </w:r>
      <w:r>
        <w:rPr/>
        <w:t>it will</w:t>
      </w:r>
      <w:r>
        <w:rPr>
          <w:spacing w:val="-1"/>
        </w:rPr>
        <w:t> </w:t>
      </w:r>
      <w:r>
        <w:rPr/>
        <w:t>assist</w:t>
      </w:r>
      <w:r>
        <w:rPr>
          <w:spacing w:val="-1"/>
        </w:rPr>
        <w:t> </w:t>
      </w:r>
      <w:r>
        <w:rPr/>
        <w:t>in</w:t>
      </w:r>
      <w:r>
        <w:rPr>
          <w:spacing w:val="-2"/>
        </w:rPr>
        <w:t> </w:t>
      </w:r>
      <w:r>
        <w:rPr/>
        <w:t>investment decision. Investment in HPS project here has been considered to be investment in both Zilupe and Vecogre HPS, while</w:t>
      </w:r>
      <w:r>
        <w:rPr>
          <w:spacing w:val="-3"/>
        </w:rPr>
        <w:t> </w:t>
      </w:r>
      <w:r>
        <w:rPr/>
        <w:t>Mezrozite</w:t>
      </w:r>
      <w:r>
        <w:rPr>
          <w:spacing w:val="-3"/>
        </w:rPr>
        <w:t> </w:t>
      </w:r>
      <w:r>
        <w:rPr/>
        <w:t>HPS</w:t>
      </w:r>
      <w:r>
        <w:rPr>
          <w:spacing w:val="-3"/>
        </w:rPr>
        <w:t> </w:t>
      </w:r>
      <w:r>
        <w:rPr/>
        <w:t>is</w:t>
      </w:r>
      <w:r>
        <w:rPr>
          <w:spacing w:val="-1"/>
        </w:rPr>
        <w:t> </w:t>
      </w:r>
      <w:r>
        <w:rPr/>
        <w:t>disregarded</w:t>
      </w:r>
      <w:r>
        <w:rPr>
          <w:spacing w:val="-2"/>
        </w:rPr>
        <w:t> </w:t>
      </w:r>
      <w:r>
        <w:rPr/>
        <w:t>since</w:t>
      </w:r>
      <w:r>
        <w:rPr>
          <w:spacing w:val="-3"/>
        </w:rPr>
        <w:t> </w:t>
      </w:r>
      <w:r>
        <w:rPr/>
        <w:t>it has</w:t>
      </w:r>
      <w:r>
        <w:rPr>
          <w:spacing w:val="-2"/>
        </w:rPr>
        <w:t> </w:t>
      </w:r>
      <w:r>
        <w:rPr/>
        <w:t>negative</w:t>
      </w:r>
      <w:r>
        <w:rPr>
          <w:spacing w:val="-3"/>
        </w:rPr>
        <w:t> </w:t>
      </w:r>
      <w:r>
        <w:rPr/>
        <w:t>NPV</w:t>
      </w:r>
      <w:r>
        <w:rPr>
          <w:spacing w:val="-3"/>
        </w:rPr>
        <w:t> </w:t>
      </w:r>
      <w:r>
        <w:rPr/>
        <w:t>and</w:t>
      </w:r>
      <w:r>
        <w:rPr>
          <w:spacing w:val="-2"/>
        </w:rPr>
        <w:t> </w:t>
      </w:r>
      <w:r>
        <w:rPr/>
        <w:t>EAA</w:t>
      </w:r>
      <w:r>
        <w:rPr>
          <w:spacing w:val="-3"/>
        </w:rPr>
        <w:t> </w:t>
      </w:r>
      <w:r>
        <w:rPr/>
        <w:t>value.</w:t>
      </w:r>
      <w:r>
        <w:rPr>
          <w:spacing w:val="-3"/>
        </w:rPr>
        <w:t> </w:t>
      </w:r>
      <w:r>
        <w:rPr/>
        <w:t>Wind</w:t>
      </w:r>
      <w:r>
        <w:rPr>
          <w:spacing w:val="-3"/>
        </w:rPr>
        <w:t> </w:t>
      </w:r>
      <w:r>
        <w:rPr/>
        <w:t>turbine</w:t>
      </w:r>
      <w:r>
        <w:rPr>
          <w:spacing w:val="-3"/>
        </w:rPr>
        <w:t> </w:t>
      </w:r>
      <w:r>
        <w:rPr/>
        <w:t>project</w:t>
      </w:r>
      <w:r>
        <w:rPr>
          <w:spacing w:val="-3"/>
        </w:rPr>
        <w:t> </w:t>
      </w:r>
      <w:r>
        <w:rPr/>
        <w:t>has negative</w:t>
      </w:r>
      <w:r>
        <w:rPr>
          <w:spacing w:val="34"/>
        </w:rPr>
        <w:t> </w:t>
      </w:r>
      <w:r>
        <w:rPr/>
        <w:t>NPV</w:t>
      </w:r>
      <w:r>
        <w:rPr>
          <w:spacing w:val="34"/>
        </w:rPr>
        <w:t> </w:t>
      </w:r>
      <w:r>
        <w:rPr/>
        <w:t>as</w:t>
      </w:r>
      <w:r>
        <w:rPr>
          <w:spacing w:val="35"/>
        </w:rPr>
        <w:t> </w:t>
      </w:r>
      <w:r>
        <w:rPr/>
        <w:t>well</w:t>
      </w:r>
      <w:r>
        <w:rPr>
          <w:spacing w:val="34"/>
        </w:rPr>
        <w:t> </w:t>
      </w:r>
      <w:r>
        <w:rPr/>
        <w:t>as</w:t>
      </w:r>
      <w:r>
        <w:rPr>
          <w:spacing w:val="33"/>
        </w:rPr>
        <w:t> </w:t>
      </w:r>
      <w:r>
        <w:rPr/>
        <w:t>negative</w:t>
      </w:r>
      <w:r>
        <w:rPr>
          <w:spacing w:val="34"/>
        </w:rPr>
        <w:t> </w:t>
      </w:r>
      <w:r>
        <w:rPr/>
        <w:t>EAA,</w:t>
      </w:r>
      <w:r>
        <w:rPr>
          <w:spacing w:val="37"/>
        </w:rPr>
        <w:t> </w:t>
      </w:r>
      <w:r>
        <w:rPr/>
        <w:t>while</w:t>
      </w:r>
      <w:r>
        <w:rPr>
          <w:spacing w:val="35"/>
        </w:rPr>
        <w:t> </w:t>
      </w:r>
      <w:r>
        <w:rPr/>
        <w:t>for</w:t>
      </w:r>
      <w:r>
        <w:rPr>
          <w:spacing w:val="34"/>
        </w:rPr>
        <w:t> </w:t>
      </w:r>
      <w:r>
        <w:rPr/>
        <w:t>investment</w:t>
      </w:r>
      <w:r>
        <w:rPr>
          <w:spacing w:val="34"/>
        </w:rPr>
        <w:t> </w:t>
      </w:r>
      <w:r>
        <w:rPr/>
        <w:t>in</w:t>
      </w:r>
      <w:r>
        <w:rPr>
          <w:spacing w:val="33"/>
        </w:rPr>
        <w:t> </w:t>
      </w:r>
      <w:r>
        <w:rPr/>
        <w:t>HPS</w:t>
      </w:r>
      <w:r>
        <w:rPr>
          <w:spacing w:val="33"/>
        </w:rPr>
        <w:t> </w:t>
      </w:r>
      <w:r>
        <w:rPr/>
        <w:t>both</w:t>
      </w:r>
      <w:r>
        <w:rPr>
          <w:spacing w:val="33"/>
        </w:rPr>
        <w:t> </w:t>
      </w:r>
      <w:r>
        <w:rPr/>
        <w:t>NPV</w:t>
      </w:r>
      <w:r>
        <w:rPr>
          <w:spacing w:val="35"/>
        </w:rPr>
        <w:t> </w:t>
      </w:r>
      <w:r>
        <w:rPr/>
        <w:t>and</w:t>
      </w:r>
      <w:r>
        <w:rPr>
          <w:spacing w:val="32"/>
        </w:rPr>
        <w:t> </w:t>
      </w:r>
      <w:r>
        <w:rPr/>
        <w:t>EAA</w:t>
      </w:r>
      <w:r>
        <w:rPr>
          <w:spacing w:val="32"/>
        </w:rPr>
        <w:t> </w:t>
      </w:r>
      <w:r>
        <w:rPr/>
        <w:t>are</w:t>
      </w:r>
      <w:r>
        <w:rPr>
          <w:spacing w:val="34"/>
        </w:rPr>
        <w:t> </w:t>
      </w:r>
      <w:r>
        <w:rPr>
          <w:spacing w:val="-2"/>
        </w:rPr>
        <w:t>positive.</w:t>
      </w:r>
    </w:p>
    <w:p>
      <w:pPr>
        <w:spacing w:after="0"/>
        <w:jc w:val="both"/>
        <w:sectPr>
          <w:pgSz w:w="10890" w:h="14860"/>
          <w:pgMar w:header="713" w:footer="0" w:top="900" w:bottom="280" w:left="440" w:right="940"/>
        </w:sectPr>
      </w:pPr>
    </w:p>
    <w:p>
      <w:pPr>
        <w:pStyle w:val="BodyText"/>
        <w:spacing w:before="147"/>
      </w:pPr>
    </w:p>
    <w:p>
      <w:pPr>
        <w:pStyle w:val="BodyText"/>
        <w:ind w:left="430" w:right="227"/>
        <w:jc w:val="both"/>
      </w:pPr>
      <w:r>
        <w:rPr/>
        <w:t>According to the calculation results it became obviously that investment in HPS is more profitable for the company than Wind-turbine (WPS) installation even after counting for that fact that these two investments have different life spans as shown in table 2. According to financial analysis the most acceptable strategic choice could be investing in HPS, particularly in Zilupe HPS and Vecogre HPS.</w:t>
      </w:r>
    </w:p>
    <w:p>
      <w:pPr>
        <w:pStyle w:val="BodyText"/>
        <w:spacing w:before="217"/>
      </w:pPr>
    </w:p>
    <w:p>
      <w:pPr>
        <w:spacing w:before="0"/>
        <w:ind w:left="430" w:right="0" w:firstLine="0"/>
        <w:jc w:val="both"/>
        <w:rPr>
          <w:sz w:val="16"/>
        </w:rPr>
      </w:pPr>
      <w:r>
        <w:rPr>
          <w:sz w:val="16"/>
        </w:rPr>
        <w:t>Table</w:t>
      </w:r>
      <w:r>
        <w:rPr>
          <w:spacing w:val="-5"/>
          <w:sz w:val="16"/>
        </w:rPr>
        <w:t> </w:t>
      </w:r>
      <w:r>
        <w:rPr>
          <w:sz w:val="16"/>
        </w:rPr>
        <w:t>1.</w:t>
      </w:r>
      <w:r>
        <w:rPr>
          <w:spacing w:val="-3"/>
          <w:sz w:val="16"/>
        </w:rPr>
        <w:t> </w:t>
      </w:r>
      <w:r>
        <w:rPr>
          <w:sz w:val="16"/>
        </w:rPr>
        <w:t>Suitability</w:t>
      </w:r>
      <w:r>
        <w:rPr>
          <w:spacing w:val="-7"/>
          <w:sz w:val="16"/>
        </w:rPr>
        <w:t> </w:t>
      </w:r>
      <w:r>
        <w:rPr>
          <w:sz w:val="16"/>
        </w:rPr>
        <w:t>of</w:t>
      </w:r>
      <w:r>
        <w:rPr>
          <w:spacing w:val="-4"/>
          <w:sz w:val="16"/>
        </w:rPr>
        <w:t> </w:t>
      </w:r>
      <w:r>
        <w:rPr>
          <w:sz w:val="16"/>
        </w:rPr>
        <w:t>strategic</w:t>
      </w:r>
      <w:r>
        <w:rPr>
          <w:spacing w:val="-4"/>
          <w:sz w:val="16"/>
        </w:rPr>
        <w:t> </w:t>
      </w:r>
      <w:r>
        <w:rPr>
          <w:spacing w:val="-2"/>
          <w:sz w:val="16"/>
        </w:rPr>
        <w:t>choice</w:t>
      </w:r>
    </w:p>
    <w:p>
      <w:pPr>
        <w:pStyle w:val="BodyText"/>
        <w:spacing w:before="21"/>
      </w:pPr>
    </w:p>
    <w:tbl>
      <w:tblPr>
        <w:tblW w:w="0" w:type="auto"/>
        <w:jc w:val="left"/>
        <w:tblInd w:w="10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91"/>
        <w:gridCol w:w="1351"/>
        <w:gridCol w:w="1397"/>
        <w:gridCol w:w="1607"/>
      </w:tblGrid>
      <w:tr>
        <w:trPr>
          <w:trHeight w:val="441" w:hRule="atLeast"/>
        </w:trPr>
        <w:tc>
          <w:tcPr>
            <w:tcW w:w="3291" w:type="dxa"/>
            <w:tcBorders>
              <w:top w:val="single" w:sz="4" w:space="0" w:color="000000"/>
              <w:bottom w:val="single" w:sz="4" w:space="0" w:color="000000"/>
            </w:tcBorders>
          </w:tcPr>
          <w:p>
            <w:pPr>
              <w:pStyle w:val="TableParagraph"/>
              <w:ind w:left="107"/>
              <w:rPr>
                <w:sz w:val="16"/>
              </w:rPr>
            </w:pPr>
            <w:r>
              <w:rPr>
                <w:sz w:val="16"/>
              </w:rPr>
              <w:t>Result</w:t>
            </w:r>
            <w:r>
              <w:rPr>
                <w:spacing w:val="-6"/>
                <w:sz w:val="16"/>
              </w:rPr>
              <w:t> </w:t>
            </w:r>
            <w:r>
              <w:rPr>
                <w:sz w:val="16"/>
              </w:rPr>
              <w:t>of</w:t>
            </w:r>
            <w:r>
              <w:rPr>
                <w:spacing w:val="-7"/>
                <w:sz w:val="16"/>
              </w:rPr>
              <w:t> </w:t>
            </w:r>
            <w:r>
              <w:rPr>
                <w:sz w:val="16"/>
              </w:rPr>
              <w:t>external</w:t>
            </w:r>
            <w:r>
              <w:rPr>
                <w:spacing w:val="-7"/>
                <w:sz w:val="16"/>
              </w:rPr>
              <w:t> </w:t>
            </w:r>
            <w:r>
              <w:rPr>
                <w:sz w:val="16"/>
              </w:rPr>
              <w:t>and</w:t>
            </w:r>
            <w:r>
              <w:rPr>
                <w:spacing w:val="-7"/>
                <w:sz w:val="16"/>
              </w:rPr>
              <w:t> </w:t>
            </w:r>
            <w:r>
              <w:rPr>
                <w:sz w:val="16"/>
              </w:rPr>
              <w:t>internal</w:t>
            </w:r>
            <w:r>
              <w:rPr>
                <w:spacing w:val="-7"/>
                <w:sz w:val="16"/>
              </w:rPr>
              <w:t> </w:t>
            </w:r>
            <w:r>
              <w:rPr>
                <w:sz w:val="16"/>
              </w:rPr>
              <w:t>environments</w:t>
            </w:r>
            <w:r>
              <w:rPr>
                <w:spacing w:val="40"/>
                <w:sz w:val="16"/>
              </w:rPr>
              <w:t> </w:t>
            </w:r>
            <w:r>
              <w:rPr>
                <w:spacing w:val="-2"/>
                <w:sz w:val="16"/>
              </w:rPr>
              <w:t>scanning</w:t>
            </w:r>
          </w:p>
        </w:tc>
        <w:tc>
          <w:tcPr>
            <w:tcW w:w="1351" w:type="dxa"/>
            <w:tcBorders>
              <w:top w:val="single" w:sz="4" w:space="0" w:color="000000"/>
              <w:bottom w:val="single" w:sz="4" w:space="0" w:color="000000"/>
            </w:tcBorders>
          </w:tcPr>
          <w:p>
            <w:pPr>
              <w:pStyle w:val="TableParagraph"/>
              <w:spacing w:line="178" w:lineRule="exact"/>
              <w:ind w:left="107"/>
              <w:rPr>
                <w:sz w:val="16"/>
              </w:rPr>
            </w:pPr>
            <w:r>
              <w:rPr>
                <w:sz w:val="16"/>
              </w:rPr>
              <w:t>Current</w:t>
            </w:r>
            <w:r>
              <w:rPr>
                <w:spacing w:val="-5"/>
                <w:sz w:val="16"/>
              </w:rPr>
              <w:t> </w:t>
            </w:r>
            <w:r>
              <w:rPr>
                <w:spacing w:val="-2"/>
                <w:sz w:val="16"/>
              </w:rPr>
              <w:t>strategy</w:t>
            </w:r>
          </w:p>
        </w:tc>
        <w:tc>
          <w:tcPr>
            <w:tcW w:w="1397" w:type="dxa"/>
            <w:tcBorders>
              <w:top w:val="single" w:sz="4" w:space="0" w:color="000000"/>
              <w:bottom w:val="single" w:sz="4" w:space="0" w:color="000000"/>
            </w:tcBorders>
          </w:tcPr>
          <w:p>
            <w:pPr>
              <w:pStyle w:val="TableParagraph"/>
              <w:ind w:left="208"/>
              <w:rPr>
                <w:sz w:val="16"/>
              </w:rPr>
            </w:pPr>
            <w:r>
              <w:rPr>
                <w:sz w:val="16"/>
              </w:rPr>
              <w:t>Invest</w:t>
            </w:r>
            <w:r>
              <w:rPr>
                <w:spacing w:val="-2"/>
                <w:sz w:val="16"/>
              </w:rPr>
              <w:t> </w:t>
            </w:r>
            <w:r>
              <w:rPr>
                <w:sz w:val="16"/>
              </w:rPr>
              <w:t>in</w:t>
            </w:r>
            <w:r>
              <w:rPr>
                <w:spacing w:val="-1"/>
                <w:sz w:val="16"/>
              </w:rPr>
              <w:t> </w:t>
            </w:r>
            <w:r>
              <w:rPr>
                <w:sz w:val="16"/>
              </w:rPr>
              <w:t>HPS</w:t>
            </w:r>
            <w:r>
              <w:rPr>
                <w:spacing w:val="40"/>
                <w:sz w:val="16"/>
              </w:rPr>
              <w:t> </w:t>
            </w:r>
            <w:r>
              <w:rPr>
                <w:spacing w:val="-2"/>
                <w:sz w:val="16"/>
              </w:rPr>
              <w:t>modernization</w:t>
            </w:r>
          </w:p>
        </w:tc>
        <w:tc>
          <w:tcPr>
            <w:tcW w:w="1607" w:type="dxa"/>
            <w:tcBorders>
              <w:top w:val="single" w:sz="4" w:space="0" w:color="000000"/>
              <w:bottom w:val="single" w:sz="4" w:space="0" w:color="000000"/>
            </w:tcBorders>
          </w:tcPr>
          <w:p>
            <w:pPr>
              <w:pStyle w:val="TableParagraph"/>
              <w:spacing w:line="178" w:lineRule="exact"/>
              <w:ind w:left="260"/>
              <w:rPr>
                <w:sz w:val="16"/>
              </w:rPr>
            </w:pPr>
            <w:r>
              <w:rPr>
                <w:sz w:val="16"/>
              </w:rPr>
              <w:t>Invest</w:t>
            </w:r>
            <w:r>
              <w:rPr>
                <w:spacing w:val="-2"/>
                <w:sz w:val="16"/>
              </w:rPr>
              <w:t> </w:t>
            </w:r>
            <w:r>
              <w:rPr>
                <w:sz w:val="16"/>
              </w:rPr>
              <w:t>in</w:t>
            </w:r>
            <w:r>
              <w:rPr>
                <w:spacing w:val="-2"/>
                <w:sz w:val="16"/>
              </w:rPr>
              <w:t> </w:t>
            </w:r>
            <w:r>
              <w:rPr>
                <w:spacing w:val="-5"/>
                <w:sz w:val="16"/>
              </w:rPr>
              <w:t>WPS</w:t>
            </w:r>
          </w:p>
        </w:tc>
      </w:tr>
      <w:tr>
        <w:trPr>
          <w:trHeight w:val="263" w:hRule="atLeast"/>
        </w:trPr>
        <w:tc>
          <w:tcPr>
            <w:tcW w:w="3291" w:type="dxa"/>
            <w:tcBorders>
              <w:top w:val="single" w:sz="4" w:space="0" w:color="000000"/>
            </w:tcBorders>
          </w:tcPr>
          <w:p>
            <w:pPr>
              <w:pStyle w:val="TableParagraph"/>
              <w:spacing w:line="178" w:lineRule="exact"/>
              <w:ind w:left="108"/>
              <w:rPr>
                <w:sz w:val="16"/>
              </w:rPr>
            </w:pPr>
            <w:r>
              <w:rPr>
                <w:sz w:val="16"/>
              </w:rPr>
              <w:t>Internal</w:t>
            </w:r>
            <w:r>
              <w:rPr>
                <w:spacing w:val="-7"/>
                <w:sz w:val="16"/>
              </w:rPr>
              <w:t> </w:t>
            </w:r>
            <w:r>
              <w:rPr>
                <w:sz w:val="16"/>
              </w:rPr>
              <w:t>critical</w:t>
            </w:r>
            <w:r>
              <w:rPr>
                <w:spacing w:val="-6"/>
                <w:sz w:val="16"/>
              </w:rPr>
              <w:t> </w:t>
            </w:r>
            <w:r>
              <w:rPr>
                <w:sz w:val="16"/>
              </w:rPr>
              <w:t>success</w:t>
            </w:r>
            <w:r>
              <w:rPr>
                <w:spacing w:val="-5"/>
                <w:sz w:val="16"/>
              </w:rPr>
              <w:t> </w:t>
            </w:r>
            <w:r>
              <w:rPr>
                <w:sz w:val="16"/>
              </w:rPr>
              <w:t>factors</w:t>
            </w:r>
            <w:r>
              <w:rPr>
                <w:spacing w:val="-5"/>
                <w:sz w:val="16"/>
              </w:rPr>
              <w:t> </w:t>
            </w:r>
            <w:r>
              <w:rPr>
                <w:spacing w:val="-2"/>
                <w:sz w:val="16"/>
              </w:rPr>
              <w:t>assessment</w:t>
            </w:r>
          </w:p>
        </w:tc>
        <w:tc>
          <w:tcPr>
            <w:tcW w:w="1351" w:type="dxa"/>
            <w:tcBorders>
              <w:top w:val="single" w:sz="4" w:space="0" w:color="000000"/>
            </w:tcBorders>
          </w:tcPr>
          <w:p>
            <w:pPr>
              <w:pStyle w:val="TableParagraph"/>
              <w:spacing w:before="11"/>
              <w:ind w:left="107"/>
              <w:rPr>
                <w:sz w:val="16"/>
              </w:rPr>
            </w:pPr>
            <w:r>
              <w:rPr>
                <w:spacing w:val="-4"/>
                <w:sz w:val="16"/>
              </w:rPr>
              <w:t>2.17</w:t>
            </w:r>
          </w:p>
        </w:tc>
        <w:tc>
          <w:tcPr>
            <w:tcW w:w="1397" w:type="dxa"/>
            <w:tcBorders>
              <w:top w:val="single" w:sz="4" w:space="0" w:color="000000"/>
            </w:tcBorders>
          </w:tcPr>
          <w:p>
            <w:pPr>
              <w:pStyle w:val="TableParagraph"/>
              <w:spacing w:before="11"/>
              <w:ind w:left="208"/>
              <w:rPr>
                <w:sz w:val="16"/>
              </w:rPr>
            </w:pPr>
            <w:r>
              <w:rPr>
                <w:spacing w:val="-4"/>
                <w:sz w:val="16"/>
              </w:rPr>
              <w:t>2.25</w:t>
            </w:r>
          </w:p>
        </w:tc>
        <w:tc>
          <w:tcPr>
            <w:tcW w:w="1607" w:type="dxa"/>
            <w:tcBorders>
              <w:top w:val="single" w:sz="4" w:space="0" w:color="000000"/>
            </w:tcBorders>
          </w:tcPr>
          <w:p>
            <w:pPr>
              <w:pStyle w:val="TableParagraph"/>
              <w:spacing w:before="11"/>
              <w:ind w:left="261"/>
              <w:rPr>
                <w:sz w:val="16"/>
              </w:rPr>
            </w:pPr>
            <w:r>
              <w:rPr>
                <w:spacing w:val="-4"/>
                <w:sz w:val="16"/>
              </w:rPr>
              <w:t>2.18</w:t>
            </w:r>
          </w:p>
        </w:tc>
      </w:tr>
      <w:tr>
        <w:trPr>
          <w:trHeight w:val="330" w:hRule="atLeast"/>
        </w:trPr>
        <w:tc>
          <w:tcPr>
            <w:tcW w:w="3291" w:type="dxa"/>
          </w:tcPr>
          <w:p>
            <w:pPr>
              <w:pStyle w:val="TableParagraph"/>
              <w:spacing w:before="62"/>
              <w:ind w:left="108"/>
              <w:rPr>
                <w:sz w:val="16"/>
              </w:rPr>
            </w:pPr>
            <w:r>
              <w:rPr>
                <w:sz w:val="16"/>
              </w:rPr>
              <w:t>External</w:t>
            </w:r>
            <w:r>
              <w:rPr>
                <w:spacing w:val="-7"/>
                <w:sz w:val="16"/>
              </w:rPr>
              <w:t> </w:t>
            </w:r>
            <w:r>
              <w:rPr>
                <w:sz w:val="16"/>
              </w:rPr>
              <w:t>critical</w:t>
            </w:r>
            <w:r>
              <w:rPr>
                <w:spacing w:val="-7"/>
                <w:sz w:val="16"/>
              </w:rPr>
              <w:t> </w:t>
            </w:r>
            <w:r>
              <w:rPr>
                <w:sz w:val="16"/>
              </w:rPr>
              <w:t>success</w:t>
            </w:r>
            <w:r>
              <w:rPr>
                <w:spacing w:val="-6"/>
                <w:sz w:val="16"/>
              </w:rPr>
              <w:t> </w:t>
            </w:r>
            <w:r>
              <w:rPr>
                <w:sz w:val="16"/>
              </w:rPr>
              <w:t>factors</w:t>
            </w:r>
            <w:r>
              <w:rPr>
                <w:spacing w:val="-5"/>
                <w:sz w:val="16"/>
              </w:rPr>
              <w:t> </w:t>
            </w:r>
            <w:r>
              <w:rPr>
                <w:spacing w:val="-2"/>
                <w:sz w:val="16"/>
              </w:rPr>
              <w:t>assessment</w:t>
            </w:r>
          </w:p>
        </w:tc>
        <w:tc>
          <w:tcPr>
            <w:tcW w:w="1351" w:type="dxa"/>
          </w:tcPr>
          <w:p>
            <w:pPr>
              <w:pStyle w:val="TableParagraph"/>
              <w:spacing w:before="79"/>
              <w:ind w:left="107"/>
              <w:rPr>
                <w:sz w:val="16"/>
              </w:rPr>
            </w:pPr>
            <w:r>
              <w:rPr>
                <w:spacing w:val="-4"/>
                <w:sz w:val="16"/>
              </w:rPr>
              <w:t>2.63</w:t>
            </w:r>
          </w:p>
        </w:tc>
        <w:tc>
          <w:tcPr>
            <w:tcW w:w="1397" w:type="dxa"/>
          </w:tcPr>
          <w:p>
            <w:pPr>
              <w:pStyle w:val="TableParagraph"/>
              <w:spacing w:before="79"/>
              <w:ind w:left="208"/>
              <w:rPr>
                <w:sz w:val="16"/>
              </w:rPr>
            </w:pPr>
            <w:r>
              <w:rPr>
                <w:spacing w:val="-4"/>
                <w:sz w:val="16"/>
              </w:rPr>
              <w:t>6.46</w:t>
            </w:r>
          </w:p>
        </w:tc>
        <w:tc>
          <w:tcPr>
            <w:tcW w:w="1607" w:type="dxa"/>
          </w:tcPr>
          <w:p>
            <w:pPr>
              <w:pStyle w:val="TableParagraph"/>
              <w:spacing w:before="79"/>
              <w:ind w:left="261"/>
              <w:rPr>
                <w:sz w:val="16"/>
              </w:rPr>
            </w:pPr>
            <w:r>
              <w:rPr>
                <w:spacing w:val="-4"/>
                <w:sz w:val="16"/>
              </w:rPr>
              <w:t>2.23</w:t>
            </w:r>
          </w:p>
        </w:tc>
      </w:tr>
      <w:tr>
        <w:trPr>
          <w:trHeight w:val="261" w:hRule="atLeast"/>
        </w:trPr>
        <w:tc>
          <w:tcPr>
            <w:tcW w:w="3291" w:type="dxa"/>
          </w:tcPr>
          <w:p>
            <w:pPr>
              <w:pStyle w:val="TableParagraph"/>
              <w:spacing w:line="181" w:lineRule="exact" w:before="61"/>
              <w:ind w:left="108"/>
              <w:rPr>
                <w:sz w:val="16"/>
              </w:rPr>
            </w:pPr>
            <w:r>
              <w:rPr>
                <w:sz w:val="16"/>
              </w:rPr>
              <w:t>Quantitative</w:t>
            </w:r>
            <w:r>
              <w:rPr>
                <w:spacing w:val="-7"/>
                <w:sz w:val="16"/>
              </w:rPr>
              <w:t> </w:t>
            </w:r>
            <w:r>
              <w:rPr>
                <w:sz w:val="16"/>
              </w:rPr>
              <w:t>Strategic</w:t>
            </w:r>
            <w:r>
              <w:rPr>
                <w:spacing w:val="-4"/>
                <w:sz w:val="16"/>
              </w:rPr>
              <w:t> </w:t>
            </w:r>
            <w:r>
              <w:rPr>
                <w:sz w:val="16"/>
              </w:rPr>
              <w:t>Planning</w:t>
            </w:r>
            <w:r>
              <w:rPr>
                <w:spacing w:val="-6"/>
                <w:sz w:val="16"/>
              </w:rPr>
              <w:t> </w:t>
            </w:r>
            <w:r>
              <w:rPr>
                <w:sz w:val="16"/>
              </w:rPr>
              <w:t>Matrix</w:t>
            </w:r>
            <w:r>
              <w:rPr>
                <w:spacing w:val="-5"/>
                <w:sz w:val="16"/>
              </w:rPr>
              <w:t> </w:t>
            </w:r>
            <w:r>
              <w:rPr>
                <w:spacing w:val="-2"/>
                <w:sz w:val="16"/>
              </w:rPr>
              <w:t>(QSPM)</w:t>
            </w:r>
          </w:p>
        </w:tc>
        <w:tc>
          <w:tcPr>
            <w:tcW w:w="1351" w:type="dxa"/>
          </w:tcPr>
          <w:p>
            <w:pPr>
              <w:pStyle w:val="TableParagraph"/>
              <w:spacing w:line="164" w:lineRule="exact" w:before="77"/>
              <w:ind w:left="107"/>
              <w:rPr>
                <w:sz w:val="16"/>
              </w:rPr>
            </w:pPr>
            <w:r>
              <w:rPr>
                <w:spacing w:val="-4"/>
                <w:sz w:val="16"/>
              </w:rPr>
              <w:t>4.80</w:t>
            </w:r>
          </w:p>
        </w:tc>
        <w:tc>
          <w:tcPr>
            <w:tcW w:w="1397" w:type="dxa"/>
          </w:tcPr>
          <w:p>
            <w:pPr>
              <w:pStyle w:val="TableParagraph"/>
              <w:spacing w:line="164" w:lineRule="exact" w:before="77"/>
              <w:ind w:left="208"/>
              <w:rPr>
                <w:sz w:val="16"/>
              </w:rPr>
            </w:pPr>
            <w:r>
              <w:rPr>
                <w:spacing w:val="-4"/>
                <w:sz w:val="16"/>
              </w:rPr>
              <w:t>8.71</w:t>
            </w:r>
          </w:p>
        </w:tc>
        <w:tc>
          <w:tcPr>
            <w:tcW w:w="1607" w:type="dxa"/>
          </w:tcPr>
          <w:p>
            <w:pPr>
              <w:pStyle w:val="TableParagraph"/>
              <w:spacing w:line="164" w:lineRule="exact" w:before="77"/>
              <w:ind w:left="261"/>
              <w:rPr>
                <w:sz w:val="16"/>
              </w:rPr>
            </w:pPr>
            <w:r>
              <w:rPr>
                <w:spacing w:val="-4"/>
                <w:sz w:val="16"/>
              </w:rPr>
              <w:t>4.41</w:t>
            </w:r>
          </w:p>
        </w:tc>
      </w:tr>
    </w:tbl>
    <w:p>
      <w:pPr>
        <w:tabs>
          <w:tab w:pos="8674" w:val="left" w:leader="none"/>
        </w:tabs>
        <w:spacing w:before="0"/>
        <w:ind w:left="1015" w:right="0" w:firstLine="0"/>
        <w:jc w:val="left"/>
        <w:rPr>
          <w:sz w:val="16"/>
        </w:rPr>
      </w:pPr>
      <w:r>
        <w:rPr>
          <w:spacing w:val="62"/>
          <w:w w:val="150"/>
          <w:sz w:val="16"/>
          <w:u w:val="single"/>
        </w:rPr>
        <w:t> </w:t>
      </w:r>
      <w:r>
        <w:rPr>
          <w:spacing w:val="-2"/>
          <w:sz w:val="16"/>
          <w:u w:val="single"/>
        </w:rPr>
        <w:t>Scores</w:t>
      </w:r>
      <w:r>
        <w:rPr>
          <w:sz w:val="16"/>
          <w:u w:val="single"/>
        </w:rPr>
        <w:tab/>
      </w:r>
    </w:p>
    <w:p>
      <w:pPr>
        <w:pStyle w:val="BodyText"/>
        <w:spacing w:before="229"/>
        <w:ind w:left="430" w:right="180" w:firstLine="283"/>
        <w:jc w:val="both"/>
      </w:pPr>
      <w:r>
        <w:rPr/>
        <w:t>The third research question tries to find out if the strategic option developed before matches the stakeholders' expectations and</w:t>
      </w:r>
      <w:r>
        <w:rPr>
          <w:spacing w:val="31"/>
        </w:rPr>
        <w:t> </w:t>
      </w:r>
      <w:r>
        <w:rPr/>
        <w:t>what recommendations</w:t>
      </w:r>
      <w:r>
        <w:rPr>
          <w:spacing w:val="29"/>
        </w:rPr>
        <w:t> </w:t>
      </w:r>
      <w:r>
        <w:rPr/>
        <w:t>may be developed</w:t>
      </w:r>
      <w:r>
        <w:rPr>
          <w:spacing w:val="29"/>
        </w:rPr>
        <w:t> </w:t>
      </w:r>
      <w:r>
        <w:rPr/>
        <w:t>in case of accepting the strategy. The key stakeholders are shareholders and regulatory bodies who may influence on the strategy acceptance. It has been concluded that as the major players having an impact on the strategy selected are shareholders, who</w:t>
      </w:r>
      <w:r>
        <w:rPr>
          <w:spacing w:val="40"/>
        </w:rPr>
        <w:t> </w:t>
      </w:r>
      <w:r>
        <w:rPr/>
        <w:t>is</w:t>
      </w:r>
      <w:r>
        <w:rPr>
          <w:spacing w:val="-3"/>
        </w:rPr>
        <w:t> </w:t>
      </w:r>
      <w:r>
        <w:rPr/>
        <w:t>interested</w:t>
      </w:r>
      <w:r>
        <w:rPr>
          <w:spacing w:val="-2"/>
        </w:rPr>
        <w:t> </w:t>
      </w:r>
      <w:r>
        <w:rPr/>
        <w:t>in</w:t>
      </w:r>
      <w:r>
        <w:rPr>
          <w:spacing w:val="-1"/>
        </w:rPr>
        <w:t> </w:t>
      </w:r>
      <w:r>
        <w:rPr/>
        <w:t>the greatest EAA,</w:t>
      </w:r>
      <w:r>
        <w:rPr>
          <w:spacing w:val="-2"/>
        </w:rPr>
        <w:t> </w:t>
      </w:r>
      <w:r>
        <w:rPr/>
        <w:t>and</w:t>
      </w:r>
      <w:r>
        <w:rPr>
          <w:spacing w:val="-1"/>
        </w:rPr>
        <w:t> </w:t>
      </w:r>
      <w:r>
        <w:rPr/>
        <w:t>governmental</w:t>
      </w:r>
      <w:r>
        <w:rPr>
          <w:spacing w:val="-3"/>
        </w:rPr>
        <w:t> </w:t>
      </w:r>
      <w:r>
        <w:rPr/>
        <w:t>body, who</w:t>
      </w:r>
      <w:r>
        <w:rPr>
          <w:spacing w:val="-2"/>
        </w:rPr>
        <w:t> </w:t>
      </w:r>
      <w:r>
        <w:rPr/>
        <w:t>encourage</w:t>
      </w:r>
      <w:r>
        <w:rPr>
          <w:spacing w:val="-2"/>
        </w:rPr>
        <w:t> </w:t>
      </w:r>
      <w:r>
        <w:rPr/>
        <w:t>the</w:t>
      </w:r>
      <w:r>
        <w:rPr>
          <w:spacing w:val="-2"/>
        </w:rPr>
        <w:t> </w:t>
      </w:r>
      <w:r>
        <w:rPr/>
        <w:t>growth</w:t>
      </w:r>
      <w:r>
        <w:rPr>
          <w:spacing w:val="-3"/>
        </w:rPr>
        <w:t> </w:t>
      </w:r>
      <w:r>
        <w:rPr/>
        <w:t>of</w:t>
      </w:r>
      <w:r>
        <w:rPr>
          <w:spacing w:val="-4"/>
        </w:rPr>
        <w:t> </w:t>
      </w:r>
      <w:r>
        <w:rPr/>
        <w:t>this</w:t>
      </w:r>
      <w:r>
        <w:rPr>
          <w:spacing w:val="-3"/>
        </w:rPr>
        <w:t> </w:t>
      </w:r>
      <w:r>
        <w:rPr/>
        <w:t>sector</w:t>
      </w:r>
      <w:r>
        <w:rPr>
          <w:spacing w:val="-1"/>
        </w:rPr>
        <w:t> </w:t>
      </w:r>
      <w:r>
        <w:rPr/>
        <w:t>of</w:t>
      </w:r>
      <w:r>
        <w:rPr>
          <w:spacing w:val="-3"/>
        </w:rPr>
        <w:t> </w:t>
      </w:r>
      <w:r>
        <w:rPr/>
        <w:t>business. Thus, it might be stated that the choice made would be acceptable by both parties.</w:t>
      </w:r>
    </w:p>
    <w:p>
      <w:pPr>
        <w:spacing w:before="215"/>
        <w:ind w:left="430" w:right="0" w:firstLine="0"/>
        <w:jc w:val="left"/>
        <w:rPr>
          <w:sz w:val="16"/>
        </w:rPr>
      </w:pPr>
      <w:r>
        <w:rPr>
          <w:sz w:val="16"/>
        </w:rPr>
        <w:t>Table</w:t>
      </w:r>
      <w:r>
        <w:rPr>
          <w:spacing w:val="-6"/>
          <w:sz w:val="16"/>
        </w:rPr>
        <w:t> </w:t>
      </w:r>
      <w:r>
        <w:rPr>
          <w:sz w:val="16"/>
        </w:rPr>
        <w:t>2.</w:t>
      </w:r>
      <w:r>
        <w:rPr>
          <w:spacing w:val="-3"/>
          <w:sz w:val="16"/>
        </w:rPr>
        <w:t> </w:t>
      </w:r>
      <w:r>
        <w:rPr>
          <w:sz w:val="16"/>
        </w:rPr>
        <w:t>Feasibility</w:t>
      </w:r>
      <w:r>
        <w:rPr>
          <w:spacing w:val="-5"/>
          <w:sz w:val="16"/>
        </w:rPr>
        <w:t> </w:t>
      </w:r>
      <w:r>
        <w:rPr>
          <w:sz w:val="16"/>
        </w:rPr>
        <w:t>of</w:t>
      </w:r>
      <w:r>
        <w:rPr>
          <w:spacing w:val="-3"/>
          <w:sz w:val="16"/>
        </w:rPr>
        <w:t> </w:t>
      </w:r>
      <w:r>
        <w:rPr>
          <w:sz w:val="16"/>
        </w:rPr>
        <w:t>strategic</w:t>
      </w:r>
      <w:r>
        <w:rPr>
          <w:spacing w:val="-2"/>
          <w:sz w:val="16"/>
        </w:rPr>
        <w:t> choice</w:t>
      </w:r>
    </w:p>
    <w:p>
      <w:pPr>
        <w:pStyle w:val="BodyText"/>
        <w:spacing w:before="21"/>
      </w:pPr>
    </w:p>
    <w:tbl>
      <w:tblPr>
        <w:tblW w:w="0" w:type="auto"/>
        <w:jc w:val="left"/>
        <w:tblInd w:w="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5"/>
        <w:gridCol w:w="1773"/>
        <w:gridCol w:w="1397"/>
        <w:gridCol w:w="1385"/>
        <w:gridCol w:w="1491"/>
      </w:tblGrid>
      <w:tr>
        <w:trPr>
          <w:trHeight w:val="181" w:hRule="atLeast"/>
        </w:trPr>
        <w:tc>
          <w:tcPr>
            <w:tcW w:w="2655" w:type="dxa"/>
            <w:tcBorders>
              <w:top w:val="single" w:sz="4" w:space="0" w:color="000000"/>
            </w:tcBorders>
          </w:tcPr>
          <w:p>
            <w:pPr>
              <w:pStyle w:val="TableParagraph"/>
              <w:spacing w:line="162" w:lineRule="exact"/>
              <w:ind w:left="122"/>
              <w:rPr>
                <w:sz w:val="16"/>
              </w:rPr>
            </w:pPr>
            <w:r>
              <w:rPr>
                <w:sz w:val="16"/>
              </w:rPr>
              <w:t>Investment</w:t>
            </w:r>
            <w:r>
              <w:rPr>
                <w:spacing w:val="-12"/>
                <w:sz w:val="16"/>
              </w:rPr>
              <w:t> </w:t>
            </w:r>
            <w:r>
              <w:rPr>
                <w:sz w:val="16"/>
              </w:rPr>
              <w:t>effectiveness</w:t>
            </w:r>
            <w:r>
              <w:rPr>
                <w:spacing w:val="-9"/>
                <w:sz w:val="16"/>
              </w:rPr>
              <w:t> </w:t>
            </w:r>
            <w:r>
              <w:rPr>
                <w:spacing w:val="-4"/>
                <w:sz w:val="16"/>
              </w:rPr>
              <w:t>ratio</w:t>
            </w:r>
          </w:p>
        </w:tc>
        <w:tc>
          <w:tcPr>
            <w:tcW w:w="1773" w:type="dxa"/>
            <w:tcBorders>
              <w:top w:val="single" w:sz="4" w:space="0" w:color="000000"/>
            </w:tcBorders>
          </w:tcPr>
          <w:p>
            <w:pPr>
              <w:pStyle w:val="TableParagraph"/>
              <w:spacing w:line="162" w:lineRule="exact"/>
              <w:ind w:left="611"/>
              <w:rPr>
                <w:sz w:val="16"/>
              </w:rPr>
            </w:pPr>
            <w:r>
              <w:rPr>
                <w:sz w:val="16"/>
              </w:rPr>
              <w:t>Invest</w:t>
            </w:r>
            <w:r>
              <w:rPr>
                <w:spacing w:val="-7"/>
                <w:sz w:val="16"/>
              </w:rPr>
              <w:t> </w:t>
            </w:r>
            <w:r>
              <w:rPr>
                <w:spacing w:val="-5"/>
                <w:sz w:val="16"/>
              </w:rPr>
              <w:t>in</w:t>
            </w:r>
          </w:p>
        </w:tc>
        <w:tc>
          <w:tcPr>
            <w:tcW w:w="1397" w:type="dxa"/>
            <w:tcBorders>
              <w:top w:val="single" w:sz="4" w:space="0" w:color="000000"/>
            </w:tcBorders>
          </w:tcPr>
          <w:p>
            <w:pPr>
              <w:pStyle w:val="TableParagraph"/>
              <w:spacing w:line="162" w:lineRule="exact"/>
              <w:ind w:left="225"/>
              <w:rPr>
                <w:sz w:val="16"/>
              </w:rPr>
            </w:pPr>
            <w:r>
              <w:rPr>
                <w:sz w:val="16"/>
              </w:rPr>
              <w:t>Invest</w:t>
            </w:r>
            <w:r>
              <w:rPr>
                <w:spacing w:val="-7"/>
                <w:sz w:val="16"/>
              </w:rPr>
              <w:t> </w:t>
            </w:r>
            <w:r>
              <w:rPr>
                <w:spacing w:val="-5"/>
                <w:sz w:val="16"/>
              </w:rPr>
              <w:t>in</w:t>
            </w:r>
          </w:p>
        </w:tc>
        <w:tc>
          <w:tcPr>
            <w:tcW w:w="1385" w:type="dxa"/>
            <w:tcBorders>
              <w:top w:val="single" w:sz="4" w:space="0" w:color="000000"/>
            </w:tcBorders>
          </w:tcPr>
          <w:p>
            <w:pPr>
              <w:pStyle w:val="TableParagraph"/>
              <w:spacing w:line="162" w:lineRule="exact"/>
              <w:ind w:left="215"/>
              <w:rPr>
                <w:sz w:val="16"/>
              </w:rPr>
            </w:pPr>
            <w:r>
              <w:rPr>
                <w:sz w:val="16"/>
              </w:rPr>
              <w:t>Invest</w:t>
            </w:r>
            <w:r>
              <w:rPr>
                <w:spacing w:val="-7"/>
                <w:sz w:val="16"/>
              </w:rPr>
              <w:t> </w:t>
            </w:r>
            <w:r>
              <w:rPr>
                <w:spacing w:val="-5"/>
                <w:sz w:val="16"/>
              </w:rPr>
              <w:t>in</w:t>
            </w:r>
          </w:p>
        </w:tc>
        <w:tc>
          <w:tcPr>
            <w:tcW w:w="1491" w:type="dxa"/>
            <w:tcBorders>
              <w:top w:val="single" w:sz="4" w:space="0" w:color="000000"/>
            </w:tcBorders>
          </w:tcPr>
          <w:p>
            <w:pPr>
              <w:pStyle w:val="TableParagraph"/>
              <w:spacing w:line="162" w:lineRule="exact"/>
              <w:ind w:right="322"/>
              <w:jc w:val="right"/>
              <w:rPr>
                <w:sz w:val="16"/>
              </w:rPr>
            </w:pPr>
            <w:r>
              <w:rPr>
                <w:sz w:val="16"/>
              </w:rPr>
              <w:t>Invest</w:t>
            </w:r>
            <w:r>
              <w:rPr>
                <w:spacing w:val="-3"/>
                <w:sz w:val="16"/>
              </w:rPr>
              <w:t> </w:t>
            </w:r>
            <w:r>
              <w:rPr>
                <w:sz w:val="16"/>
              </w:rPr>
              <w:t>in</w:t>
            </w:r>
            <w:r>
              <w:rPr>
                <w:spacing w:val="-1"/>
                <w:sz w:val="16"/>
              </w:rPr>
              <w:t> </w:t>
            </w:r>
            <w:r>
              <w:rPr>
                <w:spacing w:val="-4"/>
                <w:sz w:val="16"/>
              </w:rPr>
              <w:t>Wind</w:t>
            </w:r>
          </w:p>
        </w:tc>
      </w:tr>
      <w:tr>
        <w:trPr>
          <w:trHeight w:val="184" w:hRule="atLeast"/>
        </w:trPr>
        <w:tc>
          <w:tcPr>
            <w:tcW w:w="2655" w:type="dxa"/>
          </w:tcPr>
          <w:p>
            <w:pPr>
              <w:pStyle w:val="TableParagraph"/>
              <w:spacing w:line="165" w:lineRule="exact"/>
              <w:ind w:left="122"/>
              <w:rPr>
                <w:sz w:val="16"/>
              </w:rPr>
            </w:pPr>
            <w:r>
              <w:rPr>
                <w:sz w:val="16"/>
              </w:rPr>
              <w:t>1</w:t>
            </w:r>
            <w:r>
              <w:rPr>
                <w:spacing w:val="-3"/>
                <w:sz w:val="16"/>
              </w:rPr>
              <w:t> </w:t>
            </w:r>
            <w:r>
              <w:rPr>
                <w:sz w:val="16"/>
              </w:rPr>
              <w:t>Euro</w:t>
            </w:r>
            <w:r>
              <w:rPr>
                <w:spacing w:val="-2"/>
                <w:sz w:val="16"/>
              </w:rPr>
              <w:t> </w:t>
            </w:r>
            <w:r>
              <w:rPr>
                <w:sz w:val="16"/>
              </w:rPr>
              <w:t>=</w:t>
            </w:r>
            <w:r>
              <w:rPr>
                <w:spacing w:val="-3"/>
                <w:sz w:val="16"/>
              </w:rPr>
              <w:t> </w:t>
            </w:r>
            <w:r>
              <w:rPr>
                <w:sz w:val="16"/>
              </w:rPr>
              <w:t>0.7208 </w:t>
            </w:r>
            <w:r>
              <w:rPr>
                <w:spacing w:val="-5"/>
                <w:sz w:val="16"/>
              </w:rPr>
              <w:t>LVL</w:t>
            </w:r>
          </w:p>
        </w:tc>
        <w:tc>
          <w:tcPr>
            <w:tcW w:w="1773" w:type="dxa"/>
          </w:tcPr>
          <w:p>
            <w:pPr>
              <w:pStyle w:val="TableParagraph"/>
              <w:spacing w:line="165" w:lineRule="exact"/>
              <w:ind w:left="611"/>
              <w:rPr>
                <w:sz w:val="16"/>
              </w:rPr>
            </w:pPr>
            <w:r>
              <w:rPr>
                <w:sz w:val="16"/>
              </w:rPr>
              <w:t>Zilupe</w:t>
            </w:r>
            <w:r>
              <w:rPr>
                <w:spacing w:val="-5"/>
                <w:sz w:val="16"/>
              </w:rPr>
              <w:t> HPS</w:t>
            </w:r>
          </w:p>
        </w:tc>
        <w:tc>
          <w:tcPr>
            <w:tcW w:w="1397" w:type="dxa"/>
          </w:tcPr>
          <w:p>
            <w:pPr>
              <w:pStyle w:val="TableParagraph"/>
              <w:spacing w:line="165" w:lineRule="exact"/>
              <w:ind w:left="225"/>
              <w:rPr>
                <w:sz w:val="16"/>
              </w:rPr>
            </w:pPr>
            <w:r>
              <w:rPr>
                <w:spacing w:val="-2"/>
                <w:sz w:val="16"/>
              </w:rPr>
              <w:t>Mezrozite</w:t>
            </w:r>
          </w:p>
        </w:tc>
        <w:tc>
          <w:tcPr>
            <w:tcW w:w="1385" w:type="dxa"/>
          </w:tcPr>
          <w:p>
            <w:pPr>
              <w:pStyle w:val="TableParagraph"/>
              <w:spacing w:line="165" w:lineRule="exact"/>
              <w:ind w:left="215"/>
              <w:rPr>
                <w:sz w:val="16"/>
              </w:rPr>
            </w:pPr>
            <w:r>
              <w:rPr>
                <w:sz w:val="16"/>
              </w:rPr>
              <w:t>Vecogre</w:t>
            </w:r>
            <w:r>
              <w:rPr>
                <w:spacing w:val="-5"/>
                <w:sz w:val="16"/>
              </w:rPr>
              <w:t> HPS</w:t>
            </w:r>
          </w:p>
        </w:tc>
        <w:tc>
          <w:tcPr>
            <w:tcW w:w="1491" w:type="dxa"/>
          </w:tcPr>
          <w:p>
            <w:pPr>
              <w:pStyle w:val="TableParagraph"/>
              <w:spacing w:line="165" w:lineRule="exact"/>
              <w:ind w:right="370"/>
              <w:jc w:val="right"/>
              <w:rPr>
                <w:sz w:val="16"/>
              </w:rPr>
            </w:pPr>
            <w:r>
              <w:rPr>
                <w:sz w:val="16"/>
              </w:rPr>
              <w:t>Power</w:t>
            </w:r>
            <w:r>
              <w:rPr>
                <w:spacing w:val="-8"/>
                <w:sz w:val="16"/>
              </w:rPr>
              <w:t> </w:t>
            </w:r>
            <w:r>
              <w:rPr>
                <w:spacing w:val="-2"/>
                <w:sz w:val="16"/>
              </w:rPr>
              <w:t>Station</w:t>
            </w:r>
          </w:p>
        </w:tc>
      </w:tr>
      <w:tr>
        <w:trPr>
          <w:trHeight w:val="367" w:hRule="atLeast"/>
        </w:trPr>
        <w:tc>
          <w:tcPr>
            <w:tcW w:w="2655" w:type="dxa"/>
          </w:tcPr>
          <w:p>
            <w:pPr>
              <w:pStyle w:val="TableParagraph"/>
              <w:rPr>
                <w:sz w:val="18"/>
              </w:rPr>
            </w:pPr>
          </w:p>
        </w:tc>
        <w:tc>
          <w:tcPr>
            <w:tcW w:w="1773" w:type="dxa"/>
          </w:tcPr>
          <w:p>
            <w:pPr>
              <w:pStyle w:val="TableParagraph"/>
              <w:spacing w:line="182" w:lineRule="exact"/>
              <w:ind w:left="611"/>
              <w:rPr>
                <w:sz w:val="16"/>
              </w:rPr>
            </w:pPr>
            <w:r>
              <w:rPr>
                <w:spacing w:val="-2"/>
                <w:sz w:val="16"/>
              </w:rPr>
              <w:t>Modernisation</w:t>
            </w:r>
            <w:r>
              <w:rPr>
                <w:spacing w:val="40"/>
                <w:sz w:val="16"/>
              </w:rPr>
              <w:t> </w:t>
            </w:r>
            <w:r>
              <w:rPr>
                <w:sz w:val="16"/>
              </w:rPr>
              <w:t>WACC</w:t>
            </w:r>
            <w:r>
              <w:rPr>
                <w:spacing w:val="-5"/>
                <w:sz w:val="16"/>
              </w:rPr>
              <w:t> </w:t>
            </w:r>
            <w:r>
              <w:rPr>
                <w:spacing w:val="-2"/>
                <w:sz w:val="16"/>
              </w:rPr>
              <w:t>9.40%</w:t>
            </w:r>
          </w:p>
        </w:tc>
        <w:tc>
          <w:tcPr>
            <w:tcW w:w="1397" w:type="dxa"/>
          </w:tcPr>
          <w:p>
            <w:pPr>
              <w:pStyle w:val="TableParagraph"/>
              <w:spacing w:line="181" w:lineRule="exact"/>
              <w:ind w:left="225"/>
              <w:rPr>
                <w:sz w:val="16"/>
              </w:rPr>
            </w:pPr>
            <w:r>
              <w:rPr>
                <w:spacing w:val="-5"/>
                <w:sz w:val="16"/>
              </w:rPr>
              <w:t>HPS</w:t>
            </w:r>
          </w:p>
          <w:p>
            <w:pPr>
              <w:pStyle w:val="TableParagraph"/>
              <w:spacing w:line="167" w:lineRule="exact"/>
              <w:ind w:left="225"/>
              <w:rPr>
                <w:sz w:val="16"/>
              </w:rPr>
            </w:pPr>
            <w:r>
              <w:rPr>
                <w:spacing w:val="-2"/>
                <w:sz w:val="16"/>
              </w:rPr>
              <w:t>Modernisation</w:t>
            </w:r>
          </w:p>
        </w:tc>
        <w:tc>
          <w:tcPr>
            <w:tcW w:w="1385" w:type="dxa"/>
          </w:tcPr>
          <w:p>
            <w:pPr>
              <w:pStyle w:val="TableParagraph"/>
              <w:spacing w:line="182" w:lineRule="exact"/>
              <w:ind w:left="215"/>
              <w:rPr>
                <w:sz w:val="16"/>
              </w:rPr>
            </w:pPr>
            <w:r>
              <w:rPr>
                <w:spacing w:val="-2"/>
                <w:sz w:val="16"/>
              </w:rPr>
              <w:t>Modernisation</w:t>
            </w:r>
            <w:r>
              <w:rPr>
                <w:spacing w:val="40"/>
                <w:sz w:val="16"/>
              </w:rPr>
              <w:t> </w:t>
            </w:r>
            <w:r>
              <w:rPr>
                <w:sz w:val="16"/>
              </w:rPr>
              <w:t>WACC</w:t>
            </w:r>
            <w:r>
              <w:rPr>
                <w:spacing w:val="-5"/>
                <w:sz w:val="16"/>
              </w:rPr>
              <w:t> </w:t>
            </w:r>
            <w:r>
              <w:rPr>
                <w:spacing w:val="-2"/>
                <w:sz w:val="16"/>
              </w:rPr>
              <w:t>9.40%</w:t>
            </w:r>
          </w:p>
        </w:tc>
        <w:tc>
          <w:tcPr>
            <w:tcW w:w="1491" w:type="dxa"/>
          </w:tcPr>
          <w:p>
            <w:pPr>
              <w:pStyle w:val="TableParagraph"/>
              <w:spacing w:line="180" w:lineRule="exact"/>
              <w:ind w:left="215"/>
              <w:rPr>
                <w:sz w:val="16"/>
              </w:rPr>
            </w:pPr>
            <w:r>
              <w:rPr>
                <w:spacing w:val="-2"/>
                <w:sz w:val="16"/>
              </w:rPr>
              <w:t>(WPS)</w:t>
            </w:r>
          </w:p>
          <w:p>
            <w:pPr>
              <w:pStyle w:val="TableParagraph"/>
              <w:spacing w:line="167" w:lineRule="exact"/>
              <w:ind w:left="215"/>
              <w:rPr>
                <w:sz w:val="16"/>
              </w:rPr>
            </w:pPr>
            <w:r>
              <w:rPr>
                <w:sz w:val="16"/>
              </w:rPr>
              <w:t>RADR</w:t>
            </w:r>
            <w:r>
              <w:rPr>
                <w:spacing w:val="-7"/>
                <w:sz w:val="16"/>
              </w:rPr>
              <w:t> </w:t>
            </w:r>
            <w:r>
              <w:rPr>
                <w:spacing w:val="-2"/>
                <w:sz w:val="16"/>
              </w:rPr>
              <w:t>10.00%</w:t>
            </w:r>
          </w:p>
        </w:tc>
      </w:tr>
      <w:tr>
        <w:trPr>
          <w:trHeight w:val="283" w:hRule="atLeast"/>
        </w:trPr>
        <w:tc>
          <w:tcPr>
            <w:tcW w:w="2655" w:type="dxa"/>
            <w:tcBorders>
              <w:bottom w:val="single" w:sz="4" w:space="0" w:color="000000"/>
            </w:tcBorders>
          </w:tcPr>
          <w:p>
            <w:pPr>
              <w:pStyle w:val="TableParagraph"/>
              <w:rPr>
                <w:sz w:val="18"/>
              </w:rPr>
            </w:pPr>
          </w:p>
        </w:tc>
        <w:tc>
          <w:tcPr>
            <w:tcW w:w="1773" w:type="dxa"/>
            <w:tcBorders>
              <w:bottom w:val="single" w:sz="4" w:space="0" w:color="000000"/>
            </w:tcBorders>
          </w:tcPr>
          <w:p>
            <w:pPr>
              <w:pStyle w:val="TableParagraph"/>
              <w:rPr>
                <w:sz w:val="18"/>
              </w:rPr>
            </w:pPr>
          </w:p>
        </w:tc>
        <w:tc>
          <w:tcPr>
            <w:tcW w:w="1397" w:type="dxa"/>
            <w:tcBorders>
              <w:bottom w:val="single" w:sz="4" w:space="0" w:color="000000"/>
            </w:tcBorders>
          </w:tcPr>
          <w:p>
            <w:pPr>
              <w:pStyle w:val="TableParagraph"/>
              <w:spacing w:line="181" w:lineRule="exact"/>
              <w:ind w:left="225"/>
              <w:rPr>
                <w:sz w:val="16"/>
              </w:rPr>
            </w:pPr>
            <w:r>
              <w:rPr>
                <w:sz w:val="16"/>
              </w:rPr>
              <w:t>WACC</w:t>
            </w:r>
            <w:r>
              <w:rPr>
                <w:spacing w:val="-5"/>
                <w:sz w:val="16"/>
              </w:rPr>
              <w:t> </w:t>
            </w:r>
            <w:r>
              <w:rPr>
                <w:spacing w:val="-2"/>
                <w:sz w:val="16"/>
              </w:rPr>
              <w:t>9.40%</w:t>
            </w:r>
          </w:p>
        </w:tc>
        <w:tc>
          <w:tcPr>
            <w:tcW w:w="1385" w:type="dxa"/>
            <w:tcBorders>
              <w:bottom w:val="single" w:sz="4" w:space="0" w:color="000000"/>
            </w:tcBorders>
          </w:tcPr>
          <w:p>
            <w:pPr>
              <w:pStyle w:val="TableParagraph"/>
              <w:rPr>
                <w:sz w:val="18"/>
              </w:rPr>
            </w:pPr>
          </w:p>
        </w:tc>
        <w:tc>
          <w:tcPr>
            <w:tcW w:w="1491" w:type="dxa"/>
            <w:tcBorders>
              <w:bottom w:val="single" w:sz="4" w:space="0" w:color="000000"/>
            </w:tcBorders>
          </w:tcPr>
          <w:p>
            <w:pPr>
              <w:pStyle w:val="TableParagraph"/>
              <w:rPr>
                <w:sz w:val="18"/>
              </w:rPr>
            </w:pPr>
          </w:p>
        </w:tc>
      </w:tr>
      <w:tr>
        <w:trPr>
          <w:trHeight w:val="256" w:hRule="atLeast"/>
        </w:trPr>
        <w:tc>
          <w:tcPr>
            <w:tcW w:w="2655" w:type="dxa"/>
            <w:tcBorders>
              <w:top w:val="single" w:sz="4" w:space="0" w:color="000000"/>
            </w:tcBorders>
          </w:tcPr>
          <w:p>
            <w:pPr>
              <w:pStyle w:val="TableParagraph"/>
              <w:spacing w:line="178" w:lineRule="exact"/>
              <w:ind w:left="122"/>
              <w:rPr>
                <w:sz w:val="16"/>
              </w:rPr>
            </w:pPr>
            <w:r>
              <w:rPr>
                <w:sz w:val="16"/>
              </w:rPr>
              <w:t>Initial</w:t>
            </w:r>
            <w:r>
              <w:rPr>
                <w:spacing w:val="-4"/>
                <w:sz w:val="16"/>
              </w:rPr>
              <w:t> </w:t>
            </w:r>
            <w:r>
              <w:rPr>
                <w:sz w:val="16"/>
              </w:rPr>
              <w:t>Outlay</w:t>
            </w:r>
            <w:r>
              <w:rPr>
                <w:spacing w:val="-4"/>
                <w:sz w:val="16"/>
              </w:rPr>
              <w:t> </w:t>
            </w:r>
            <w:r>
              <w:rPr>
                <w:sz w:val="16"/>
              </w:rPr>
              <w:t>(</w:t>
            </w:r>
            <w:r>
              <w:rPr>
                <w:spacing w:val="-2"/>
                <w:sz w:val="16"/>
              </w:rPr>
              <w:t> </w:t>
            </w:r>
            <w:r>
              <w:rPr>
                <w:sz w:val="16"/>
              </w:rPr>
              <w:t>in</w:t>
            </w:r>
            <w:r>
              <w:rPr>
                <w:spacing w:val="-3"/>
                <w:sz w:val="16"/>
              </w:rPr>
              <w:t> </w:t>
            </w:r>
            <w:r>
              <w:rPr>
                <w:spacing w:val="-4"/>
                <w:sz w:val="16"/>
              </w:rPr>
              <w:t>LVL)</w:t>
            </w:r>
          </w:p>
        </w:tc>
        <w:tc>
          <w:tcPr>
            <w:tcW w:w="1773" w:type="dxa"/>
            <w:tcBorders>
              <w:top w:val="single" w:sz="4" w:space="0" w:color="000000"/>
            </w:tcBorders>
          </w:tcPr>
          <w:p>
            <w:pPr>
              <w:pStyle w:val="TableParagraph"/>
              <w:spacing w:line="223" w:lineRule="exact"/>
              <w:ind w:right="239"/>
              <w:jc w:val="right"/>
              <w:rPr>
                <w:sz w:val="16"/>
              </w:rPr>
            </w:pPr>
            <w:r>
              <w:rPr>
                <w:spacing w:val="-4"/>
                <w:sz w:val="20"/>
              </w:rPr>
              <w:t>-</w:t>
            </w:r>
            <w:r>
              <w:rPr>
                <w:spacing w:val="-2"/>
                <w:sz w:val="16"/>
              </w:rPr>
              <w:t>27128.00</w:t>
            </w:r>
          </w:p>
        </w:tc>
        <w:tc>
          <w:tcPr>
            <w:tcW w:w="1397" w:type="dxa"/>
            <w:tcBorders>
              <w:top w:val="single" w:sz="4" w:space="0" w:color="000000"/>
            </w:tcBorders>
          </w:tcPr>
          <w:p>
            <w:pPr>
              <w:pStyle w:val="TableParagraph"/>
              <w:spacing w:before="11"/>
              <w:ind w:right="215"/>
              <w:jc w:val="right"/>
              <w:rPr>
                <w:sz w:val="16"/>
              </w:rPr>
            </w:pPr>
            <w:r>
              <w:rPr>
                <w:spacing w:val="-2"/>
                <w:sz w:val="16"/>
              </w:rPr>
              <w:t>-398664.00</w:t>
            </w:r>
          </w:p>
        </w:tc>
        <w:tc>
          <w:tcPr>
            <w:tcW w:w="1385" w:type="dxa"/>
            <w:tcBorders>
              <w:top w:val="single" w:sz="4" w:space="0" w:color="000000"/>
            </w:tcBorders>
          </w:tcPr>
          <w:p>
            <w:pPr>
              <w:pStyle w:val="TableParagraph"/>
              <w:spacing w:before="11"/>
              <w:ind w:left="431"/>
              <w:rPr>
                <w:sz w:val="16"/>
              </w:rPr>
            </w:pPr>
            <w:r>
              <w:rPr>
                <w:spacing w:val="-2"/>
                <w:sz w:val="16"/>
              </w:rPr>
              <w:t>-260592.00</w:t>
            </w:r>
          </w:p>
        </w:tc>
        <w:tc>
          <w:tcPr>
            <w:tcW w:w="1491" w:type="dxa"/>
            <w:tcBorders>
              <w:top w:val="single" w:sz="4" w:space="0" w:color="000000"/>
            </w:tcBorders>
          </w:tcPr>
          <w:p>
            <w:pPr>
              <w:pStyle w:val="TableParagraph"/>
              <w:spacing w:before="11"/>
              <w:ind w:right="282"/>
              <w:jc w:val="right"/>
              <w:rPr>
                <w:sz w:val="16"/>
              </w:rPr>
            </w:pPr>
            <w:r>
              <w:rPr>
                <w:spacing w:val="-2"/>
                <w:sz w:val="16"/>
              </w:rPr>
              <w:t>-1105200.00</w:t>
            </w:r>
          </w:p>
        </w:tc>
      </w:tr>
      <w:tr>
        <w:trPr>
          <w:trHeight w:val="277" w:hRule="atLeast"/>
        </w:trPr>
        <w:tc>
          <w:tcPr>
            <w:tcW w:w="2655" w:type="dxa"/>
          </w:tcPr>
          <w:p>
            <w:pPr>
              <w:pStyle w:val="TableParagraph"/>
              <w:spacing w:before="28"/>
              <w:ind w:left="122"/>
              <w:rPr>
                <w:sz w:val="16"/>
              </w:rPr>
            </w:pPr>
            <w:r>
              <w:rPr>
                <w:sz w:val="16"/>
              </w:rPr>
              <w:t>NPV</w:t>
            </w:r>
            <w:r>
              <w:rPr>
                <w:spacing w:val="-3"/>
                <w:sz w:val="16"/>
              </w:rPr>
              <w:t> </w:t>
            </w:r>
            <w:r>
              <w:rPr>
                <w:sz w:val="16"/>
              </w:rPr>
              <w:t>(in</w:t>
            </w:r>
            <w:r>
              <w:rPr>
                <w:spacing w:val="1"/>
                <w:sz w:val="16"/>
              </w:rPr>
              <w:t> </w:t>
            </w:r>
            <w:r>
              <w:rPr>
                <w:spacing w:val="-4"/>
                <w:sz w:val="16"/>
              </w:rPr>
              <w:t>LVL)</w:t>
            </w:r>
          </w:p>
        </w:tc>
        <w:tc>
          <w:tcPr>
            <w:tcW w:w="1773" w:type="dxa"/>
          </w:tcPr>
          <w:p>
            <w:pPr>
              <w:pStyle w:val="TableParagraph"/>
              <w:spacing w:before="45"/>
              <w:ind w:right="274"/>
              <w:jc w:val="right"/>
              <w:rPr>
                <w:sz w:val="16"/>
              </w:rPr>
            </w:pPr>
            <w:r>
              <w:rPr>
                <w:spacing w:val="-2"/>
                <w:sz w:val="16"/>
              </w:rPr>
              <w:t>13747.20</w:t>
            </w:r>
          </w:p>
        </w:tc>
        <w:tc>
          <w:tcPr>
            <w:tcW w:w="1397" w:type="dxa"/>
          </w:tcPr>
          <w:p>
            <w:pPr>
              <w:pStyle w:val="TableParagraph"/>
              <w:spacing w:before="45"/>
              <w:ind w:right="257"/>
              <w:jc w:val="right"/>
              <w:rPr>
                <w:sz w:val="16"/>
              </w:rPr>
            </w:pPr>
            <w:r>
              <w:rPr>
                <w:spacing w:val="-2"/>
                <w:sz w:val="16"/>
              </w:rPr>
              <w:t>-63926.40</w:t>
            </w:r>
          </w:p>
        </w:tc>
        <w:tc>
          <w:tcPr>
            <w:tcW w:w="1385" w:type="dxa"/>
          </w:tcPr>
          <w:p>
            <w:pPr>
              <w:pStyle w:val="TableParagraph"/>
              <w:spacing w:before="45"/>
              <w:ind w:left="499"/>
              <w:rPr>
                <w:sz w:val="16"/>
              </w:rPr>
            </w:pPr>
            <w:r>
              <w:rPr>
                <w:spacing w:val="-2"/>
                <w:sz w:val="16"/>
              </w:rPr>
              <w:t>33411.26</w:t>
            </w:r>
          </w:p>
        </w:tc>
        <w:tc>
          <w:tcPr>
            <w:tcW w:w="1491" w:type="dxa"/>
          </w:tcPr>
          <w:p>
            <w:pPr>
              <w:pStyle w:val="TableParagraph"/>
              <w:spacing w:before="45"/>
              <w:ind w:right="321"/>
              <w:jc w:val="right"/>
              <w:rPr>
                <w:sz w:val="16"/>
              </w:rPr>
            </w:pPr>
            <w:r>
              <w:rPr>
                <w:spacing w:val="-2"/>
                <w:sz w:val="16"/>
              </w:rPr>
              <w:t>-215728.14</w:t>
            </w:r>
          </w:p>
        </w:tc>
      </w:tr>
      <w:tr>
        <w:trPr>
          <w:trHeight w:val="288" w:hRule="atLeast"/>
        </w:trPr>
        <w:tc>
          <w:tcPr>
            <w:tcW w:w="2655" w:type="dxa"/>
          </w:tcPr>
          <w:p>
            <w:pPr>
              <w:pStyle w:val="TableParagraph"/>
              <w:spacing w:before="43"/>
              <w:ind w:left="122"/>
              <w:rPr>
                <w:sz w:val="16"/>
              </w:rPr>
            </w:pPr>
            <w:r>
              <w:rPr>
                <w:sz w:val="16"/>
              </w:rPr>
              <w:t>IRR</w:t>
            </w:r>
            <w:r>
              <w:rPr>
                <w:spacing w:val="-2"/>
                <w:sz w:val="16"/>
              </w:rPr>
              <w:t> </w:t>
            </w:r>
            <w:r>
              <w:rPr>
                <w:sz w:val="16"/>
              </w:rPr>
              <w:t>(in</w:t>
            </w:r>
            <w:r>
              <w:rPr>
                <w:spacing w:val="-2"/>
                <w:sz w:val="16"/>
              </w:rPr>
              <w:t> </w:t>
            </w:r>
            <w:r>
              <w:rPr>
                <w:spacing w:val="-5"/>
                <w:sz w:val="16"/>
              </w:rPr>
              <w:t>%)</w:t>
            </w:r>
          </w:p>
        </w:tc>
        <w:tc>
          <w:tcPr>
            <w:tcW w:w="1773" w:type="dxa"/>
          </w:tcPr>
          <w:p>
            <w:pPr>
              <w:pStyle w:val="TableParagraph"/>
              <w:spacing w:before="59"/>
              <w:ind w:left="1115"/>
              <w:rPr>
                <w:sz w:val="16"/>
              </w:rPr>
            </w:pPr>
            <w:r>
              <w:rPr>
                <w:spacing w:val="-5"/>
                <w:sz w:val="16"/>
              </w:rPr>
              <w:t>16</w:t>
            </w:r>
          </w:p>
        </w:tc>
        <w:tc>
          <w:tcPr>
            <w:tcW w:w="1397" w:type="dxa"/>
          </w:tcPr>
          <w:p>
            <w:pPr>
              <w:pStyle w:val="TableParagraph"/>
              <w:spacing w:before="59"/>
              <w:ind w:left="224"/>
              <w:jc w:val="center"/>
              <w:rPr>
                <w:sz w:val="16"/>
              </w:rPr>
            </w:pPr>
            <w:r>
              <w:rPr>
                <w:spacing w:val="-10"/>
                <w:sz w:val="16"/>
              </w:rPr>
              <w:t>7</w:t>
            </w:r>
          </w:p>
        </w:tc>
        <w:tc>
          <w:tcPr>
            <w:tcW w:w="1385" w:type="dxa"/>
          </w:tcPr>
          <w:p>
            <w:pPr>
              <w:pStyle w:val="TableParagraph"/>
              <w:spacing w:before="59"/>
              <w:ind w:left="216"/>
              <w:jc w:val="center"/>
              <w:rPr>
                <w:sz w:val="16"/>
              </w:rPr>
            </w:pPr>
            <w:r>
              <w:rPr>
                <w:spacing w:val="-5"/>
                <w:sz w:val="16"/>
              </w:rPr>
              <w:t>11</w:t>
            </w:r>
          </w:p>
        </w:tc>
        <w:tc>
          <w:tcPr>
            <w:tcW w:w="1491" w:type="dxa"/>
          </w:tcPr>
          <w:p>
            <w:pPr>
              <w:pStyle w:val="TableParagraph"/>
              <w:spacing w:before="59"/>
              <w:ind w:left="111" w:right="1"/>
              <w:jc w:val="center"/>
              <w:rPr>
                <w:sz w:val="16"/>
              </w:rPr>
            </w:pPr>
            <w:r>
              <w:rPr>
                <w:spacing w:val="-10"/>
                <w:sz w:val="16"/>
              </w:rPr>
              <w:t>7</w:t>
            </w:r>
          </w:p>
        </w:tc>
      </w:tr>
      <w:tr>
        <w:trPr>
          <w:trHeight w:val="288" w:hRule="atLeast"/>
        </w:trPr>
        <w:tc>
          <w:tcPr>
            <w:tcW w:w="2655" w:type="dxa"/>
          </w:tcPr>
          <w:p>
            <w:pPr>
              <w:pStyle w:val="TableParagraph"/>
              <w:spacing w:before="38"/>
              <w:ind w:left="122"/>
              <w:rPr>
                <w:sz w:val="16"/>
              </w:rPr>
            </w:pPr>
            <w:r>
              <w:rPr>
                <w:sz w:val="16"/>
              </w:rPr>
              <w:t>MIRR</w:t>
            </w:r>
            <w:r>
              <w:rPr>
                <w:spacing w:val="-3"/>
                <w:sz w:val="16"/>
              </w:rPr>
              <w:t> </w:t>
            </w:r>
            <w:r>
              <w:rPr>
                <w:sz w:val="16"/>
              </w:rPr>
              <w:t>(in</w:t>
            </w:r>
            <w:r>
              <w:rPr>
                <w:spacing w:val="-3"/>
                <w:sz w:val="16"/>
              </w:rPr>
              <w:t> </w:t>
            </w:r>
            <w:r>
              <w:rPr>
                <w:spacing w:val="-5"/>
                <w:sz w:val="16"/>
              </w:rPr>
              <w:t>%)</w:t>
            </w:r>
          </w:p>
        </w:tc>
        <w:tc>
          <w:tcPr>
            <w:tcW w:w="1773" w:type="dxa"/>
          </w:tcPr>
          <w:p>
            <w:pPr>
              <w:pStyle w:val="TableParagraph"/>
              <w:spacing w:before="55"/>
              <w:ind w:left="1115"/>
              <w:rPr>
                <w:sz w:val="16"/>
              </w:rPr>
            </w:pPr>
            <w:r>
              <w:rPr>
                <w:spacing w:val="-5"/>
                <w:sz w:val="16"/>
              </w:rPr>
              <w:t>12</w:t>
            </w:r>
          </w:p>
        </w:tc>
        <w:tc>
          <w:tcPr>
            <w:tcW w:w="1397" w:type="dxa"/>
          </w:tcPr>
          <w:p>
            <w:pPr>
              <w:pStyle w:val="TableParagraph"/>
              <w:spacing w:before="55"/>
              <w:ind w:left="224"/>
              <w:jc w:val="center"/>
              <w:rPr>
                <w:sz w:val="16"/>
              </w:rPr>
            </w:pPr>
            <w:r>
              <w:rPr>
                <w:spacing w:val="-10"/>
                <w:sz w:val="16"/>
              </w:rPr>
              <w:t>8</w:t>
            </w:r>
          </w:p>
        </w:tc>
        <w:tc>
          <w:tcPr>
            <w:tcW w:w="1385" w:type="dxa"/>
          </w:tcPr>
          <w:p>
            <w:pPr>
              <w:pStyle w:val="TableParagraph"/>
              <w:spacing w:before="55"/>
              <w:ind w:left="216"/>
              <w:jc w:val="center"/>
              <w:rPr>
                <w:sz w:val="16"/>
              </w:rPr>
            </w:pPr>
            <w:r>
              <w:rPr>
                <w:spacing w:val="-5"/>
                <w:sz w:val="16"/>
              </w:rPr>
              <w:t>10</w:t>
            </w:r>
          </w:p>
        </w:tc>
        <w:tc>
          <w:tcPr>
            <w:tcW w:w="1491" w:type="dxa"/>
          </w:tcPr>
          <w:p>
            <w:pPr>
              <w:pStyle w:val="TableParagraph"/>
              <w:spacing w:before="55"/>
              <w:ind w:left="111" w:right="1"/>
              <w:jc w:val="center"/>
              <w:rPr>
                <w:sz w:val="16"/>
              </w:rPr>
            </w:pPr>
            <w:r>
              <w:rPr>
                <w:spacing w:val="-10"/>
                <w:sz w:val="16"/>
              </w:rPr>
              <w:t>9</w:t>
            </w:r>
          </w:p>
        </w:tc>
      </w:tr>
      <w:tr>
        <w:trPr>
          <w:trHeight w:val="291" w:hRule="atLeast"/>
        </w:trPr>
        <w:tc>
          <w:tcPr>
            <w:tcW w:w="2655" w:type="dxa"/>
          </w:tcPr>
          <w:p>
            <w:pPr>
              <w:pStyle w:val="TableParagraph"/>
              <w:spacing w:before="43"/>
              <w:ind w:left="122"/>
              <w:rPr>
                <w:sz w:val="16"/>
              </w:rPr>
            </w:pPr>
            <w:r>
              <w:rPr>
                <w:sz w:val="16"/>
              </w:rPr>
              <w:t>Payback</w:t>
            </w:r>
            <w:r>
              <w:rPr>
                <w:spacing w:val="-4"/>
                <w:sz w:val="16"/>
              </w:rPr>
              <w:t> </w:t>
            </w:r>
            <w:r>
              <w:rPr>
                <w:sz w:val="16"/>
              </w:rPr>
              <w:t>Period</w:t>
            </w:r>
            <w:r>
              <w:rPr>
                <w:spacing w:val="-5"/>
                <w:sz w:val="16"/>
              </w:rPr>
              <w:t> </w:t>
            </w:r>
            <w:r>
              <w:rPr>
                <w:spacing w:val="-2"/>
                <w:sz w:val="16"/>
              </w:rPr>
              <w:t>(years)</w:t>
            </w:r>
          </w:p>
        </w:tc>
        <w:tc>
          <w:tcPr>
            <w:tcW w:w="1773" w:type="dxa"/>
          </w:tcPr>
          <w:p>
            <w:pPr>
              <w:pStyle w:val="TableParagraph"/>
              <w:spacing w:before="59"/>
              <w:ind w:left="1096"/>
              <w:rPr>
                <w:sz w:val="16"/>
              </w:rPr>
            </w:pPr>
            <w:r>
              <w:rPr>
                <w:spacing w:val="-5"/>
                <w:sz w:val="16"/>
              </w:rPr>
              <w:t>5.5</w:t>
            </w:r>
          </w:p>
        </w:tc>
        <w:tc>
          <w:tcPr>
            <w:tcW w:w="1397" w:type="dxa"/>
          </w:tcPr>
          <w:p>
            <w:pPr>
              <w:pStyle w:val="TableParagraph"/>
              <w:spacing w:before="59"/>
              <w:ind w:left="224"/>
              <w:jc w:val="center"/>
              <w:rPr>
                <w:sz w:val="16"/>
              </w:rPr>
            </w:pPr>
            <w:r>
              <w:rPr>
                <w:spacing w:val="-5"/>
                <w:sz w:val="16"/>
              </w:rPr>
              <w:t>7.5</w:t>
            </w:r>
          </w:p>
        </w:tc>
        <w:tc>
          <w:tcPr>
            <w:tcW w:w="1385" w:type="dxa"/>
          </w:tcPr>
          <w:p>
            <w:pPr>
              <w:pStyle w:val="TableParagraph"/>
              <w:spacing w:before="59"/>
              <w:ind w:left="216"/>
              <w:jc w:val="center"/>
              <w:rPr>
                <w:sz w:val="16"/>
              </w:rPr>
            </w:pPr>
            <w:r>
              <w:rPr>
                <w:spacing w:val="-5"/>
                <w:sz w:val="16"/>
              </w:rPr>
              <w:t>7.8</w:t>
            </w:r>
          </w:p>
        </w:tc>
        <w:tc>
          <w:tcPr>
            <w:tcW w:w="1491" w:type="dxa"/>
          </w:tcPr>
          <w:p>
            <w:pPr>
              <w:pStyle w:val="TableParagraph"/>
              <w:spacing w:before="59"/>
              <w:ind w:left="111"/>
              <w:jc w:val="center"/>
              <w:rPr>
                <w:sz w:val="16"/>
              </w:rPr>
            </w:pPr>
            <w:r>
              <w:rPr>
                <w:spacing w:val="-4"/>
                <w:sz w:val="16"/>
              </w:rPr>
              <w:t>11.0</w:t>
            </w:r>
          </w:p>
        </w:tc>
      </w:tr>
      <w:tr>
        <w:trPr>
          <w:trHeight w:val="286" w:hRule="atLeast"/>
        </w:trPr>
        <w:tc>
          <w:tcPr>
            <w:tcW w:w="2655" w:type="dxa"/>
          </w:tcPr>
          <w:p>
            <w:pPr>
              <w:pStyle w:val="TableParagraph"/>
              <w:spacing w:before="41"/>
              <w:ind w:left="122"/>
              <w:rPr>
                <w:sz w:val="16"/>
              </w:rPr>
            </w:pPr>
            <w:r>
              <w:rPr>
                <w:sz w:val="16"/>
              </w:rPr>
              <w:t>PVIFA</w:t>
            </w:r>
            <w:r>
              <w:rPr>
                <w:spacing w:val="-7"/>
                <w:sz w:val="16"/>
              </w:rPr>
              <w:t> </w:t>
            </w:r>
            <w:r>
              <w:rPr>
                <w:sz w:val="16"/>
              </w:rPr>
              <w:t>= [(1+k)^n</w:t>
            </w:r>
            <w:r>
              <w:rPr>
                <w:spacing w:val="-1"/>
                <w:sz w:val="16"/>
              </w:rPr>
              <w:t> </w:t>
            </w:r>
            <w:r>
              <w:rPr>
                <w:sz w:val="16"/>
              </w:rPr>
              <w:t>-</w:t>
            </w:r>
            <w:r>
              <w:rPr>
                <w:spacing w:val="-4"/>
                <w:sz w:val="16"/>
              </w:rPr>
              <w:t> 1]/k</w:t>
            </w:r>
          </w:p>
        </w:tc>
        <w:tc>
          <w:tcPr>
            <w:tcW w:w="1773" w:type="dxa"/>
          </w:tcPr>
          <w:p>
            <w:pPr>
              <w:pStyle w:val="TableParagraph"/>
              <w:spacing w:before="58"/>
              <w:ind w:left="1055"/>
              <w:rPr>
                <w:sz w:val="16"/>
              </w:rPr>
            </w:pPr>
            <w:r>
              <w:rPr>
                <w:spacing w:val="-4"/>
                <w:sz w:val="16"/>
              </w:rPr>
              <w:t>3.85</w:t>
            </w:r>
          </w:p>
        </w:tc>
        <w:tc>
          <w:tcPr>
            <w:tcW w:w="1397" w:type="dxa"/>
          </w:tcPr>
          <w:p>
            <w:pPr>
              <w:pStyle w:val="TableParagraph"/>
              <w:spacing w:before="58"/>
              <w:ind w:left="669"/>
              <w:rPr>
                <w:sz w:val="16"/>
              </w:rPr>
            </w:pPr>
            <w:r>
              <w:rPr>
                <w:spacing w:val="-4"/>
                <w:sz w:val="16"/>
              </w:rPr>
              <w:t>3.85</w:t>
            </w:r>
          </w:p>
        </w:tc>
        <w:tc>
          <w:tcPr>
            <w:tcW w:w="1385" w:type="dxa"/>
          </w:tcPr>
          <w:p>
            <w:pPr>
              <w:pStyle w:val="TableParagraph"/>
              <w:spacing w:before="58"/>
              <w:ind w:left="659"/>
              <w:rPr>
                <w:sz w:val="16"/>
              </w:rPr>
            </w:pPr>
            <w:r>
              <w:rPr>
                <w:spacing w:val="-4"/>
                <w:sz w:val="16"/>
              </w:rPr>
              <w:t>3.85</w:t>
            </w:r>
          </w:p>
        </w:tc>
        <w:tc>
          <w:tcPr>
            <w:tcW w:w="1491" w:type="dxa"/>
          </w:tcPr>
          <w:p>
            <w:pPr>
              <w:pStyle w:val="TableParagraph"/>
              <w:spacing w:before="58"/>
              <w:ind w:left="111"/>
              <w:jc w:val="center"/>
              <w:rPr>
                <w:sz w:val="16"/>
              </w:rPr>
            </w:pPr>
            <w:r>
              <w:rPr>
                <w:spacing w:val="-4"/>
                <w:sz w:val="16"/>
              </w:rPr>
              <w:t>6.73</w:t>
            </w:r>
          </w:p>
        </w:tc>
      </w:tr>
      <w:tr>
        <w:trPr>
          <w:trHeight w:val="326" w:hRule="atLeast"/>
        </w:trPr>
        <w:tc>
          <w:tcPr>
            <w:tcW w:w="2655" w:type="dxa"/>
            <w:tcBorders>
              <w:bottom w:val="single" w:sz="4" w:space="0" w:color="000000"/>
            </w:tcBorders>
          </w:tcPr>
          <w:p>
            <w:pPr>
              <w:pStyle w:val="TableParagraph"/>
              <w:spacing w:before="38"/>
              <w:ind w:left="122"/>
              <w:rPr>
                <w:sz w:val="16"/>
              </w:rPr>
            </w:pPr>
            <w:r>
              <w:rPr>
                <w:sz w:val="16"/>
              </w:rPr>
              <w:t>EAA</w:t>
            </w:r>
            <w:r>
              <w:rPr>
                <w:spacing w:val="-6"/>
                <w:sz w:val="16"/>
              </w:rPr>
              <w:t> </w:t>
            </w:r>
            <w:r>
              <w:rPr>
                <w:sz w:val="16"/>
              </w:rPr>
              <w:t>(in </w:t>
            </w:r>
            <w:r>
              <w:rPr>
                <w:spacing w:val="-4"/>
                <w:sz w:val="16"/>
              </w:rPr>
              <w:t>LVL)</w:t>
            </w:r>
          </w:p>
        </w:tc>
        <w:tc>
          <w:tcPr>
            <w:tcW w:w="1773" w:type="dxa"/>
            <w:tcBorders>
              <w:bottom w:val="single" w:sz="4" w:space="0" w:color="000000"/>
            </w:tcBorders>
          </w:tcPr>
          <w:p>
            <w:pPr>
              <w:pStyle w:val="TableParagraph"/>
              <w:spacing w:before="55"/>
              <w:ind w:right="313"/>
              <w:jc w:val="right"/>
              <w:rPr>
                <w:sz w:val="16"/>
              </w:rPr>
            </w:pPr>
            <w:r>
              <w:rPr>
                <w:spacing w:val="-2"/>
                <w:sz w:val="16"/>
              </w:rPr>
              <w:t>3572.35</w:t>
            </w:r>
          </w:p>
        </w:tc>
        <w:tc>
          <w:tcPr>
            <w:tcW w:w="1397" w:type="dxa"/>
            <w:tcBorders>
              <w:bottom w:val="single" w:sz="4" w:space="0" w:color="000000"/>
            </w:tcBorders>
          </w:tcPr>
          <w:p>
            <w:pPr>
              <w:pStyle w:val="TableParagraph"/>
              <w:spacing w:before="55"/>
              <w:ind w:right="257"/>
              <w:jc w:val="right"/>
              <w:rPr>
                <w:sz w:val="16"/>
              </w:rPr>
            </w:pPr>
            <w:r>
              <w:rPr>
                <w:spacing w:val="-2"/>
                <w:sz w:val="16"/>
              </w:rPr>
              <w:t>-16611.94</w:t>
            </w:r>
          </w:p>
        </w:tc>
        <w:tc>
          <w:tcPr>
            <w:tcW w:w="1385" w:type="dxa"/>
            <w:tcBorders>
              <w:bottom w:val="single" w:sz="4" w:space="0" w:color="000000"/>
            </w:tcBorders>
          </w:tcPr>
          <w:p>
            <w:pPr>
              <w:pStyle w:val="TableParagraph"/>
              <w:spacing w:before="55"/>
              <w:ind w:left="539"/>
              <w:rPr>
                <w:sz w:val="16"/>
              </w:rPr>
            </w:pPr>
            <w:r>
              <w:rPr>
                <w:spacing w:val="-2"/>
                <w:sz w:val="16"/>
              </w:rPr>
              <w:t>8682.26</w:t>
            </w:r>
          </w:p>
        </w:tc>
        <w:tc>
          <w:tcPr>
            <w:tcW w:w="1491" w:type="dxa"/>
            <w:tcBorders>
              <w:bottom w:val="single" w:sz="4" w:space="0" w:color="000000"/>
            </w:tcBorders>
          </w:tcPr>
          <w:p>
            <w:pPr>
              <w:pStyle w:val="TableParagraph"/>
              <w:spacing w:before="55"/>
              <w:ind w:right="363"/>
              <w:jc w:val="right"/>
              <w:rPr>
                <w:sz w:val="16"/>
              </w:rPr>
            </w:pPr>
            <w:r>
              <w:rPr>
                <w:spacing w:val="-2"/>
                <w:sz w:val="16"/>
              </w:rPr>
              <w:t>-32067.67</w:t>
            </w:r>
          </w:p>
        </w:tc>
      </w:tr>
    </w:tbl>
    <w:p>
      <w:pPr>
        <w:pStyle w:val="BodyText"/>
        <w:spacing w:before="61"/>
        <w:rPr>
          <w:sz w:val="16"/>
        </w:rPr>
      </w:pPr>
    </w:p>
    <w:p>
      <w:pPr>
        <w:pStyle w:val="ListParagraph"/>
        <w:numPr>
          <w:ilvl w:val="0"/>
          <w:numId w:val="1"/>
        </w:numPr>
        <w:tabs>
          <w:tab w:pos="635" w:val="left" w:leader="none"/>
        </w:tabs>
        <w:spacing w:line="240" w:lineRule="auto" w:before="1" w:after="0"/>
        <w:ind w:left="635" w:right="0" w:hanging="205"/>
        <w:jc w:val="left"/>
        <w:rPr>
          <w:sz w:val="20"/>
        </w:rPr>
      </w:pPr>
      <w:r>
        <w:rPr>
          <w:spacing w:val="-2"/>
          <w:w w:val="105"/>
          <w:sz w:val="20"/>
        </w:rPr>
        <w:t>Conclusion</w:t>
      </w:r>
    </w:p>
    <w:p>
      <w:pPr>
        <w:pStyle w:val="BodyText"/>
        <w:spacing w:before="7"/>
      </w:pPr>
    </w:p>
    <w:p>
      <w:pPr>
        <w:pStyle w:val="BodyText"/>
        <w:spacing w:before="1"/>
        <w:ind w:left="429" w:right="227" w:firstLine="283"/>
        <w:jc w:val="both"/>
      </w:pPr>
      <w:r>
        <w:rPr/>
        <w:t>According to the analysis conducted, the recommended strategy can be carried out through replacing outdated turbines in HPSs to increase capacity and manufacture more of the current product (power). As it</w:t>
      </w:r>
      <w:r>
        <w:rPr>
          <w:spacing w:val="40"/>
        </w:rPr>
        <w:t> </w:t>
      </w:r>
      <w:r>
        <w:rPr/>
        <w:t>was already stated the most suitable, feasible, and acceptable is to invest in two HPSs: Zilupe and Vecogre. The</w:t>
      </w:r>
      <w:r>
        <w:rPr>
          <w:spacing w:val="-2"/>
        </w:rPr>
        <w:t> </w:t>
      </w:r>
      <w:r>
        <w:rPr/>
        <w:t>following</w:t>
      </w:r>
      <w:r>
        <w:rPr>
          <w:spacing w:val="-4"/>
        </w:rPr>
        <w:t> </w:t>
      </w:r>
      <w:r>
        <w:rPr/>
        <w:t>recommendations</w:t>
      </w:r>
      <w:r>
        <w:rPr>
          <w:spacing w:val="-1"/>
        </w:rPr>
        <w:t> </w:t>
      </w:r>
      <w:r>
        <w:rPr/>
        <w:t>may</w:t>
      </w:r>
      <w:r>
        <w:rPr>
          <w:spacing w:val="-4"/>
        </w:rPr>
        <w:t> </w:t>
      </w:r>
      <w:r>
        <w:rPr/>
        <w:t>be</w:t>
      </w:r>
      <w:r>
        <w:rPr>
          <w:spacing w:val="-2"/>
        </w:rPr>
        <w:t> </w:t>
      </w:r>
      <w:r>
        <w:rPr/>
        <w:t>drown:</w:t>
      </w:r>
      <w:r>
        <w:rPr>
          <w:spacing w:val="-2"/>
        </w:rPr>
        <w:t> </w:t>
      </w:r>
      <w:r>
        <w:rPr/>
        <w:t>for</w:t>
      </w:r>
      <w:r>
        <w:rPr>
          <w:spacing w:val="-2"/>
        </w:rPr>
        <w:t> </w:t>
      </w:r>
      <w:r>
        <w:rPr/>
        <w:t>both</w:t>
      </w:r>
      <w:r>
        <w:rPr>
          <w:spacing w:val="-4"/>
        </w:rPr>
        <w:t> </w:t>
      </w:r>
      <w:r>
        <w:rPr/>
        <w:t>projects</w:t>
      </w:r>
      <w:r>
        <w:rPr>
          <w:spacing w:val="-4"/>
        </w:rPr>
        <w:t> </w:t>
      </w:r>
      <w:r>
        <w:rPr/>
        <w:t>Gugler HIROENERGY Company</w:t>
      </w:r>
      <w:r>
        <w:rPr>
          <w:spacing w:val="-2"/>
        </w:rPr>
        <w:t> </w:t>
      </w:r>
      <w:r>
        <w:rPr/>
        <w:t>should</w:t>
      </w:r>
      <w:r>
        <w:rPr>
          <w:spacing w:val="-3"/>
        </w:rPr>
        <w:t> </w:t>
      </w:r>
      <w:r>
        <w:rPr/>
        <w:t>be considered as supplier of turbine. Zilupe HPS with two existing hydro units: Francis turbine and siphon</w:t>
      </w:r>
      <w:r>
        <w:rPr>
          <w:spacing w:val="40"/>
        </w:rPr>
        <w:t> </w:t>
      </w:r>
      <w:r>
        <w:rPr/>
        <w:t>turbine TM-5 use only part of the Zilupe river hydro energetic potential. Thus, install one new horizontal up to-date hydro unit KT35 with flow regulation option in the chamber before the HPS building. Thus, the quantity</w:t>
      </w:r>
      <w:r>
        <w:rPr>
          <w:spacing w:val="39"/>
        </w:rPr>
        <w:t> </w:t>
      </w:r>
      <w:r>
        <w:rPr/>
        <w:t>of</w:t>
      </w:r>
      <w:r>
        <w:rPr>
          <w:spacing w:val="39"/>
        </w:rPr>
        <w:t> </w:t>
      </w:r>
      <w:r>
        <w:rPr/>
        <w:t>sold</w:t>
      </w:r>
      <w:r>
        <w:rPr>
          <w:spacing w:val="40"/>
        </w:rPr>
        <w:t> </w:t>
      </w:r>
      <w:r>
        <w:rPr/>
        <w:t>electric</w:t>
      </w:r>
      <w:r>
        <w:rPr>
          <w:spacing w:val="40"/>
        </w:rPr>
        <w:t> </w:t>
      </w:r>
      <w:r>
        <w:rPr/>
        <w:t>power</w:t>
      </w:r>
      <w:r>
        <w:rPr>
          <w:spacing w:val="40"/>
        </w:rPr>
        <w:t> </w:t>
      </w:r>
      <w:r>
        <w:rPr/>
        <w:t>will</w:t>
      </w:r>
      <w:r>
        <w:rPr>
          <w:spacing w:val="40"/>
        </w:rPr>
        <w:t> </w:t>
      </w:r>
      <w:r>
        <w:rPr/>
        <w:t>grow</w:t>
      </w:r>
      <w:r>
        <w:rPr>
          <w:spacing w:val="35"/>
        </w:rPr>
        <w:t> </w:t>
      </w:r>
      <w:r>
        <w:rPr/>
        <w:t>average</w:t>
      </w:r>
      <w:r>
        <w:rPr>
          <w:spacing w:val="40"/>
        </w:rPr>
        <w:t> </w:t>
      </w:r>
      <w:r>
        <w:rPr/>
        <w:t>from</w:t>
      </w:r>
      <w:r>
        <w:rPr>
          <w:spacing w:val="39"/>
        </w:rPr>
        <w:t> </w:t>
      </w:r>
      <w:r>
        <w:rPr/>
        <w:t>approximately</w:t>
      </w:r>
      <w:r>
        <w:rPr>
          <w:spacing w:val="37"/>
        </w:rPr>
        <w:t> </w:t>
      </w:r>
      <w:r>
        <w:rPr/>
        <w:t>312</w:t>
      </w:r>
      <w:r>
        <w:rPr>
          <w:spacing w:val="40"/>
        </w:rPr>
        <w:t> </w:t>
      </w:r>
      <w:r>
        <w:rPr/>
        <w:t>to</w:t>
      </w:r>
      <w:r>
        <w:rPr>
          <w:spacing w:val="40"/>
        </w:rPr>
        <w:t> </w:t>
      </w:r>
      <w:r>
        <w:rPr/>
        <w:t>382.5</w:t>
      </w:r>
      <w:r>
        <w:rPr>
          <w:spacing w:val="39"/>
        </w:rPr>
        <w:t> </w:t>
      </w:r>
      <w:r>
        <w:rPr/>
        <w:t>thousands</w:t>
      </w:r>
      <w:r>
        <w:rPr>
          <w:spacing w:val="39"/>
        </w:rPr>
        <w:t> </w:t>
      </w:r>
      <w:r>
        <w:rPr/>
        <w:t>kWh</w:t>
      </w:r>
      <w:r>
        <w:rPr>
          <w:spacing w:val="40"/>
        </w:rPr>
        <w:t> </w:t>
      </w:r>
      <w:r>
        <w:rPr/>
        <w:t>for</w:t>
      </w:r>
    </w:p>
    <w:p>
      <w:pPr>
        <w:spacing w:after="0"/>
        <w:jc w:val="both"/>
        <w:sectPr>
          <w:pgSz w:w="10890" w:h="14860"/>
          <w:pgMar w:header="713" w:footer="0" w:top="900" w:bottom="280" w:left="440" w:right="940"/>
        </w:sectPr>
      </w:pPr>
    </w:p>
    <w:p>
      <w:pPr>
        <w:pStyle w:val="BodyText"/>
        <w:spacing w:before="147"/>
      </w:pPr>
    </w:p>
    <w:p>
      <w:pPr>
        <w:pStyle w:val="BodyText"/>
        <w:ind w:left="486" w:right="168"/>
        <w:jc w:val="both"/>
      </w:pPr>
      <w:r>
        <w:rPr/>
        <w:t>average hydrologic year. The growth will make average 70.5 thousands kWh per year. The project will be profitable under the condition that 40% of</w:t>
      </w:r>
      <w:r>
        <w:rPr>
          <w:spacing w:val="-1"/>
        </w:rPr>
        <w:t> </w:t>
      </w:r>
      <w:r>
        <w:rPr/>
        <w:t>the total project costs will be covered from</w:t>
      </w:r>
      <w:r>
        <w:rPr>
          <w:spacing w:val="-1"/>
        </w:rPr>
        <w:t> </w:t>
      </w:r>
      <w:r>
        <w:rPr/>
        <w:t>the EU foundation “For especially supported territories” and the owners will invest residual amount with cash. For Vecogre HPS should</w:t>
      </w:r>
      <w:r>
        <w:rPr>
          <w:spacing w:val="-1"/>
        </w:rPr>
        <w:t> </w:t>
      </w:r>
      <w:r>
        <w:rPr/>
        <w:t>be</w:t>
      </w:r>
      <w:r>
        <w:rPr>
          <w:spacing w:val="-1"/>
        </w:rPr>
        <w:t> </w:t>
      </w:r>
      <w:r>
        <w:rPr/>
        <w:t>installed:</w:t>
      </w:r>
      <w:r>
        <w:rPr>
          <w:spacing w:val="-2"/>
        </w:rPr>
        <w:t> </w:t>
      </w:r>
      <w:r>
        <w:rPr/>
        <w:t>SSK-1000</w:t>
      </w:r>
      <w:r>
        <w:rPr>
          <w:spacing w:val="-1"/>
        </w:rPr>
        <w:t> </w:t>
      </w:r>
      <w:r>
        <w:rPr/>
        <w:t>hydro</w:t>
      </w:r>
      <w:r>
        <w:rPr>
          <w:spacing w:val="-1"/>
        </w:rPr>
        <w:t> </w:t>
      </w:r>
      <w:r>
        <w:rPr/>
        <w:t>unit with</w:t>
      </w:r>
      <w:r>
        <w:rPr>
          <w:spacing w:val="-3"/>
        </w:rPr>
        <w:t> </w:t>
      </w:r>
      <w:r>
        <w:rPr/>
        <w:t>fixed</w:t>
      </w:r>
      <w:r>
        <w:rPr>
          <w:spacing w:val="-1"/>
        </w:rPr>
        <w:t> </w:t>
      </w:r>
      <w:r>
        <w:rPr/>
        <w:t>drive</w:t>
      </w:r>
      <w:r>
        <w:rPr>
          <w:spacing w:val="-1"/>
        </w:rPr>
        <w:t> </w:t>
      </w:r>
      <w:r>
        <w:rPr/>
        <w:t>unit</w:t>
      </w:r>
      <w:r>
        <w:rPr>
          <w:spacing w:val="-3"/>
        </w:rPr>
        <w:t> </w:t>
      </w:r>
      <w:r>
        <w:rPr/>
        <w:t>blades</w:t>
      </w:r>
      <w:r>
        <w:rPr>
          <w:spacing w:val="-1"/>
        </w:rPr>
        <w:t> </w:t>
      </w:r>
      <w:r>
        <w:rPr/>
        <w:t>and adjusted turbine rotor</w:t>
      </w:r>
      <w:r>
        <w:rPr>
          <w:spacing w:val="-1"/>
        </w:rPr>
        <w:t> </w:t>
      </w:r>
      <w:r>
        <w:rPr/>
        <w:t>wheel</w:t>
      </w:r>
      <w:r>
        <w:rPr>
          <w:spacing w:val="-2"/>
        </w:rPr>
        <w:t> </w:t>
      </w:r>
      <w:r>
        <w:rPr/>
        <w:t>blades; SK-1000 hydro unit with Kaplan turbine double regulated; one siphon hydro unit of TM-5 type is considered to be installed in</w:t>
      </w:r>
      <w:r>
        <w:rPr>
          <w:spacing w:val="-1"/>
        </w:rPr>
        <w:t> </w:t>
      </w:r>
      <w:r>
        <w:rPr/>
        <w:t>the special new-built chamber near deferential facility</w:t>
      </w:r>
      <w:r>
        <w:rPr>
          <w:spacing w:val="-1"/>
        </w:rPr>
        <w:t> </w:t>
      </w:r>
      <w:r>
        <w:rPr/>
        <w:t>on</w:t>
      </w:r>
      <w:r>
        <w:rPr>
          <w:spacing w:val="-1"/>
        </w:rPr>
        <w:t> </w:t>
      </w:r>
      <w:r>
        <w:rPr/>
        <w:t>the left bank</w:t>
      </w:r>
      <w:r>
        <w:rPr>
          <w:spacing w:val="-1"/>
        </w:rPr>
        <w:t> </w:t>
      </w:r>
      <w:r>
        <w:rPr/>
        <w:t>of</w:t>
      </w:r>
      <w:r>
        <w:rPr>
          <w:spacing w:val="-1"/>
        </w:rPr>
        <w:t> </w:t>
      </w:r>
      <w:r>
        <w:rPr/>
        <w:t>the Ogre river with regard</w:t>
      </w:r>
      <w:r>
        <w:rPr>
          <w:spacing w:val="-1"/>
        </w:rPr>
        <w:t> </w:t>
      </w:r>
      <w:r>
        <w:rPr/>
        <w:t>to</w:t>
      </w:r>
      <w:r>
        <w:rPr>
          <w:spacing w:val="-1"/>
        </w:rPr>
        <w:t> </w:t>
      </w:r>
      <w:r>
        <w:rPr/>
        <w:t>provide</w:t>
      </w:r>
      <w:r>
        <w:rPr>
          <w:spacing w:val="-1"/>
        </w:rPr>
        <w:t> </w:t>
      </w:r>
      <w:r>
        <w:rPr/>
        <w:t>the</w:t>
      </w:r>
      <w:r>
        <w:rPr>
          <w:spacing w:val="-1"/>
        </w:rPr>
        <w:t> </w:t>
      </w:r>
      <w:r>
        <w:rPr/>
        <w:t>required</w:t>
      </w:r>
      <w:r>
        <w:rPr>
          <w:spacing w:val="-2"/>
        </w:rPr>
        <w:t> </w:t>
      </w:r>
      <w:r>
        <w:rPr/>
        <w:t>flow</w:t>
      </w:r>
      <w:r>
        <w:rPr>
          <w:spacing w:val="-4"/>
        </w:rPr>
        <w:t> </w:t>
      </w:r>
      <w:r>
        <w:rPr/>
        <w:t>capacity</w:t>
      </w:r>
      <w:r>
        <w:rPr>
          <w:spacing w:val="-6"/>
        </w:rPr>
        <w:t> </w:t>
      </w:r>
      <w:r>
        <w:rPr/>
        <w:t>0.5 m</w:t>
      </w:r>
      <w:r>
        <w:rPr>
          <w:vertAlign w:val="superscript"/>
        </w:rPr>
        <w:t>3</w:t>
      </w:r>
      <w:r>
        <w:rPr>
          <w:vertAlign w:val="baseline"/>
        </w:rPr>
        <w:t>/s</w:t>
      </w:r>
      <w:r>
        <w:rPr>
          <w:spacing w:val="-2"/>
          <w:vertAlign w:val="baseline"/>
        </w:rPr>
        <w:t> </w:t>
      </w:r>
      <w:r>
        <w:rPr>
          <w:vertAlign w:val="baseline"/>
        </w:rPr>
        <w:t>(cubic meters</w:t>
      </w:r>
      <w:r>
        <w:rPr>
          <w:spacing w:val="-2"/>
          <w:vertAlign w:val="baseline"/>
        </w:rPr>
        <w:t> </w:t>
      </w:r>
      <w:r>
        <w:rPr>
          <w:vertAlign w:val="baseline"/>
        </w:rPr>
        <w:t>per</w:t>
      </w:r>
      <w:r>
        <w:rPr>
          <w:spacing w:val="-2"/>
          <w:vertAlign w:val="baseline"/>
        </w:rPr>
        <w:t> </w:t>
      </w:r>
      <w:r>
        <w:rPr>
          <w:vertAlign w:val="baseline"/>
        </w:rPr>
        <w:t>second)</w:t>
      </w:r>
      <w:r>
        <w:rPr>
          <w:spacing w:val="-2"/>
          <w:vertAlign w:val="baseline"/>
        </w:rPr>
        <w:t> </w:t>
      </w:r>
      <w:r>
        <w:rPr>
          <w:vertAlign w:val="baseline"/>
        </w:rPr>
        <w:t>after</w:t>
      </w:r>
      <w:r>
        <w:rPr>
          <w:spacing w:val="-2"/>
          <w:vertAlign w:val="baseline"/>
        </w:rPr>
        <w:t> </w:t>
      </w:r>
      <w:r>
        <w:rPr>
          <w:vertAlign w:val="baseline"/>
        </w:rPr>
        <w:t>the</w:t>
      </w:r>
      <w:r>
        <w:rPr>
          <w:spacing w:val="-2"/>
          <w:vertAlign w:val="baseline"/>
        </w:rPr>
        <w:t> </w:t>
      </w:r>
      <w:r>
        <w:rPr>
          <w:vertAlign w:val="baseline"/>
        </w:rPr>
        <w:t>deferential</w:t>
      </w:r>
      <w:r>
        <w:rPr>
          <w:spacing w:val="-2"/>
          <w:vertAlign w:val="baseline"/>
        </w:rPr>
        <w:t> </w:t>
      </w:r>
      <w:r>
        <w:rPr>
          <w:vertAlign w:val="baseline"/>
        </w:rPr>
        <w:t>facility</w:t>
      </w:r>
      <w:r>
        <w:rPr>
          <w:spacing w:val="-3"/>
          <w:vertAlign w:val="baseline"/>
        </w:rPr>
        <w:t> </w:t>
      </w:r>
      <w:r>
        <w:rPr>
          <w:vertAlign w:val="baseline"/>
        </w:rPr>
        <w:t>till the deferential channel connection point.</w:t>
      </w:r>
    </w:p>
    <w:p>
      <w:pPr>
        <w:pStyle w:val="BodyText"/>
        <w:spacing w:before="1"/>
        <w:ind w:left="486" w:right="167" w:firstLine="333"/>
        <w:jc w:val="both"/>
      </w:pPr>
      <w:r>
        <w:rPr/>
        <w:t>Future work on the paper can be focused on accessing the constantly changing situation of the markets</w:t>
      </w:r>
      <w:r>
        <w:rPr>
          <w:spacing w:val="40"/>
        </w:rPr>
        <w:t> </w:t>
      </w:r>
      <w:r>
        <w:rPr/>
        <w:t>and industry. More options of savings costs could also be identified and analyzed, particularly those concerning technological advances as the technology is constantly being updated and new solutions are </w:t>
      </w:r>
      <w:r>
        <w:rPr>
          <w:spacing w:val="-2"/>
        </w:rPr>
        <w:t>developed.</w:t>
      </w:r>
    </w:p>
    <w:p>
      <w:pPr>
        <w:pStyle w:val="BodyText"/>
      </w:pPr>
    </w:p>
    <w:p>
      <w:pPr>
        <w:pStyle w:val="BodyText"/>
        <w:spacing w:before="17"/>
      </w:pPr>
    </w:p>
    <w:p>
      <w:pPr>
        <w:pStyle w:val="BodyText"/>
        <w:ind w:left="486"/>
      </w:pPr>
      <w:r>
        <w:rPr>
          <w:spacing w:val="-2"/>
          <w:w w:val="105"/>
        </w:rPr>
        <w:t>References</w:t>
      </w:r>
    </w:p>
    <w:p>
      <w:pPr>
        <w:pStyle w:val="ListParagraph"/>
        <w:numPr>
          <w:ilvl w:val="0"/>
          <w:numId w:val="2"/>
        </w:numPr>
        <w:tabs>
          <w:tab w:pos="812" w:val="left" w:leader="none"/>
        </w:tabs>
        <w:spacing w:line="240" w:lineRule="auto" w:before="193" w:after="0"/>
        <w:ind w:left="486" w:right="172" w:firstLine="0"/>
        <w:jc w:val="left"/>
        <w:rPr>
          <w:sz w:val="20"/>
        </w:rPr>
      </w:pPr>
      <w:r>
        <w:rPr>
          <w:sz w:val="20"/>
        </w:rPr>
        <w:t>Cradock</w:t>
      </w:r>
      <w:r>
        <w:rPr>
          <w:spacing w:val="39"/>
          <w:sz w:val="20"/>
        </w:rPr>
        <w:t> </w:t>
      </w:r>
      <w:r>
        <w:rPr>
          <w:sz w:val="20"/>
        </w:rPr>
        <w:t>D,</w:t>
      </w:r>
      <w:r>
        <w:rPr>
          <w:spacing w:val="40"/>
          <w:sz w:val="20"/>
        </w:rPr>
        <w:t> </w:t>
      </w:r>
      <w:r>
        <w:rPr>
          <w:sz w:val="20"/>
        </w:rPr>
        <w:t>Renewable</w:t>
      </w:r>
      <w:r>
        <w:rPr>
          <w:spacing w:val="40"/>
          <w:sz w:val="20"/>
        </w:rPr>
        <w:t> </w:t>
      </w:r>
      <w:r>
        <w:rPr>
          <w:sz w:val="20"/>
        </w:rPr>
        <w:t>Energy:</w:t>
      </w:r>
      <w:r>
        <w:rPr>
          <w:spacing w:val="40"/>
          <w:sz w:val="20"/>
        </w:rPr>
        <w:t> </w:t>
      </w:r>
      <w:r>
        <w:rPr>
          <w:sz w:val="20"/>
        </w:rPr>
        <w:t>Free</w:t>
      </w:r>
      <w:r>
        <w:rPr>
          <w:spacing w:val="40"/>
          <w:sz w:val="20"/>
        </w:rPr>
        <w:t> </w:t>
      </w:r>
      <w:r>
        <w:rPr>
          <w:sz w:val="20"/>
        </w:rPr>
        <w:t>Energy</w:t>
      </w:r>
      <w:r>
        <w:rPr>
          <w:spacing w:val="40"/>
          <w:sz w:val="20"/>
        </w:rPr>
        <w:t> </w:t>
      </w:r>
      <w:r>
        <w:rPr>
          <w:sz w:val="20"/>
        </w:rPr>
        <w:t>from</w:t>
      </w:r>
      <w:r>
        <w:rPr>
          <w:spacing w:val="39"/>
          <w:sz w:val="20"/>
        </w:rPr>
        <w:t> </w:t>
      </w:r>
      <w:r>
        <w:rPr>
          <w:sz w:val="20"/>
        </w:rPr>
        <w:t>Solar,</w:t>
      </w:r>
      <w:r>
        <w:rPr>
          <w:spacing w:val="40"/>
          <w:sz w:val="20"/>
        </w:rPr>
        <w:t> </w:t>
      </w:r>
      <w:r>
        <w:rPr>
          <w:sz w:val="20"/>
        </w:rPr>
        <w:t>Wind,</w:t>
      </w:r>
      <w:r>
        <w:rPr>
          <w:spacing w:val="40"/>
          <w:sz w:val="20"/>
        </w:rPr>
        <w:t> </w:t>
      </w:r>
      <w:r>
        <w:rPr>
          <w:sz w:val="20"/>
        </w:rPr>
        <w:t>Hydropower,</w:t>
      </w:r>
      <w:r>
        <w:rPr>
          <w:spacing w:val="40"/>
          <w:sz w:val="20"/>
        </w:rPr>
        <w:t> </w:t>
      </w:r>
      <w:r>
        <w:rPr>
          <w:sz w:val="20"/>
        </w:rPr>
        <w:t>and</w:t>
      </w:r>
      <w:r>
        <w:rPr>
          <w:spacing w:val="40"/>
          <w:sz w:val="20"/>
        </w:rPr>
        <w:t> </w:t>
      </w:r>
      <w:r>
        <w:rPr>
          <w:sz w:val="20"/>
        </w:rPr>
        <w:t>Other</w:t>
      </w:r>
      <w:r>
        <w:rPr>
          <w:spacing w:val="40"/>
          <w:sz w:val="20"/>
        </w:rPr>
        <w:t> </w:t>
      </w:r>
      <w:r>
        <w:rPr>
          <w:sz w:val="20"/>
        </w:rPr>
        <w:t>Alternative Energy Sources. US: Atlantic Publishing Group; 2008.</w:t>
      </w:r>
    </w:p>
    <w:p>
      <w:pPr>
        <w:pStyle w:val="ListParagraph"/>
        <w:numPr>
          <w:ilvl w:val="0"/>
          <w:numId w:val="2"/>
        </w:numPr>
        <w:tabs>
          <w:tab w:pos="807" w:val="left" w:leader="none"/>
        </w:tabs>
        <w:spacing w:line="240" w:lineRule="auto" w:before="1" w:after="0"/>
        <w:ind w:left="486" w:right="169" w:firstLine="0"/>
        <w:jc w:val="left"/>
        <w:rPr>
          <w:sz w:val="20"/>
        </w:rPr>
      </w:pPr>
      <w:r>
        <w:rPr>
          <w:sz w:val="20"/>
        </w:rPr>
        <w:t>Child</w:t>
      </w:r>
      <w:r>
        <w:rPr>
          <w:spacing w:val="38"/>
          <w:sz w:val="20"/>
        </w:rPr>
        <w:t> </w:t>
      </w:r>
      <w:r>
        <w:rPr>
          <w:sz w:val="20"/>
        </w:rPr>
        <w:t>J,</w:t>
      </w:r>
      <w:r>
        <w:rPr>
          <w:spacing w:val="36"/>
          <w:sz w:val="20"/>
        </w:rPr>
        <w:t> </w:t>
      </w:r>
      <w:r>
        <w:rPr>
          <w:sz w:val="20"/>
        </w:rPr>
        <w:t>Strategies</w:t>
      </w:r>
      <w:r>
        <w:rPr>
          <w:spacing w:val="36"/>
          <w:sz w:val="20"/>
        </w:rPr>
        <w:t> </w:t>
      </w:r>
      <w:r>
        <w:rPr>
          <w:sz w:val="20"/>
        </w:rPr>
        <w:t>of</w:t>
      </w:r>
      <w:r>
        <w:rPr>
          <w:spacing w:val="37"/>
          <w:sz w:val="20"/>
        </w:rPr>
        <w:t> </w:t>
      </w:r>
      <w:r>
        <w:rPr>
          <w:sz w:val="20"/>
        </w:rPr>
        <w:t>Cooperation:</w:t>
      </w:r>
      <w:r>
        <w:rPr>
          <w:spacing w:val="36"/>
          <w:sz w:val="20"/>
        </w:rPr>
        <w:t> </w:t>
      </w:r>
      <w:r>
        <w:rPr>
          <w:sz w:val="20"/>
        </w:rPr>
        <w:t>Managing</w:t>
      </w:r>
      <w:r>
        <w:rPr>
          <w:spacing w:val="38"/>
          <w:sz w:val="20"/>
        </w:rPr>
        <w:t> </w:t>
      </w:r>
      <w:r>
        <w:rPr>
          <w:sz w:val="20"/>
        </w:rPr>
        <w:t>Alliances,</w:t>
      </w:r>
      <w:r>
        <w:rPr>
          <w:spacing w:val="36"/>
          <w:sz w:val="20"/>
        </w:rPr>
        <w:t> </w:t>
      </w:r>
      <w:r>
        <w:rPr>
          <w:sz w:val="20"/>
        </w:rPr>
        <w:t>Networks</w:t>
      </w:r>
      <w:r>
        <w:rPr>
          <w:spacing w:val="36"/>
          <w:sz w:val="20"/>
        </w:rPr>
        <w:t> </w:t>
      </w:r>
      <w:r>
        <w:rPr>
          <w:sz w:val="20"/>
        </w:rPr>
        <w:t>and</w:t>
      </w:r>
      <w:r>
        <w:rPr>
          <w:spacing w:val="38"/>
          <w:sz w:val="20"/>
        </w:rPr>
        <w:t> </w:t>
      </w:r>
      <w:r>
        <w:rPr>
          <w:sz w:val="20"/>
        </w:rPr>
        <w:t>Joint</w:t>
      </w:r>
      <w:r>
        <w:rPr>
          <w:spacing w:val="36"/>
          <w:sz w:val="20"/>
        </w:rPr>
        <w:t> </w:t>
      </w:r>
      <w:r>
        <w:rPr>
          <w:sz w:val="20"/>
        </w:rPr>
        <w:t>Ventures.</w:t>
      </w:r>
      <w:r>
        <w:rPr>
          <w:spacing w:val="36"/>
          <w:sz w:val="20"/>
        </w:rPr>
        <w:t> </w:t>
      </w:r>
      <w:r>
        <w:rPr>
          <w:sz w:val="20"/>
        </w:rPr>
        <w:t>USA:</w:t>
      </w:r>
      <w:r>
        <w:rPr>
          <w:spacing w:val="36"/>
          <w:sz w:val="20"/>
        </w:rPr>
        <w:t> </w:t>
      </w:r>
      <w:r>
        <w:rPr>
          <w:sz w:val="20"/>
        </w:rPr>
        <w:t>Oxford University Press; 1998.</w:t>
      </w:r>
    </w:p>
    <w:p>
      <w:pPr>
        <w:pStyle w:val="ListParagraph"/>
        <w:numPr>
          <w:ilvl w:val="0"/>
          <w:numId w:val="2"/>
        </w:numPr>
        <w:tabs>
          <w:tab w:pos="776" w:val="left" w:leader="none"/>
        </w:tabs>
        <w:spacing w:line="240" w:lineRule="auto" w:before="0" w:after="0"/>
        <w:ind w:left="486" w:right="169" w:firstLine="0"/>
        <w:jc w:val="left"/>
        <w:rPr>
          <w:sz w:val="20"/>
        </w:rPr>
      </w:pPr>
      <w:r>
        <w:rPr>
          <w:sz w:val="20"/>
        </w:rPr>
        <w:t>Johnson G, Scholes K, Whittington R, Exploring Strategy Text and Cases 9th Edition. Pearson Education Limited; 2011.</w:t>
      </w:r>
    </w:p>
    <w:p>
      <w:pPr>
        <w:pStyle w:val="ListParagraph"/>
        <w:numPr>
          <w:ilvl w:val="0"/>
          <w:numId w:val="2"/>
        </w:numPr>
        <w:tabs>
          <w:tab w:pos="768" w:val="left" w:leader="none"/>
        </w:tabs>
        <w:spacing w:line="230" w:lineRule="exact" w:before="0" w:after="0"/>
        <w:ind w:left="768" w:right="0" w:hanging="282"/>
        <w:jc w:val="left"/>
        <w:rPr>
          <w:sz w:val="20"/>
        </w:rPr>
      </w:pPr>
      <w:r>
        <w:rPr>
          <w:sz w:val="20"/>
        </w:rPr>
        <w:t>David</w:t>
      </w:r>
      <w:r>
        <w:rPr>
          <w:spacing w:val="-7"/>
          <w:sz w:val="20"/>
        </w:rPr>
        <w:t> </w:t>
      </w:r>
      <w:r>
        <w:rPr>
          <w:sz w:val="20"/>
        </w:rPr>
        <w:t>F,</w:t>
      </w:r>
      <w:r>
        <w:rPr>
          <w:spacing w:val="-6"/>
          <w:sz w:val="20"/>
        </w:rPr>
        <w:t> </w:t>
      </w:r>
      <w:r>
        <w:rPr>
          <w:sz w:val="20"/>
        </w:rPr>
        <w:t>Strategic</w:t>
      </w:r>
      <w:r>
        <w:rPr>
          <w:spacing w:val="-6"/>
          <w:sz w:val="20"/>
        </w:rPr>
        <w:t> </w:t>
      </w:r>
      <w:r>
        <w:rPr>
          <w:sz w:val="20"/>
        </w:rPr>
        <w:t>Management</w:t>
      </w:r>
      <w:r>
        <w:rPr>
          <w:spacing w:val="-6"/>
          <w:sz w:val="20"/>
        </w:rPr>
        <w:t> </w:t>
      </w:r>
      <w:r>
        <w:rPr>
          <w:sz w:val="20"/>
        </w:rPr>
        <w:t>Concepts</w:t>
      </w:r>
      <w:r>
        <w:rPr>
          <w:spacing w:val="-7"/>
          <w:sz w:val="20"/>
        </w:rPr>
        <w:t> </w:t>
      </w:r>
      <w:r>
        <w:rPr>
          <w:sz w:val="20"/>
        </w:rPr>
        <w:t>and</w:t>
      </w:r>
      <w:r>
        <w:rPr>
          <w:spacing w:val="-5"/>
          <w:sz w:val="20"/>
        </w:rPr>
        <w:t> </w:t>
      </w:r>
      <w:r>
        <w:rPr>
          <w:sz w:val="20"/>
        </w:rPr>
        <w:t>Cases</w:t>
      </w:r>
      <w:r>
        <w:rPr>
          <w:i/>
          <w:sz w:val="20"/>
        </w:rPr>
        <w:t>.</w:t>
      </w:r>
      <w:r>
        <w:rPr>
          <w:i/>
          <w:spacing w:val="-5"/>
          <w:sz w:val="20"/>
        </w:rPr>
        <w:t> </w:t>
      </w:r>
      <w:r>
        <w:rPr>
          <w:sz w:val="20"/>
        </w:rPr>
        <w:t>12</w:t>
      </w:r>
      <w:r>
        <w:rPr>
          <w:sz w:val="13"/>
        </w:rPr>
        <w:t>th</w:t>
      </w:r>
      <w:r>
        <w:rPr>
          <w:spacing w:val="-3"/>
          <w:sz w:val="13"/>
        </w:rPr>
        <w:t> </w:t>
      </w:r>
      <w:r>
        <w:rPr>
          <w:sz w:val="20"/>
        </w:rPr>
        <w:t>Ed.</w:t>
      </w:r>
      <w:r>
        <w:rPr>
          <w:spacing w:val="-6"/>
          <w:sz w:val="20"/>
        </w:rPr>
        <w:t> </w:t>
      </w:r>
      <w:r>
        <w:rPr>
          <w:sz w:val="20"/>
        </w:rPr>
        <w:t>New</w:t>
      </w:r>
      <w:r>
        <w:rPr>
          <w:spacing w:val="-10"/>
          <w:sz w:val="20"/>
        </w:rPr>
        <w:t> </w:t>
      </w:r>
      <w:r>
        <w:rPr>
          <w:sz w:val="20"/>
        </w:rPr>
        <w:t>York:</w:t>
      </w:r>
      <w:r>
        <w:rPr>
          <w:spacing w:val="-6"/>
          <w:sz w:val="20"/>
        </w:rPr>
        <w:t> </w:t>
      </w:r>
      <w:r>
        <w:rPr>
          <w:sz w:val="20"/>
        </w:rPr>
        <w:t>Prentice</w:t>
      </w:r>
      <w:r>
        <w:rPr>
          <w:spacing w:val="-5"/>
          <w:sz w:val="20"/>
        </w:rPr>
        <w:t> </w:t>
      </w:r>
      <w:r>
        <w:rPr>
          <w:sz w:val="20"/>
        </w:rPr>
        <w:t>Hall;</w:t>
      </w:r>
      <w:r>
        <w:rPr>
          <w:spacing w:val="-5"/>
          <w:sz w:val="20"/>
        </w:rPr>
        <w:t> </w:t>
      </w:r>
      <w:r>
        <w:rPr>
          <w:spacing w:val="-2"/>
          <w:sz w:val="20"/>
        </w:rPr>
        <w:t>2007.</w:t>
      </w:r>
    </w:p>
    <w:p>
      <w:pPr>
        <w:pStyle w:val="ListParagraph"/>
        <w:numPr>
          <w:ilvl w:val="0"/>
          <w:numId w:val="2"/>
        </w:numPr>
        <w:tabs>
          <w:tab w:pos="826" w:val="left" w:leader="none"/>
        </w:tabs>
        <w:spacing w:line="240" w:lineRule="auto" w:before="0" w:after="0"/>
        <w:ind w:left="486" w:right="174" w:firstLine="0"/>
        <w:jc w:val="left"/>
        <w:rPr>
          <w:sz w:val="20"/>
        </w:rPr>
      </w:pPr>
      <w:r>
        <w:rPr>
          <w:sz w:val="20"/>
        </w:rPr>
        <w:t>Keown</w:t>
      </w:r>
      <w:r>
        <w:rPr>
          <w:spacing w:val="40"/>
          <w:sz w:val="20"/>
        </w:rPr>
        <w:t> </w:t>
      </w:r>
      <w:r>
        <w:rPr>
          <w:sz w:val="20"/>
        </w:rPr>
        <w:t>A,</w:t>
      </w:r>
      <w:r>
        <w:rPr>
          <w:spacing w:val="40"/>
          <w:sz w:val="20"/>
        </w:rPr>
        <w:t> </w:t>
      </w:r>
      <w:r>
        <w:rPr>
          <w:sz w:val="20"/>
        </w:rPr>
        <w:t>Martic</w:t>
      </w:r>
      <w:r>
        <w:rPr>
          <w:spacing w:val="40"/>
          <w:sz w:val="20"/>
        </w:rPr>
        <w:t> </w:t>
      </w:r>
      <w:r>
        <w:rPr>
          <w:sz w:val="20"/>
        </w:rPr>
        <w:t>J,</w:t>
      </w:r>
      <w:r>
        <w:rPr>
          <w:spacing w:val="40"/>
          <w:sz w:val="20"/>
        </w:rPr>
        <w:t> </w:t>
      </w:r>
      <w:r>
        <w:rPr>
          <w:sz w:val="20"/>
        </w:rPr>
        <w:t>Petty</w:t>
      </w:r>
      <w:r>
        <w:rPr>
          <w:spacing w:val="40"/>
          <w:sz w:val="20"/>
        </w:rPr>
        <w:t> </w:t>
      </w:r>
      <w:r>
        <w:rPr>
          <w:sz w:val="20"/>
        </w:rPr>
        <w:t>W,</w:t>
      </w:r>
      <w:r>
        <w:rPr>
          <w:spacing w:val="40"/>
          <w:sz w:val="20"/>
        </w:rPr>
        <w:t> </w:t>
      </w:r>
      <w:r>
        <w:rPr>
          <w:sz w:val="20"/>
        </w:rPr>
        <w:t>Scott</w:t>
      </w:r>
      <w:r>
        <w:rPr>
          <w:spacing w:val="40"/>
          <w:sz w:val="20"/>
        </w:rPr>
        <w:t> </w:t>
      </w:r>
      <w:r>
        <w:rPr>
          <w:sz w:val="20"/>
        </w:rPr>
        <w:t>D,</w:t>
      </w:r>
      <w:r>
        <w:rPr>
          <w:spacing w:val="40"/>
          <w:sz w:val="20"/>
        </w:rPr>
        <w:t> </w:t>
      </w:r>
      <w:r>
        <w:rPr>
          <w:sz w:val="20"/>
        </w:rPr>
        <w:t>Financial</w:t>
      </w:r>
      <w:r>
        <w:rPr>
          <w:spacing w:val="40"/>
          <w:sz w:val="20"/>
        </w:rPr>
        <w:t> </w:t>
      </w:r>
      <w:r>
        <w:rPr>
          <w:sz w:val="20"/>
        </w:rPr>
        <w:t>Management</w:t>
      </w:r>
      <w:r>
        <w:rPr>
          <w:spacing w:val="40"/>
          <w:sz w:val="20"/>
        </w:rPr>
        <w:t> </w:t>
      </w:r>
      <w:r>
        <w:rPr>
          <w:sz w:val="20"/>
        </w:rPr>
        <w:t>Principles</w:t>
      </w:r>
      <w:r>
        <w:rPr>
          <w:spacing w:val="40"/>
          <w:sz w:val="20"/>
        </w:rPr>
        <w:t> </w:t>
      </w:r>
      <w:r>
        <w:rPr>
          <w:sz w:val="20"/>
        </w:rPr>
        <w:t>and</w:t>
      </w:r>
      <w:r>
        <w:rPr>
          <w:spacing w:val="40"/>
          <w:sz w:val="20"/>
        </w:rPr>
        <w:t> </w:t>
      </w:r>
      <w:r>
        <w:rPr>
          <w:sz w:val="20"/>
        </w:rPr>
        <w:t>Application.</w:t>
      </w:r>
      <w:r>
        <w:rPr>
          <w:spacing w:val="40"/>
          <w:sz w:val="20"/>
        </w:rPr>
        <w:t> </w:t>
      </w:r>
      <w:r>
        <w:rPr>
          <w:sz w:val="20"/>
        </w:rPr>
        <w:t>Person Education, Inc; 2005.</w:t>
      </w:r>
    </w:p>
    <w:p>
      <w:pPr>
        <w:pStyle w:val="ListParagraph"/>
        <w:numPr>
          <w:ilvl w:val="0"/>
          <w:numId w:val="2"/>
        </w:numPr>
        <w:tabs>
          <w:tab w:pos="772" w:val="left" w:leader="none"/>
        </w:tabs>
        <w:spacing w:line="240" w:lineRule="auto" w:before="0" w:after="0"/>
        <w:ind w:left="486" w:right="168" w:firstLine="0"/>
        <w:jc w:val="left"/>
        <w:rPr>
          <w:sz w:val="20"/>
        </w:rPr>
      </w:pPr>
      <w:r>
        <w:rPr>
          <w:sz w:val="20"/>
        </w:rPr>
        <w:t>Siegel J,</w:t>
      </w:r>
      <w:r>
        <w:rPr>
          <w:spacing w:val="-2"/>
          <w:sz w:val="20"/>
        </w:rPr>
        <w:t> </w:t>
      </w:r>
      <w:r>
        <w:rPr>
          <w:sz w:val="20"/>
        </w:rPr>
        <w:t>Nelder C, Hodge N, Investing</w:t>
      </w:r>
      <w:r>
        <w:rPr>
          <w:spacing w:val="-1"/>
          <w:sz w:val="20"/>
        </w:rPr>
        <w:t> </w:t>
      </w:r>
      <w:r>
        <w:rPr>
          <w:sz w:val="20"/>
        </w:rPr>
        <w:t>in</w:t>
      </w:r>
      <w:r>
        <w:rPr>
          <w:spacing w:val="-1"/>
          <w:sz w:val="20"/>
        </w:rPr>
        <w:t> </w:t>
      </w:r>
      <w:r>
        <w:rPr>
          <w:sz w:val="20"/>
        </w:rPr>
        <w:t>Renewable Energy:</w:t>
      </w:r>
      <w:r>
        <w:rPr>
          <w:spacing w:val="-1"/>
          <w:sz w:val="20"/>
        </w:rPr>
        <w:t> </w:t>
      </w:r>
      <w:r>
        <w:rPr>
          <w:sz w:val="20"/>
        </w:rPr>
        <w:t>Making</w:t>
      </w:r>
      <w:r>
        <w:rPr>
          <w:spacing w:val="-1"/>
          <w:sz w:val="20"/>
        </w:rPr>
        <w:t> </w:t>
      </w:r>
      <w:r>
        <w:rPr>
          <w:sz w:val="20"/>
        </w:rPr>
        <w:t>Money</w:t>
      </w:r>
      <w:r>
        <w:rPr>
          <w:spacing w:val="-3"/>
          <w:sz w:val="20"/>
        </w:rPr>
        <w:t> </w:t>
      </w:r>
      <w:r>
        <w:rPr>
          <w:sz w:val="20"/>
        </w:rPr>
        <w:t>on</w:t>
      </w:r>
      <w:r>
        <w:rPr>
          <w:spacing w:val="-1"/>
          <w:sz w:val="20"/>
        </w:rPr>
        <w:t> </w:t>
      </w:r>
      <w:r>
        <w:rPr>
          <w:sz w:val="20"/>
        </w:rPr>
        <w:t>Green</w:t>
      </w:r>
      <w:r>
        <w:rPr>
          <w:spacing w:val="-1"/>
          <w:sz w:val="20"/>
        </w:rPr>
        <w:t> </w:t>
      </w:r>
      <w:r>
        <w:rPr>
          <w:sz w:val="20"/>
        </w:rPr>
        <w:t>Chip Stocks. New Jersey: Angel Publishing; 2008</w:t>
      </w:r>
    </w:p>
    <w:p>
      <w:pPr>
        <w:pStyle w:val="ListParagraph"/>
        <w:numPr>
          <w:ilvl w:val="0"/>
          <w:numId w:val="2"/>
        </w:numPr>
        <w:tabs>
          <w:tab w:pos="786" w:val="left" w:leader="none"/>
        </w:tabs>
        <w:spacing w:line="240" w:lineRule="auto" w:before="0" w:after="0"/>
        <w:ind w:left="486" w:right="168" w:firstLine="0"/>
        <w:jc w:val="left"/>
        <w:rPr>
          <w:sz w:val="20"/>
        </w:rPr>
      </w:pPr>
      <w:r>
        <w:rPr>
          <w:sz w:val="20"/>
        </w:rPr>
        <w:t>Schaeffer J, Pratt D, Real Goods Solar Living Source Book: The Complete Guide to Renewable Energy Technologies and Sustainable Living. 11</w:t>
      </w:r>
      <w:r>
        <w:rPr>
          <w:sz w:val="13"/>
        </w:rPr>
        <w:t>th </w:t>
      </w:r>
      <w:r>
        <w:rPr>
          <w:sz w:val="20"/>
        </w:rPr>
        <w:t>ed. US: Gaiam Real Goods; 2005</w:t>
      </w:r>
    </w:p>
    <w:p>
      <w:pPr>
        <w:pStyle w:val="ListParagraph"/>
        <w:numPr>
          <w:ilvl w:val="0"/>
          <w:numId w:val="2"/>
        </w:numPr>
        <w:tabs>
          <w:tab w:pos="773" w:val="left" w:leader="none"/>
        </w:tabs>
        <w:spacing w:line="240" w:lineRule="auto" w:before="0" w:after="0"/>
        <w:ind w:left="486" w:right="116" w:firstLine="0"/>
        <w:jc w:val="left"/>
        <w:rPr>
          <w:sz w:val="20"/>
        </w:rPr>
      </w:pPr>
      <w:r>
        <w:rPr>
          <w:sz w:val="20"/>
        </w:rPr>
        <w:t>World</w:t>
      </w:r>
      <w:r>
        <w:rPr>
          <w:spacing w:val="-1"/>
          <w:sz w:val="20"/>
        </w:rPr>
        <w:t> </w:t>
      </w:r>
      <w:r>
        <w:rPr>
          <w:sz w:val="20"/>
        </w:rPr>
        <w:t>Bank, World development report 2010:</w:t>
      </w:r>
      <w:r>
        <w:rPr>
          <w:spacing w:val="-2"/>
          <w:sz w:val="20"/>
        </w:rPr>
        <w:t> </w:t>
      </w:r>
      <w:r>
        <w:rPr>
          <w:sz w:val="20"/>
        </w:rPr>
        <w:t>development and climate change, World Bank Publications; </w:t>
      </w:r>
      <w:r>
        <w:rPr>
          <w:spacing w:val="-2"/>
          <w:sz w:val="20"/>
        </w:rPr>
        <w:t>2009.</w:t>
      </w:r>
    </w:p>
    <w:p>
      <w:pPr>
        <w:pStyle w:val="ListParagraph"/>
        <w:numPr>
          <w:ilvl w:val="0"/>
          <w:numId w:val="2"/>
        </w:numPr>
        <w:tabs>
          <w:tab w:pos="768" w:val="left" w:leader="none"/>
        </w:tabs>
        <w:spacing w:line="273" w:lineRule="exact" w:before="0" w:after="0"/>
        <w:ind w:left="768" w:right="0" w:hanging="282"/>
        <w:jc w:val="left"/>
        <w:rPr>
          <w:sz w:val="24"/>
        </w:rPr>
      </w:pPr>
      <w:r>
        <w:rPr>
          <w:sz w:val="20"/>
        </w:rPr>
        <w:t>Fitzgerald</w:t>
      </w:r>
      <w:r>
        <w:rPr>
          <w:spacing w:val="-6"/>
          <w:sz w:val="20"/>
        </w:rPr>
        <w:t> </w:t>
      </w:r>
      <w:r>
        <w:rPr>
          <w:sz w:val="20"/>
        </w:rPr>
        <w:t>S,</w:t>
      </w:r>
      <w:r>
        <w:rPr>
          <w:spacing w:val="-5"/>
          <w:sz w:val="20"/>
        </w:rPr>
        <w:t> </w:t>
      </w:r>
      <w:r>
        <w:rPr>
          <w:sz w:val="20"/>
        </w:rPr>
        <w:t>Voege</w:t>
      </w:r>
      <w:r>
        <w:rPr>
          <w:spacing w:val="-6"/>
          <w:sz w:val="20"/>
        </w:rPr>
        <w:t> </w:t>
      </w:r>
      <w:r>
        <w:rPr>
          <w:sz w:val="20"/>
        </w:rPr>
        <w:t>D,</w:t>
      </w:r>
      <w:r>
        <w:rPr>
          <w:spacing w:val="-5"/>
          <w:sz w:val="20"/>
        </w:rPr>
        <w:t> </w:t>
      </w:r>
      <w:r>
        <w:rPr>
          <w:sz w:val="20"/>
        </w:rPr>
        <w:t>Energy</w:t>
      </w:r>
      <w:r>
        <w:rPr>
          <w:spacing w:val="-9"/>
          <w:sz w:val="20"/>
        </w:rPr>
        <w:t> </w:t>
      </w:r>
      <w:r>
        <w:rPr>
          <w:sz w:val="20"/>
        </w:rPr>
        <w:t>Today:</w:t>
      </w:r>
      <w:r>
        <w:rPr>
          <w:spacing w:val="-5"/>
          <w:sz w:val="20"/>
        </w:rPr>
        <w:t> </w:t>
      </w:r>
      <w:r>
        <w:rPr>
          <w:sz w:val="20"/>
        </w:rPr>
        <w:t>Wind</w:t>
      </w:r>
      <w:r>
        <w:rPr>
          <w:spacing w:val="-5"/>
          <w:sz w:val="20"/>
        </w:rPr>
        <w:t> </w:t>
      </w:r>
      <w:r>
        <w:rPr>
          <w:sz w:val="20"/>
        </w:rPr>
        <w:t>Power.</w:t>
      </w:r>
      <w:r>
        <w:rPr>
          <w:spacing w:val="-4"/>
          <w:sz w:val="20"/>
        </w:rPr>
        <w:t> </w:t>
      </w:r>
      <w:r>
        <w:rPr>
          <w:sz w:val="20"/>
        </w:rPr>
        <w:t>New</w:t>
      </w:r>
      <w:r>
        <w:rPr>
          <w:spacing w:val="-7"/>
          <w:sz w:val="20"/>
        </w:rPr>
        <w:t> </w:t>
      </w:r>
      <w:r>
        <w:rPr>
          <w:sz w:val="20"/>
        </w:rPr>
        <w:t>York:</w:t>
      </w:r>
      <w:r>
        <w:rPr>
          <w:spacing w:val="-7"/>
          <w:sz w:val="20"/>
        </w:rPr>
        <w:t> </w:t>
      </w:r>
      <w:r>
        <w:rPr>
          <w:sz w:val="20"/>
        </w:rPr>
        <w:t>InfoBase</w:t>
      </w:r>
      <w:r>
        <w:rPr>
          <w:spacing w:val="-4"/>
          <w:sz w:val="20"/>
        </w:rPr>
        <w:t> </w:t>
      </w:r>
      <w:r>
        <w:rPr>
          <w:sz w:val="20"/>
        </w:rPr>
        <w:t>Publishing;</w:t>
      </w:r>
      <w:r>
        <w:rPr>
          <w:spacing w:val="-4"/>
          <w:sz w:val="20"/>
        </w:rPr>
        <w:t> </w:t>
      </w:r>
      <w:r>
        <w:rPr>
          <w:spacing w:val="-2"/>
          <w:sz w:val="20"/>
        </w:rPr>
        <w:t>2010</w:t>
      </w:r>
      <w:r>
        <w:rPr>
          <w:spacing w:val="-2"/>
          <w:sz w:val="24"/>
        </w:rPr>
        <w:t>.</w:t>
      </w:r>
    </w:p>
    <w:p>
      <w:pPr>
        <w:pStyle w:val="ListParagraph"/>
        <w:numPr>
          <w:ilvl w:val="0"/>
          <w:numId w:val="2"/>
        </w:numPr>
        <w:tabs>
          <w:tab w:pos="865" w:val="left" w:leader="none"/>
        </w:tabs>
        <w:spacing w:line="240" w:lineRule="auto" w:before="0" w:after="0"/>
        <w:ind w:left="865" w:right="0" w:hanging="379"/>
        <w:jc w:val="left"/>
        <w:rPr>
          <w:sz w:val="20"/>
        </w:rPr>
      </w:pPr>
      <w:r>
        <w:rPr>
          <w:sz w:val="20"/>
        </w:rPr>
        <w:t>Boxwell</w:t>
      </w:r>
      <w:r>
        <w:rPr>
          <w:spacing w:val="-7"/>
          <w:sz w:val="20"/>
        </w:rPr>
        <w:t> </w:t>
      </w:r>
      <w:r>
        <w:rPr>
          <w:sz w:val="20"/>
        </w:rPr>
        <w:t>M,</w:t>
      </w:r>
      <w:r>
        <w:rPr>
          <w:spacing w:val="-6"/>
          <w:sz w:val="20"/>
        </w:rPr>
        <w:t> </w:t>
      </w:r>
      <w:r>
        <w:rPr>
          <w:sz w:val="20"/>
        </w:rPr>
        <w:t>Owning</w:t>
      </w:r>
      <w:r>
        <w:rPr>
          <w:spacing w:val="-7"/>
          <w:sz w:val="20"/>
        </w:rPr>
        <w:t> </w:t>
      </w:r>
      <w:r>
        <w:rPr>
          <w:sz w:val="20"/>
        </w:rPr>
        <w:t>an</w:t>
      </w:r>
      <w:r>
        <w:rPr>
          <w:spacing w:val="-7"/>
          <w:sz w:val="20"/>
        </w:rPr>
        <w:t> </w:t>
      </w:r>
      <w:r>
        <w:rPr>
          <w:sz w:val="20"/>
        </w:rPr>
        <w:t>Electric</w:t>
      </w:r>
      <w:r>
        <w:rPr>
          <w:spacing w:val="-6"/>
          <w:sz w:val="20"/>
        </w:rPr>
        <w:t> </w:t>
      </w:r>
      <w:r>
        <w:rPr>
          <w:sz w:val="20"/>
        </w:rPr>
        <w:t>Car</w:t>
      </w:r>
      <w:r>
        <w:rPr>
          <w:spacing w:val="-6"/>
          <w:sz w:val="20"/>
        </w:rPr>
        <w:t> </w:t>
      </w:r>
      <w:r>
        <w:rPr>
          <w:sz w:val="20"/>
        </w:rPr>
        <w:t>-</w:t>
      </w:r>
      <w:r>
        <w:rPr>
          <w:spacing w:val="-8"/>
          <w:sz w:val="20"/>
        </w:rPr>
        <w:t> </w:t>
      </w:r>
      <w:r>
        <w:rPr>
          <w:sz w:val="20"/>
        </w:rPr>
        <w:t>2010</w:t>
      </w:r>
      <w:r>
        <w:rPr>
          <w:spacing w:val="-6"/>
          <w:sz w:val="20"/>
        </w:rPr>
        <w:t> </w:t>
      </w:r>
      <w:r>
        <w:rPr>
          <w:sz w:val="20"/>
        </w:rPr>
        <w:t>Edition</w:t>
      </w:r>
      <w:r>
        <w:rPr>
          <w:i/>
          <w:sz w:val="20"/>
        </w:rPr>
        <w:t>.</w:t>
      </w:r>
      <w:r>
        <w:rPr>
          <w:i/>
          <w:spacing w:val="-5"/>
          <w:sz w:val="20"/>
        </w:rPr>
        <w:t> </w:t>
      </w:r>
      <w:r>
        <w:rPr>
          <w:sz w:val="20"/>
        </w:rPr>
        <w:t>United</w:t>
      </w:r>
      <w:r>
        <w:rPr>
          <w:spacing w:val="-6"/>
          <w:sz w:val="20"/>
        </w:rPr>
        <w:t> </w:t>
      </w:r>
      <w:r>
        <w:rPr>
          <w:sz w:val="20"/>
        </w:rPr>
        <w:t>Kingdom:</w:t>
      </w:r>
      <w:r>
        <w:rPr>
          <w:spacing w:val="-7"/>
          <w:sz w:val="20"/>
        </w:rPr>
        <w:t> </w:t>
      </w:r>
      <w:r>
        <w:rPr>
          <w:sz w:val="20"/>
        </w:rPr>
        <w:t>Green</w:t>
      </w:r>
      <w:r>
        <w:rPr>
          <w:spacing w:val="-7"/>
          <w:sz w:val="20"/>
        </w:rPr>
        <w:t> </w:t>
      </w:r>
      <w:r>
        <w:rPr>
          <w:sz w:val="20"/>
        </w:rPr>
        <w:t>stream</w:t>
      </w:r>
      <w:r>
        <w:rPr>
          <w:spacing w:val="-7"/>
          <w:sz w:val="20"/>
        </w:rPr>
        <w:t> </w:t>
      </w:r>
      <w:r>
        <w:rPr>
          <w:sz w:val="20"/>
        </w:rPr>
        <w:t>Publishing;</w:t>
      </w:r>
      <w:r>
        <w:rPr>
          <w:spacing w:val="-7"/>
          <w:sz w:val="20"/>
        </w:rPr>
        <w:t> </w:t>
      </w:r>
      <w:r>
        <w:rPr>
          <w:spacing w:val="-2"/>
          <w:sz w:val="20"/>
        </w:rPr>
        <w:t>2010.</w:t>
      </w:r>
    </w:p>
    <w:p>
      <w:pPr>
        <w:pStyle w:val="ListParagraph"/>
        <w:numPr>
          <w:ilvl w:val="0"/>
          <w:numId w:val="2"/>
        </w:numPr>
        <w:tabs>
          <w:tab w:pos="868" w:val="left" w:leader="none"/>
        </w:tabs>
        <w:spacing w:line="240" w:lineRule="auto" w:before="1" w:after="0"/>
        <w:ind w:left="868" w:right="0" w:hanging="382"/>
        <w:jc w:val="left"/>
        <w:rPr>
          <w:sz w:val="20"/>
        </w:rPr>
      </w:pPr>
      <w:r>
        <w:rPr>
          <w:sz w:val="20"/>
        </w:rPr>
        <w:t>Sørensen</w:t>
      </w:r>
      <w:r>
        <w:rPr>
          <w:spacing w:val="-8"/>
          <w:sz w:val="20"/>
        </w:rPr>
        <w:t> </w:t>
      </w:r>
      <w:r>
        <w:rPr>
          <w:sz w:val="20"/>
        </w:rPr>
        <w:t>B,</w:t>
      </w:r>
      <w:r>
        <w:rPr>
          <w:spacing w:val="-5"/>
          <w:sz w:val="20"/>
        </w:rPr>
        <w:t> </w:t>
      </w:r>
      <w:r>
        <w:rPr>
          <w:sz w:val="20"/>
        </w:rPr>
        <w:t>Breeze</w:t>
      </w:r>
      <w:r>
        <w:rPr>
          <w:spacing w:val="-5"/>
          <w:sz w:val="20"/>
        </w:rPr>
        <w:t> </w:t>
      </w:r>
      <w:r>
        <w:rPr>
          <w:sz w:val="20"/>
        </w:rPr>
        <w:t>P,</w:t>
      </w:r>
      <w:r>
        <w:rPr>
          <w:spacing w:val="-8"/>
          <w:sz w:val="20"/>
        </w:rPr>
        <w:t> </w:t>
      </w:r>
      <w:r>
        <w:rPr>
          <w:sz w:val="20"/>
        </w:rPr>
        <w:t>Renewable</w:t>
      </w:r>
      <w:r>
        <w:rPr>
          <w:spacing w:val="-5"/>
          <w:sz w:val="20"/>
        </w:rPr>
        <w:t> </w:t>
      </w:r>
      <w:r>
        <w:rPr>
          <w:sz w:val="20"/>
        </w:rPr>
        <w:t>energy</w:t>
      </w:r>
      <w:r>
        <w:rPr>
          <w:spacing w:val="-7"/>
          <w:sz w:val="20"/>
        </w:rPr>
        <w:t> </w:t>
      </w:r>
      <w:r>
        <w:rPr>
          <w:sz w:val="20"/>
        </w:rPr>
        <w:t>focus</w:t>
      </w:r>
      <w:r>
        <w:rPr>
          <w:spacing w:val="-7"/>
          <w:sz w:val="20"/>
        </w:rPr>
        <w:t> </w:t>
      </w:r>
      <w:r>
        <w:rPr>
          <w:sz w:val="20"/>
        </w:rPr>
        <w:t>handbook.</w:t>
      </w:r>
      <w:r>
        <w:rPr>
          <w:spacing w:val="-6"/>
          <w:sz w:val="20"/>
        </w:rPr>
        <w:t> </w:t>
      </w:r>
      <w:r>
        <w:rPr>
          <w:sz w:val="20"/>
        </w:rPr>
        <w:t>US:</w:t>
      </w:r>
      <w:r>
        <w:rPr>
          <w:spacing w:val="-5"/>
          <w:sz w:val="20"/>
        </w:rPr>
        <w:t> </w:t>
      </w:r>
      <w:r>
        <w:rPr>
          <w:sz w:val="20"/>
        </w:rPr>
        <w:t>Elsevier;</w:t>
      </w:r>
      <w:r>
        <w:rPr>
          <w:spacing w:val="-6"/>
          <w:sz w:val="20"/>
        </w:rPr>
        <w:t> </w:t>
      </w:r>
      <w:r>
        <w:rPr>
          <w:spacing w:val="-2"/>
          <w:sz w:val="20"/>
        </w:rPr>
        <w:t>2010.</w:t>
      </w:r>
    </w:p>
    <w:p>
      <w:pPr>
        <w:pStyle w:val="ListParagraph"/>
        <w:numPr>
          <w:ilvl w:val="0"/>
          <w:numId w:val="2"/>
        </w:numPr>
        <w:tabs>
          <w:tab w:pos="868" w:val="left" w:leader="none"/>
        </w:tabs>
        <w:spacing w:line="240" w:lineRule="auto" w:before="0" w:after="0"/>
        <w:ind w:left="486" w:right="225" w:firstLine="0"/>
        <w:jc w:val="left"/>
        <w:rPr>
          <w:sz w:val="20"/>
        </w:rPr>
      </w:pPr>
      <w:r>
        <w:rPr>
          <w:sz w:val="20"/>
        </w:rPr>
        <w:t>European</w:t>
      </w:r>
      <w:r>
        <w:rPr>
          <w:spacing w:val="-4"/>
          <w:sz w:val="20"/>
        </w:rPr>
        <w:t> </w:t>
      </w:r>
      <w:r>
        <w:rPr>
          <w:sz w:val="20"/>
        </w:rPr>
        <w:t>Wind</w:t>
      </w:r>
      <w:r>
        <w:rPr>
          <w:spacing w:val="-2"/>
          <w:sz w:val="20"/>
        </w:rPr>
        <w:t> </w:t>
      </w:r>
      <w:r>
        <w:rPr>
          <w:sz w:val="20"/>
        </w:rPr>
        <w:t>Energy</w:t>
      </w:r>
      <w:r>
        <w:rPr>
          <w:spacing w:val="-4"/>
          <w:sz w:val="20"/>
        </w:rPr>
        <w:t> </w:t>
      </w:r>
      <w:r>
        <w:rPr>
          <w:sz w:val="20"/>
        </w:rPr>
        <w:t>Association,</w:t>
      </w:r>
      <w:r>
        <w:rPr>
          <w:spacing w:val="-2"/>
          <w:sz w:val="20"/>
        </w:rPr>
        <w:t> </w:t>
      </w:r>
      <w:r>
        <w:rPr>
          <w:sz w:val="20"/>
        </w:rPr>
        <w:t>EU</w:t>
      </w:r>
      <w:r>
        <w:rPr>
          <w:spacing w:val="-3"/>
          <w:sz w:val="20"/>
        </w:rPr>
        <w:t> </w:t>
      </w:r>
      <w:r>
        <w:rPr>
          <w:sz w:val="20"/>
        </w:rPr>
        <w:t>Energy</w:t>
      </w:r>
      <w:r>
        <w:rPr>
          <w:spacing w:val="-4"/>
          <w:sz w:val="20"/>
        </w:rPr>
        <w:t> </w:t>
      </w:r>
      <w:r>
        <w:rPr>
          <w:sz w:val="20"/>
        </w:rPr>
        <w:t>Policy</w:t>
      </w:r>
      <w:r>
        <w:rPr>
          <w:spacing w:val="-4"/>
          <w:sz w:val="20"/>
        </w:rPr>
        <w:t> </w:t>
      </w:r>
      <w:r>
        <w:rPr>
          <w:sz w:val="20"/>
        </w:rPr>
        <w:t>to</w:t>
      </w:r>
      <w:r>
        <w:rPr>
          <w:spacing w:val="-1"/>
          <w:sz w:val="20"/>
        </w:rPr>
        <w:t> </w:t>
      </w:r>
      <w:r>
        <w:rPr>
          <w:sz w:val="20"/>
        </w:rPr>
        <w:t>2050:</w:t>
      </w:r>
      <w:r>
        <w:rPr>
          <w:spacing w:val="-3"/>
          <w:sz w:val="20"/>
        </w:rPr>
        <w:t> </w:t>
      </w:r>
      <w:r>
        <w:rPr>
          <w:sz w:val="20"/>
        </w:rPr>
        <w:t>Archiving</w:t>
      </w:r>
      <w:r>
        <w:rPr>
          <w:spacing w:val="-4"/>
          <w:sz w:val="20"/>
        </w:rPr>
        <w:t> </w:t>
      </w:r>
      <w:r>
        <w:rPr>
          <w:sz w:val="20"/>
        </w:rPr>
        <w:t>80-95%</w:t>
      </w:r>
      <w:r>
        <w:rPr>
          <w:spacing w:val="-4"/>
          <w:sz w:val="20"/>
        </w:rPr>
        <w:t> </w:t>
      </w:r>
      <w:r>
        <w:rPr>
          <w:sz w:val="20"/>
        </w:rPr>
        <w:t>Emission</w:t>
      </w:r>
      <w:r>
        <w:rPr>
          <w:spacing w:val="-2"/>
          <w:sz w:val="20"/>
        </w:rPr>
        <w:t> </w:t>
      </w:r>
      <w:r>
        <w:rPr>
          <w:sz w:val="20"/>
        </w:rPr>
        <w:t>Reduction. Brussels: EWEA; 2011.</w:t>
      </w:r>
    </w:p>
    <w:p>
      <w:pPr>
        <w:pStyle w:val="ListParagraph"/>
        <w:numPr>
          <w:ilvl w:val="0"/>
          <w:numId w:val="2"/>
        </w:numPr>
        <w:tabs>
          <w:tab w:pos="1033" w:val="left" w:leader="none"/>
          <w:tab w:pos="1931" w:val="left" w:leader="none"/>
          <w:tab w:pos="2337" w:val="left" w:leader="none"/>
          <w:tab w:pos="3439" w:val="left" w:leader="none"/>
          <w:tab w:pos="4226" w:val="left" w:leader="none"/>
          <w:tab w:pos="5104" w:val="left" w:leader="none"/>
          <w:tab w:pos="6083" w:val="left" w:leader="none"/>
          <w:tab w:pos="6527" w:val="left" w:leader="none"/>
          <w:tab w:pos="7298" w:val="left" w:leader="none"/>
          <w:tab w:pos="8144" w:val="left" w:leader="none"/>
          <w:tab w:pos="9131" w:val="left" w:leader="none"/>
        </w:tabs>
        <w:spacing w:line="240" w:lineRule="auto" w:before="1" w:after="0"/>
        <w:ind w:left="1033" w:right="0" w:hanging="547"/>
        <w:jc w:val="left"/>
        <w:rPr>
          <w:sz w:val="20"/>
        </w:rPr>
      </w:pPr>
      <w:r>
        <w:rPr>
          <w:spacing w:val="-2"/>
          <w:sz w:val="20"/>
        </w:rPr>
        <w:t>Rosende</w:t>
      </w:r>
      <w:r>
        <w:rPr>
          <w:sz w:val="20"/>
        </w:rPr>
        <w:tab/>
      </w:r>
      <w:r>
        <w:rPr>
          <w:spacing w:val="-5"/>
          <w:sz w:val="20"/>
        </w:rPr>
        <w:t>D,</w:t>
      </w:r>
      <w:r>
        <w:rPr>
          <w:sz w:val="20"/>
        </w:rPr>
        <w:tab/>
      </w:r>
      <w:r>
        <w:rPr>
          <w:spacing w:val="-2"/>
          <w:sz w:val="20"/>
        </w:rPr>
        <w:t>Renewable</w:t>
      </w:r>
      <w:r>
        <w:rPr>
          <w:sz w:val="20"/>
        </w:rPr>
        <w:tab/>
      </w:r>
      <w:r>
        <w:rPr>
          <w:spacing w:val="-2"/>
          <w:sz w:val="20"/>
        </w:rPr>
        <w:t>Energy</w:t>
      </w:r>
      <w:r>
        <w:rPr>
          <w:sz w:val="20"/>
        </w:rPr>
        <w:tab/>
      </w:r>
      <w:r>
        <w:rPr>
          <w:spacing w:val="-2"/>
          <w:sz w:val="20"/>
        </w:rPr>
        <w:t>Industry</w:t>
      </w:r>
      <w:r>
        <w:rPr>
          <w:sz w:val="20"/>
        </w:rPr>
        <w:tab/>
      </w:r>
      <w:r>
        <w:rPr>
          <w:spacing w:val="-2"/>
          <w:sz w:val="20"/>
        </w:rPr>
        <w:t>Roadmap</w:t>
      </w:r>
      <w:r>
        <w:rPr>
          <w:sz w:val="20"/>
        </w:rPr>
        <w:tab/>
      </w:r>
      <w:r>
        <w:rPr>
          <w:spacing w:val="-5"/>
          <w:sz w:val="20"/>
        </w:rPr>
        <w:t>for</w:t>
      </w:r>
      <w:r>
        <w:rPr>
          <w:sz w:val="20"/>
        </w:rPr>
        <w:tab/>
      </w:r>
      <w:r>
        <w:rPr>
          <w:spacing w:val="-2"/>
          <w:sz w:val="20"/>
        </w:rPr>
        <w:t>Latvia,</w:t>
      </w:r>
      <w:r>
        <w:rPr>
          <w:sz w:val="20"/>
        </w:rPr>
        <w:tab/>
      </w:r>
      <w:r>
        <w:rPr>
          <w:spacing w:val="-2"/>
          <w:sz w:val="20"/>
        </w:rPr>
        <w:t>[online]</w:t>
      </w:r>
      <w:r>
        <w:rPr>
          <w:sz w:val="20"/>
        </w:rPr>
        <w:tab/>
      </w:r>
      <w:r>
        <w:rPr>
          <w:spacing w:val="-2"/>
          <w:sz w:val="20"/>
        </w:rPr>
        <w:t>Available</w:t>
      </w:r>
      <w:r>
        <w:rPr>
          <w:sz w:val="20"/>
        </w:rPr>
        <w:tab/>
      </w:r>
      <w:r>
        <w:rPr>
          <w:spacing w:val="-5"/>
          <w:sz w:val="20"/>
        </w:rPr>
        <w:t>at:</w:t>
      </w:r>
    </w:p>
    <w:p>
      <w:pPr>
        <w:pStyle w:val="BodyText"/>
        <w:spacing w:before="1"/>
        <w:ind w:left="486" w:right="235"/>
      </w:pPr>
      <w:hyperlink r:id="rId14">
        <w:r>
          <w:rPr>
            <w:spacing w:val="-2"/>
          </w:rPr>
          <w:t>&lt;http://www.repap2020.eu/fileadmin/user_upload/Roadmaps/REPAP_-_RES_Industry_Roadmap_Latvia_v2-</w:t>
        </w:r>
      </w:hyperlink>
      <w:r>
        <w:rPr>
          <w:spacing w:val="80"/>
        </w:rPr>
        <w:t> </w:t>
      </w:r>
      <w:r>
        <w:rPr/>
        <w:t>cl</w:t>
      </w:r>
      <w:r>
        <w:rPr>
          <w:spacing w:val="80"/>
          <w:w w:val="150"/>
          <w:u w:val="single"/>
        </w:rPr>
        <w:t> </w:t>
      </w:r>
      <w:r>
        <w:rPr>
          <w:u w:val="none"/>
        </w:rPr>
        <w:t>2_.pdf&gt; [Accessed 23 March 2011].</w:t>
      </w:r>
    </w:p>
    <w:p>
      <w:pPr>
        <w:pStyle w:val="ListParagraph"/>
        <w:numPr>
          <w:ilvl w:val="0"/>
          <w:numId w:val="2"/>
        </w:numPr>
        <w:tabs>
          <w:tab w:pos="879" w:val="left" w:leader="none"/>
        </w:tabs>
        <w:spacing w:line="240" w:lineRule="auto" w:before="0" w:after="0"/>
        <w:ind w:left="486" w:right="167" w:firstLine="0"/>
        <w:jc w:val="left"/>
        <w:rPr>
          <w:sz w:val="20"/>
        </w:rPr>
      </w:pPr>
      <w:r>
        <w:rPr>
          <w:sz w:val="20"/>
        </w:rPr>
        <w:t>U.S. Foreign Commercial Service and US Department of State Doing Business in Latvia: 2011 Country Commercial Guide for U.S. Companies. US: International Copyright; 2010.</w:t>
      </w:r>
    </w:p>
    <w:p>
      <w:pPr>
        <w:pStyle w:val="ListParagraph"/>
        <w:numPr>
          <w:ilvl w:val="0"/>
          <w:numId w:val="2"/>
        </w:numPr>
        <w:tabs>
          <w:tab w:pos="865" w:val="left" w:leader="none"/>
        </w:tabs>
        <w:spacing w:line="240" w:lineRule="auto" w:before="0" w:after="0"/>
        <w:ind w:left="486" w:right="248" w:firstLine="0"/>
        <w:jc w:val="left"/>
        <w:rPr>
          <w:sz w:val="20"/>
        </w:rPr>
      </w:pPr>
      <w:r>
        <w:rPr>
          <w:sz w:val="20"/>
        </w:rPr>
        <w:t>Investment</w:t>
      </w:r>
      <w:r>
        <w:rPr>
          <w:spacing w:val="-3"/>
          <w:sz w:val="20"/>
        </w:rPr>
        <w:t> </w:t>
      </w:r>
      <w:r>
        <w:rPr>
          <w:sz w:val="20"/>
        </w:rPr>
        <w:t>and</w:t>
      </w:r>
      <w:r>
        <w:rPr>
          <w:spacing w:val="-1"/>
          <w:sz w:val="20"/>
        </w:rPr>
        <w:t> </w:t>
      </w:r>
      <w:r>
        <w:rPr>
          <w:sz w:val="20"/>
        </w:rPr>
        <w:t>Development</w:t>
      </w:r>
      <w:r>
        <w:rPr>
          <w:spacing w:val="-1"/>
          <w:sz w:val="20"/>
        </w:rPr>
        <w:t> </w:t>
      </w:r>
      <w:r>
        <w:rPr>
          <w:sz w:val="20"/>
        </w:rPr>
        <w:t>Agency</w:t>
      </w:r>
      <w:r>
        <w:rPr>
          <w:spacing w:val="-6"/>
          <w:sz w:val="20"/>
        </w:rPr>
        <w:t> </w:t>
      </w:r>
      <w:r>
        <w:rPr>
          <w:sz w:val="20"/>
        </w:rPr>
        <w:t>of</w:t>
      </w:r>
      <w:r>
        <w:rPr>
          <w:spacing w:val="-2"/>
          <w:sz w:val="20"/>
        </w:rPr>
        <w:t> </w:t>
      </w:r>
      <w:r>
        <w:rPr>
          <w:sz w:val="20"/>
        </w:rPr>
        <w:t>Latvia,</w:t>
      </w:r>
      <w:r>
        <w:rPr>
          <w:spacing w:val="-2"/>
          <w:sz w:val="20"/>
        </w:rPr>
        <w:t> </w:t>
      </w:r>
      <w:r>
        <w:rPr>
          <w:sz w:val="20"/>
        </w:rPr>
        <w:t>Environment</w:t>
      </w:r>
      <w:r>
        <w:rPr>
          <w:spacing w:val="-3"/>
          <w:sz w:val="20"/>
        </w:rPr>
        <w:t> </w:t>
      </w:r>
      <w:r>
        <w:rPr>
          <w:sz w:val="20"/>
        </w:rPr>
        <w:t>and Renewable</w:t>
      </w:r>
      <w:r>
        <w:rPr>
          <w:spacing w:val="-3"/>
          <w:sz w:val="20"/>
        </w:rPr>
        <w:t> </w:t>
      </w:r>
      <w:r>
        <w:rPr>
          <w:sz w:val="20"/>
        </w:rPr>
        <w:t>Energy</w:t>
      </w:r>
      <w:r>
        <w:rPr>
          <w:spacing w:val="-4"/>
          <w:sz w:val="20"/>
        </w:rPr>
        <w:t> </w:t>
      </w:r>
      <w:r>
        <w:rPr>
          <w:sz w:val="20"/>
        </w:rPr>
        <w:t>Industry</w:t>
      </w:r>
      <w:r>
        <w:rPr>
          <w:spacing w:val="-7"/>
          <w:sz w:val="20"/>
        </w:rPr>
        <w:t> </w:t>
      </w:r>
      <w:r>
        <w:rPr>
          <w:sz w:val="20"/>
        </w:rPr>
        <w:t>in</w:t>
      </w:r>
      <w:r>
        <w:rPr>
          <w:spacing w:val="-2"/>
          <w:sz w:val="20"/>
        </w:rPr>
        <w:t> </w:t>
      </w:r>
      <w:r>
        <w:rPr>
          <w:sz w:val="20"/>
        </w:rPr>
        <w:t>Latvia, Latvia: Investment and Development Agency of Latvia; 2009.</w:t>
      </w:r>
    </w:p>
    <w:sectPr>
      <w:pgSz w:w="10890" w:h="14860"/>
      <w:pgMar w:header="713" w:footer="0" w:top="900" w:bottom="280" w:left="44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70240">
              <wp:simplePos x="0" y="0"/>
              <wp:positionH relativeFrom="page">
                <wp:posOffset>1861146</wp:posOffset>
              </wp:positionH>
              <wp:positionV relativeFrom="page">
                <wp:posOffset>455282</wp:posOffset>
              </wp:positionV>
              <wp:extent cx="320738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207385" cy="137160"/>
                      </a:xfrm>
                      <a:prstGeom prst="rect">
                        <a:avLst/>
                      </a:prstGeom>
                    </wps:spPr>
                    <wps:txbx>
                      <w:txbxContent>
                        <w:p>
                          <w:pPr>
                            <w:spacing w:before="12"/>
                            <w:ind w:left="20" w:right="0" w:firstLine="0"/>
                            <w:jc w:val="left"/>
                            <w:rPr>
                              <w:i/>
                              <w:sz w:val="16"/>
                            </w:rPr>
                          </w:pPr>
                          <w:r>
                            <w:rPr>
                              <w:i/>
                              <w:color w:val="231F20"/>
                              <w:sz w:val="16"/>
                            </w:rPr>
                            <w:t>Andrejs</w:t>
                          </w:r>
                          <w:r>
                            <w:rPr>
                              <w:i/>
                              <w:color w:val="231F20"/>
                              <w:spacing w:val="33"/>
                              <w:sz w:val="16"/>
                            </w:rPr>
                            <w:t> </w:t>
                          </w:r>
                          <w:r>
                            <w:rPr>
                              <w:i/>
                              <w:color w:val="231F20"/>
                              <w:sz w:val="16"/>
                            </w:rPr>
                            <w:t>irjevskis</w:t>
                          </w:r>
                          <w:r>
                            <w:rPr>
                              <w:i/>
                              <w:color w:val="231F20"/>
                              <w:spacing w:val="-2"/>
                              <w:sz w:val="16"/>
                            </w:rPr>
                            <w:t> </w:t>
                          </w:r>
                          <w:r>
                            <w:rPr>
                              <w:i/>
                              <w:color w:val="231F20"/>
                              <w:sz w:val="16"/>
                            </w:rPr>
                            <w:t>and</w:t>
                          </w:r>
                          <w:r>
                            <w:rPr>
                              <w:i/>
                              <w:color w:val="231F20"/>
                              <w:spacing w:val="-2"/>
                              <w:sz w:val="16"/>
                            </w:rPr>
                            <w:t> </w:t>
                          </w:r>
                          <w:r>
                            <w:rPr>
                              <w:i/>
                              <w:color w:val="231F20"/>
                              <w:sz w:val="16"/>
                            </w:rPr>
                            <w:t>Jekaterina</w:t>
                          </w:r>
                          <w:r>
                            <w:rPr>
                              <w:i/>
                              <w:color w:val="231F20"/>
                              <w:spacing w:val="-2"/>
                              <w:sz w:val="16"/>
                            </w:rPr>
                            <w:t> </w:t>
                          </w:r>
                          <w:r>
                            <w:rPr>
                              <w:i/>
                              <w:color w:val="231F20"/>
                              <w:sz w:val="16"/>
                            </w:rPr>
                            <w:t>Novikova</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2</w:t>
                          </w:r>
                          <w:r>
                            <w:rPr>
                              <w:i/>
                              <w:color w:val="231F20"/>
                              <w:spacing w:val="-2"/>
                              <w:sz w:val="16"/>
                            </w:rPr>
                            <w:t> </w:t>
                          </w:r>
                          <w:r>
                            <w:rPr>
                              <w:i/>
                              <w:color w:val="231F20"/>
                              <w:sz w:val="16"/>
                            </w:rPr>
                            <w:t>(2012)</w:t>
                          </w:r>
                          <w:r>
                            <w:rPr>
                              <w:i/>
                              <w:color w:val="231F20"/>
                              <w:spacing w:val="-2"/>
                              <w:sz w:val="16"/>
                            </w:rPr>
                            <w:t> </w:t>
                          </w:r>
                          <w:r>
                            <w:rPr>
                              <w:i/>
                              <w:color w:val="231F20"/>
                              <w:sz w:val="16"/>
                            </w:rPr>
                            <w:t>44</w:t>
                          </w:r>
                          <w:r>
                            <w:rPr>
                              <w:i/>
                              <w:color w:val="231F20"/>
                              <w:spacing w:val="-2"/>
                              <w:sz w:val="16"/>
                            </w:rPr>
                            <w:t> </w:t>
                          </w:r>
                          <w:r>
                            <w:rPr>
                              <w:i/>
                              <w:color w:val="231F20"/>
                              <w:sz w:val="16"/>
                            </w:rPr>
                            <w:t>–</w:t>
                          </w:r>
                          <w:r>
                            <w:rPr>
                              <w:i/>
                              <w:color w:val="231F20"/>
                              <w:spacing w:val="-2"/>
                              <w:sz w:val="16"/>
                            </w:rPr>
                            <w:t> </w:t>
                          </w:r>
                          <w:r>
                            <w:rPr>
                              <w:i/>
                              <w:color w:val="231F20"/>
                              <w:spacing w:val="-5"/>
                              <w:sz w:val="16"/>
                            </w:rPr>
                            <w:t>49</w:t>
                          </w:r>
                        </w:p>
                      </w:txbxContent>
                    </wps:txbx>
                    <wps:bodyPr wrap="square" lIns="0" tIns="0" rIns="0" bIns="0" rtlCol="0">
                      <a:noAutofit/>
                    </wps:bodyPr>
                  </wps:wsp>
                </a:graphicData>
              </a:graphic>
            </wp:anchor>
          </w:drawing>
        </mc:Choice>
        <mc:Fallback>
          <w:pict>
            <v:shape style="position:absolute;margin-left:146.546997pt;margin-top:35.849003pt;width:252.55pt;height:10.8pt;mso-position-horizontal-relative:page;mso-position-vertical-relative:page;z-index:-15946240" type="#_x0000_t202" id="docshape9" filled="false" stroked="false">
              <v:textbox inset="0,0,0,0">
                <w:txbxContent>
                  <w:p>
                    <w:pPr>
                      <w:spacing w:before="12"/>
                      <w:ind w:left="20" w:right="0" w:firstLine="0"/>
                      <w:jc w:val="left"/>
                      <w:rPr>
                        <w:i/>
                        <w:sz w:val="16"/>
                      </w:rPr>
                    </w:pPr>
                    <w:r>
                      <w:rPr>
                        <w:i/>
                        <w:color w:val="231F20"/>
                        <w:sz w:val="16"/>
                      </w:rPr>
                      <w:t>Andrejs</w:t>
                    </w:r>
                    <w:r>
                      <w:rPr>
                        <w:i/>
                        <w:color w:val="231F20"/>
                        <w:spacing w:val="33"/>
                        <w:sz w:val="16"/>
                      </w:rPr>
                      <w:t> </w:t>
                    </w:r>
                    <w:r>
                      <w:rPr>
                        <w:i/>
                        <w:color w:val="231F20"/>
                        <w:sz w:val="16"/>
                      </w:rPr>
                      <w:t>irjevskis</w:t>
                    </w:r>
                    <w:r>
                      <w:rPr>
                        <w:i/>
                        <w:color w:val="231F20"/>
                        <w:spacing w:val="-2"/>
                        <w:sz w:val="16"/>
                      </w:rPr>
                      <w:t> </w:t>
                    </w:r>
                    <w:r>
                      <w:rPr>
                        <w:i/>
                        <w:color w:val="231F20"/>
                        <w:sz w:val="16"/>
                      </w:rPr>
                      <w:t>and</w:t>
                    </w:r>
                    <w:r>
                      <w:rPr>
                        <w:i/>
                        <w:color w:val="231F20"/>
                        <w:spacing w:val="-2"/>
                        <w:sz w:val="16"/>
                      </w:rPr>
                      <w:t> </w:t>
                    </w:r>
                    <w:r>
                      <w:rPr>
                        <w:i/>
                        <w:color w:val="231F20"/>
                        <w:sz w:val="16"/>
                      </w:rPr>
                      <w:t>Jekaterina</w:t>
                    </w:r>
                    <w:r>
                      <w:rPr>
                        <w:i/>
                        <w:color w:val="231F20"/>
                        <w:spacing w:val="-2"/>
                        <w:sz w:val="16"/>
                      </w:rPr>
                      <w:t> </w:t>
                    </w:r>
                    <w:r>
                      <w:rPr>
                        <w:i/>
                        <w:color w:val="231F20"/>
                        <w:sz w:val="16"/>
                      </w:rPr>
                      <w:t>Novikova</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2</w:t>
                    </w:r>
                    <w:r>
                      <w:rPr>
                        <w:i/>
                        <w:color w:val="231F20"/>
                        <w:spacing w:val="-2"/>
                        <w:sz w:val="16"/>
                      </w:rPr>
                      <w:t> </w:t>
                    </w:r>
                    <w:r>
                      <w:rPr>
                        <w:i/>
                        <w:color w:val="231F20"/>
                        <w:sz w:val="16"/>
                      </w:rPr>
                      <w:t>(2012)</w:t>
                    </w:r>
                    <w:r>
                      <w:rPr>
                        <w:i/>
                        <w:color w:val="231F20"/>
                        <w:spacing w:val="-2"/>
                        <w:sz w:val="16"/>
                      </w:rPr>
                      <w:t> </w:t>
                    </w:r>
                    <w:r>
                      <w:rPr>
                        <w:i/>
                        <w:color w:val="231F20"/>
                        <w:sz w:val="16"/>
                      </w:rPr>
                      <w:t>44</w:t>
                    </w:r>
                    <w:r>
                      <w:rPr>
                        <w:i/>
                        <w:color w:val="231F20"/>
                        <w:spacing w:val="-2"/>
                        <w:sz w:val="16"/>
                      </w:rPr>
                      <w:t> </w:t>
                    </w:r>
                    <w:r>
                      <w:rPr>
                        <w:i/>
                        <w:color w:val="231F20"/>
                        <w:sz w:val="16"/>
                      </w:rPr>
                      <w:t>–</w:t>
                    </w:r>
                    <w:r>
                      <w:rPr>
                        <w:i/>
                        <w:color w:val="231F20"/>
                        <w:spacing w:val="-2"/>
                        <w:sz w:val="16"/>
                      </w:rPr>
                      <w:t> </w:t>
                    </w:r>
                    <w:r>
                      <w:rPr>
                        <w:i/>
                        <w:color w:val="231F20"/>
                        <w:spacing w:val="-5"/>
                        <w:sz w:val="16"/>
                      </w:rPr>
                      <w:t>49</w:t>
                    </w:r>
                  </w:p>
                </w:txbxContent>
              </v:textbox>
              <w10:wrap type="none"/>
            </v:shape>
          </w:pict>
        </mc:Fallback>
      </mc:AlternateContent>
    </w:r>
    <w:r>
      <w:rPr/>
      <mc:AlternateContent>
        <mc:Choice Requires="wps">
          <w:drawing>
            <wp:anchor distT="0" distB="0" distL="0" distR="0" allowOverlap="1" layoutInCell="1" locked="0" behindDoc="1" simplePos="0" relativeHeight="487370752">
              <wp:simplePos x="0" y="0"/>
              <wp:positionH relativeFrom="page">
                <wp:posOffset>6348514</wp:posOffset>
              </wp:positionH>
              <wp:positionV relativeFrom="page">
                <wp:posOffset>453656</wp:posOffset>
              </wp:positionV>
              <wp:extent cx="1905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5945728"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45</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71264">
              <wp:simplePos x="0" y="0"/>
              <wp:positionH relativeFrom="page">
                <wp:posOffset>375899</wp:posOffset>
              </wp:positionH>
              <wp:positionV relativeFrom="page">
                <wp:posOffset>453758</wp:posOffset>
              </wp:positionV>
              <wp:extent cx="1905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5945216"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71776">
              <wp:simplePos x="0" y="0"/>
              <wp:positionH relativeFrom="page">
                <wp:posOffset>2063780</wp:posOffset>
              </wp:positionH>
              <wp:positionV relativeFrom="page">
                <wp:posOffset>455282</wp:posOffset>
              </wp:positionV>
              <wp:extent cx="3207385" cy="13716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207385" cy="137160"/>
                      </a:xfrm>
                      <a:prstGeom prst="rect">
                        <a:avLst/>
                      </a:prstGeom>
                    </wps:spPr>
                    <wps:txbx>
                      <w:txbxContent>
                        <w:p>
                          <w:pPr>
                            <w:spacing w:before="12"/>
                            <w:ind w:left="20" w:right="0" w:firstLine="0"/>
                            <w:jc w:val="left"/>
                            <w:rPr>
                              <w:i/>
                              <w:sz w:val="16"/>
                            </w:rPr>
                          </w:pPr>
                          <w:r>
                            <w:rPr>
                              <w:i/>
                              <w:color w:val="231F20"/>
                              <w:sz w:val="16"/>
                            </w:rPr>
                            <w:t>Andrejs</w:t>
                          </w:r>
                          <w:r>
                            <w:rPr>
                              <w:i/>
                              <w:color w:val="231F20"/>
                              <w:spacing w:val="33"/>
                              <w:sz w:val="16"/>
                            </w:rPr>
                            <w:t> </w:t>
                          </w:r>
                          <w:r>
                            <w:rPr>
                              <w:i/>
                              <w:color w:val="231F20"/>
                              <w:sz w:val="16"/>
                            </w:rPr>
                            <w:t>irjevskis</w:t>
                          </w:r>
                          <w:r>
                            <w:rPr>
                              <w:i/>
                              <w:color w:val="231F20"/>
                              <w:spacing w:val="-2"/>
                              <w:sz w:val="16"/>
                            </w:rPr>
                            <w:t> </w:t>
                          </w:r>
                          <w:r>
                            <w:rPr>
                              <w:i/>
                              <w:color w:val="231F20"/>
                              <w:sz w:val="16"/>
                            </w:rPr>
                            <w:t>and</w:t>
                          </w:r>
                          <w:r>
                            <w:rPr>
                              <w:i/>
                              <w:color w:val="231F20"/>
                              <w:spacing w:val="-2"/>
                              <w:sz w:val="16"/>
                            </w:rPr>
                            <w:t> </w:t>
                          </w:r>
                          <w:r>
                            <w:rPr>
                              <w:i/>
                              <w:color w:val="231F20"/>
                              <w:sz w:val="16"/>
                            </w:rPr>
                            <w:t>Jekaterina</w:t>
                          </w:r>
                          <w:r>
                            <w:rPr>
                              <w:i/>
                              <w:color w:val="231F20"/>
                              <w:spacing w:val="-2"/>
                              <w:sz w:val="16"/>
                            </w:rPr>
                            <w:t> </w:t>
                          </w:r>
                          <w:r>
                            <w:rPr>
                              <w:i/>
                              <w:color w:val="231F20"/>
                              <w:sz w:val="16"/>
                            </w:rPr>
                            <w:t>Novikova</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2</w:t>
                          </w:r>
                          <w:r>
                            <w:rPr>
                              <w:i/>
                              <w:color w:val="231F20"/>
                              <w:spacing w:val="-2"/>
                              <w:sz w:val="16"/>
                            </w:rPr>
                            <w:t> </w:t>
                          </w:r>
                          <w:r>
                            <w:rPr>
                              <w:i/>
                              <w:color w:val="231F20"/>
                              <w:sz w:val="16"/>
                            </w:rPr>
                            <w:t>(2012)</w:t>
                          </w:r>
                          <w:r>
                            <w:rPr>
                              <w:i/>
                              <w:color w:val="231F20"/>
                              <w:spacing w:val="-2"/>
                              <w:sz w:val="16"/>
                            </w:rPr>
                            <w:t> </w:t>
                          </w:r>
                          <w:r>
                            <w:rPr>
                              <w:i/>
                              <w:color w:val="231F20"/>
                              <w:sz w:val="16"/>
                            </w:rPr>
                            <w:t>44</w:t>
                          </w:r>
                          <w:r>
                            <w:rPr>
                              <w:i/>
                              <w:color w:val="231F20"/>
                              <w:spacing w:val="-2"/>
                              <w:sz w:val="16"/>
                            </w:rPr>
                            <w:t> </w:t>
                          </w:r>
                          <w:r>
                            <w:rPr>
                              <w:i/>
                              <w:color w:val="231F20"/>
                              <w:sz w:val="16"/>
                            </w:rPr>
                            <w:t>–</w:t>
                          </w:r>
                          <w:r>
                            <w:rPr>
                              <w:i/>
                              <w:color w:val="231F20"/>
                              <w:spacing w:val="-2"/>
                              <w:sz w:val="16"/>
                            </w:rPr>
                            <w:t> </w:t>
                          </w:r>
                          <w:r>
                            <w:rPr>
                              <w:i/>
                              <w:color w:val="231F20"/>
                              <w:spacing w:val="-5"/>
                              <w:sz w:val="16"/>
                            </w:rPr>
                            <w:t>49</w:t>
                          </w:r>
                        </w:p>
                      </w:txbxContent>
                    </wps:txbx>
                    <wps:bodyPr wrap="square" lIns="0" tIns="0" rIns="0" bIns="0" rtlCol="0">
                      <a:noAutofit/>
                    </wps:bodyPr>
                  </wps:wsp>
                </a:graphicData>
              </a:graphic>
            </wp:anchor>
          </w:drawing>
        </mc:Choice>
        <mc:Fallback>
          <w:pict>
            <v:shape style="position:absolute;margin-left:162.502396pt;margin-top:35.849003pt;width:252.55pt;height:10.8pt;mso-position-horizontal-relative:page;mso-position-vertical-relative:page;z-index:-15944704" type="#_x0000_t202" id="docshape12" filled="false" stroked="false">
              <v:textbox inset="0,0,0,0">
                <w:txbxContent>
                  <w:p>
                    <w:pPr>
                      <w:spacing w:before="12"/>
                      <w:ind w:left="20" w:right="0" w:firstLine="0"/>
                      <w:jc w:val="left"/>
                      <w:rPr>
                        <w:i/>
                        <w:sz w:val="16"/>
                      </w:rPr>
                    </w:pPr>
                    <w:r>
                      <w:rPr>
                        <w:i/>
                        <w:color w:val="231F20"/>
                        <w:sz w:val="16"/>
                      </w:rPr>
                      <w:t>Andrejs</w:t>
                    </w:r>
                    <w:r>
                      <w:rPr>
                        <w:i/>
                        <w:color w:val="231F20"/>
                        <w:spacing w:val="33"/>
                        <w:sz w:val="16"/>
                      </w:rPr>
                      <w:t> </w:t>
                    </w:r>
                    <w:r>
                      <w:rPr>
                        <w:i/>
                        <w:color w:val="231F20"/>
                        <w:sz w:val="16"/>
                      </w:rPr>
                      <w:t>irjevskis</w:t>
                    </w:r>
                    <w:r>
                      <w:rPr>
                        <w:i/>
                        <w:color w:val="231F20"/>
                        <w:spacing w:val="-2"/>
                        <w:sz w:val="16"/>
                      </w:rPr>
                      <w:t> </w:t>
                    </w:r>
                    <w:r>
                      <w:rPr>
                        <w:i/>
                        <w:color w:val="231F20"/>
                        <w:sz w:val="16"/>
                      </w:rPr>
                      <w:t>and</w:t>
                    </w:r>
                    <w:r>
                      <w:rPr>
                        <w:i/>
                        <w:color w:val="231F20"/>
                        <w:spacing w:val="-2"/>
                        <w:sz w:val="16"/>
                      </w:rPr>
                      <w:t> </w:t>
                    </w:r>
                    <w:r>
                      <w:rPr>
                        <w:i/>
                        <w:color w:val="231F20"/>
                        <w:sz w:val="16"/>
                      </w:rPr>
                      <w:t>Jekaterina</w:t>
                    </w:r>
                    <w:r>
                      <w:rPr>
                        <w:i/>
                        <w:color w:val="231F20"/>
                        <w:spacing w:val="-2"/>
                        <w:sz w:val="16"/>
                      </w:rPr>
                      <w:t> </w:t>
                    </w:r>
                    <w:r>
                      <w:rPr>
                        <w:i/>
                        <w:color w:val="231F20"/>
                        <w:sz w:val="16"/>
                      </w:rPr>
                      <w:t>Novikova</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2</w:t>
                    </w:r>
                    <w:r>
                      <w:rPr>
                        <w:i/>
                        <w:color w:val="231F20"/>
                        <w:spacing w:val="-2"/>
                        <w:sz w:val="16"/>
                      </w:rPr>
                      <w:t> </w:t>
                    </w:r>
                    <w:r>
                      <w:rPr>
                        <w:i/>
                        <w:color w:val="231F20"/>
                        <w:sz w:val="16"/>
                      </w:rPr>
                      <w:t>(2012)</w:t>
                    </w:r>
                    <w:r>
                      <w:rPr>
                        <w:i/>
                        <w:color w:val="231F20"/>
                        <w:spacing w:val="-2"/>
                        <w:sz w:val="16"/>
                      </w:rPr>
                      <w:t> </w:t>
                    </w:r>
                    <w:r>
                      <w:rPr>
                        <w:i/>
                        <w:color w:val="231F20"/>
                        <w:sz w:val="16"/>
                      </w:rPr>
                      <w:t>44</w:t>
                    </w:r>
                    <w:r>
                      <w:rPr>
                        <w:i/>
                        <w:color w:val="231F20"/>
                        <w:spacing w:val="-2"/>
                        <w:sz w:val="16"/>
                      </w:rPr>
                      <w:t> </w:t>
                    </w:r>
                    <w:r>
                      <w:rPr>
                        <w:i/>
                        <w:color w:val="231F20"/>
                        <w:sz w:val="16"/>
                      </w:rPr>
                      <w:t>–</w:t>
                    </w:r>
                    <w:r>
                      <w:rPr>
                        <w:i/>
                        <w:color w:val="231F20"/>
                        <w:spacing w:val="-2"/>
                        <w:sz w:val="16"/>
                      </w:rPr>
                      <w:t> </w:t>
                    </w:r>
                    <w:r>
                      <w:rPr>
                        <w:i/>
                        <w:color w:val="231F20"/>
                        <w:spacing w:val="-5"/>
                        <w:sz w:val="16"/>
                      </w:rPr>
                      <w:t>49</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86" w:hanging="32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382" w:hanging="328"/>
      </w:pPr>
      <w:rPr>
        <w:rFonts w:hint="default"/>
        <w:lang w:val="en-US" w:eastAsia="en-US" w:bidi="ar-SA"/>
      </w:rPr>
    </w:lvl>
    <w:lvl w:ilvl="2">
      <w:start w:val="0"/>
      <w:numFmt w:val="bullet"/>
      <w:lvlText w:val="•"/>
      <w:lvlJc w:val="left"/>
      <w:pPr>
        <w:ind w:left="2285" w:hanging="328"/>
      </w:pPr>
      <w:rPr>
        <w:rFonts w:hint="default"/>
        <w:lang w:val="en-US" w:eastAsia="en-US" w:bidi="ar-SA"/>
      </w:rPr>
    </w:lvl>
    <w:lvl w:ilvl="3">
      <w:start w:val="0"/>
      <w:numFmt w:val="bullet"/>
      <w:lvlText w:val="•"/>
      <w:lvlJc w:val="left"/>
      <w:pPr>
        <w:ind w:left="3187" w:hanging="328"/>
      </w:pPr>
      <w:rPr>
        <w:rFonts w:hint="default"/>
        <w:lang w:val="en-US" w:eastAsia="en-US" w:bidi="ar-SA"/>
      </w:rPr>
    </w:lvl>
    <w:lvl w:ilvl="4">
      <w:start w:val="0"/>
      <w:numFmt w:val="bullet"/>
      <w:lvlText w:val="•"/>
      <w:lvlJc w:val="left"/>
      <w:pPr>
        <w:ind w:left="4090" w:hanging="328"/>
      </w:pPr>
      <w:rPr>
        <w:rFonts w:hint="default"/>
        <w:lang w:val="en-US" w:eastAsia="en-US" w:bidi="ar-SA"/>
      </w:rPr>
    </w:lvl>
    <w:lvl w:ilvl="5">
      <w:start w:val="0"/>
      <w:numFmt w:val="bullet"/>
      <w:lvlText w:val="•"/>
      <w:lvlJc w:val="left"/>
      <w:pPr>
        <w:ind w:left="4992" w:hanging="328"/>
      </w:pPr>
      <w:rPr>
        <w:rFonts w:hint="default"/>
        <w:lang w:val="en-US" w:eastAsia="en-US" w:bidi="ar-SA"/>
      </w:rPr>
    </w:lvl>
    <w:lvl w:ilvl="6">
      <w:start w:val="0"/>
      <w:numFmt w:val="bullet"/>
      <w:lvlText w:val="•"/>
      <w:lvlJc w:val="left"/>
      <w:pPr>
        <w:ind w:left="5895" w:hanging="328"/>
      </w:pPr>
      <w:rPr>
        <w:rFonts w:hint="default"/>
        <w:lang w:val="en-US" w:eastAsia="en-US" w:bidi="ar-SA"/>
      </w:rPr>
    </w:lvl>
    <w:lvl w:ilvl="7">
      <w:start w:val="0"/>
      <w:numFmt w:val="bullet"/>
      <w:lvlText w:val="•"/>
      <w:lvlJc w:val="left"/>
      <w:pPr>
        <w:ind w:left="6797" w:hanging="328"/>
      </w:pPr>
      <w:rPr>
        <w:rFonts w:hint="default"/>
        <w:lang w:val="en-US" w:eastAsia="en-US" w:bidi="ar-SA"/>
      </w:rPr>
    </w:lvl>
    <w:lvl w:ilvl="8">
      <w:start w:val="0"/>
      <w:numFmt w:val="bullet"/>
      <w:lvlText w:val="•"/>
      <w:lvlJc w:val="left"/>
      <w:pPr>
        <w:ind w:left="7700" w:hanging="328"/>
      </w:pPr>
      <w:rPr>
        <w:rFonts w:hint="default"/>
        <w:lang w:val="en-US" w:eastAsia="en-US" w:bidi="ar-SA"/>
      </w:rPr>
    </w:lvl>
  </w:abstractNum>
  <w:abstractNum w:abstractNumId="0">
    <w:multiLevelType w:val="hybridMultilevel"/>
    <w:lvl w:ilvl="0">
      <w:start w:val="1"/>
      <w:numFmt w:val="decimal"/>
      <w:lvlText w:val="%1."/>
      <w:lvlJc w:val="left"/>
      <w:pPr>
        <w:ind w:left="693" w:hanging="20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80" w:hanging="207"/>
      </w:pPr>
      <w:rPr>
        <w:rFonts w:hint="default"/>
        <w:lang w:val="en-US" w:eastAsia="en-US" w:bidi="ar-SA"/>
      </w:rPr>
    </w:lvl>
    <w:lvl w:ilvl="2">
      <w:start w:val="0"/>
      <w:numFmt w:val="bullet"/>
      <w:lvlText w:val="•"/>
      <w:lvlJc w:val="left"/>
      <w:pPr>
        <w:ind w:left="2461" w:hanging="207"/>
      </w:pPr>
      <w:rPr>
        <w:rFonts w:hint="default"/>
        <w:lang w:val="en-US" w:eastAsia="en-US" w:bidi="ar-SA"/>
      </w:rPr>
    </w:lvl>
    <w:lvl w:ilvl="3">
      <w:start w:val="0"/>
      <w:numFmt w:val="bullet"/>
      <w:lvlText w:val="•"/>
      <w:lvlJc w:val="left"/>
      <w:pPr>
        <w:ind w:left="3341" w:hanging="207"/>
      </w:pPr>
      <w:rPr>
        <w:rFonts w:hint="default"/>
        <w:lang w:val="en-US" w:eastAsia="en-US" w:bidi="ar-SA"/>
      </w:rPr>
    </w:lvl>
    <w:lvl w:ilvl="4">
      <w:start w:val="0"/>
      <w:numFmt w:val="bullet"/>
      <w:lvlText w:val="•"/>
      <w:lvlJc w:val="left"/>
      <w:pPr>
        <w:ind w:left="4222" w:hanging="207"/>
      </w:pPr>
      <w:rPr>
        <w:rFonts w:hint="default"/>
        <w:lang w:val="en-US" w:eastAsia="en-US" w:bidi="ar-SA"/>
      </w:rPr>
    </w:lvl>
    <w:lvl w:ilvl="5">
      <w:start w:val="0"/>
      <w:numFmt w:val="bullet"/>
      <w:lvlText w:val="•"/>
      <w:lvlJc w:val="left"/>
      <w:pPr>
        <w:ind w:left="5102" w:hanging="207"/>
      </w:pPr>
      <w:rPr>
        <w:rFonts w:hint="default"/>
        <w:lang w:val="en-US" w:eastAsia="en-US" w:bidi="ar-SA"/>
      </w:rPr>
    </w:lvl>
    <w:lvl w:ilvl="6">
      <w:start w:val="0"/>
      <w:numFmt w:val="bullet"/>
      <w:lvlText w:val="•"/>
      <w:lvlJc w:val="left"/>
      <w:pPr>
        <w:ind w:left="5983" w:hanging="207"/>
      </w:pPr>
      <w:rPr>
        <w:rFonts w:hint="default"/>
        <w:lang w:val="en-US" w:eastAsia="en-US" w:bidi="ar-SA"/>
      </w:rPr>
    </w:lvl>
    <w:lvl w:ilvl="7">
      <w:start w:val="0"/>
      <w:numFmt w:val="bullet"/>
      <w:lvlText w:val="•"/>
      <w:lvlJc w:val="left"/>
      <w:pPr>
        <w:ind w:left="6863" w:hanging="207"/>
      </w:pPr>
      <w:rPr>
        <w:rFonts w:hint="default"/>
        <w:lang w:val="en-US" w:eastAsia="en-US" w:bidi="ar-SA"/>
      </w:rPr>
    </w:lvl>
    <w:lvl w:ilvl="8">
      <w:start w:val="0"/>
      <w:numFmt w:val="bullet"/>
      <w:lvlText w:val="•"/>
      <w:lvlJc w:val="left"/>
      <w:pPr>
        <w:ind w:left="7744" w:hanging="207"/>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201"/>
      <w:outlineLvl w:val="1"/>
    </w:pPr>
    <w:rPr>
      <w:rFonts w:ascii="Times New Roman" w:hAnsi="Times New Roman" w:eastAsia="Times New Roman" w:cs="Times New Roman"/>
      <w:sz w:val="34"/>
      <w:szCs w:val="34"/>
      <w:lang w:val="en-US" w:eastAsia="en-US" w:bidi="ar-SA"/>
    </w:rPr>
  </w:style>
  <w:style w:styleId="Title" w:type="paragraph">
    <w:name w:val="Title"/>
    <w:basedOn w:val="Normal"/>
    <w:uiPriority w:val="1"/>
    <w:qFormat/>
    <w:pPr>
      <w:spacing w:before="256" w:line="411" w:lineRule="exact"/>
      <w:ind w:left="66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486"/>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andrejs.cirjevskis@riseba.lv"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www.repap2020.eu/fileadmin/user_upload/Roadmaps/REPAP_-_RES_Industry_Roadmap_Latvia_v2-"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Andrejs Čirjevskis</dc:creator>
  <cp:keywords>Green energy business; Suitability; Feasibility; Acceptability; Equivalent annual annuity</cp:keywords>
  <dc:subject>, 2 (2012) 44-49. doi:10.1016/j.aasri.2012.09.012</dc:subject>
  <dc:title>Commercial Viability of Strategic Choice on Green Energy Business: Hydro Power versus Wind Power (Latvian case)</dc:title>
  <dcterms:created xsi:type="dcterms:W3CDTF">2023-11-25T04:40:40Z</dcterms:created>
  <dcterms:modified xsi:type="dcterms:W3CDTF">2023-11-25T04:40:40Z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10.1016/j.aasri.2012.09.012</vt:lpwstr>
  </property>
  <property fmtid="{D5CDD505-2E9C-101B-9397-08002B2CF9AE}" pid="12" name="robots">
    <vt:lpwstr>noindex</vt:lpwstr>
  </property>
</Properties>
</file>