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9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56 –</w:t>
      </w:r>
      <w:r>
        <w:rPr>
          <w:color w:val="231F20"/>
          <w:spacing w:val="-1"/>
          <w:sz w:val="16"/>
        </w:rPr>
        <w:t> </w:t>
      </w:r>
      <w:r>
        <w:rPr>
          <w:color w:val="231F20"/>
          <w:spacing w:val="-5"/>
          <w:sz w:val="16"/>
        </w:rPr>
        <w:t>61</w:t>
      </w:r>
    </w:p>
    <w:p>
      <w:pPr>
        <w:pStyle w:val="Title"/>
      </w:pPr>
      <w:r>
        <w:rPr/>
        <w:br w:type="column"/>
      </w:r>
      <w:r>
        <w:rPr>
          <w:color w:val="231F20"/>
          <w:spacing w:val="-2"/>
        </w:rPr>
        <w:t>AASRI</w:t>
      </w:r>
    </w:p>
    <w:p>
      <w:pPr>
        <w:spacing w:line="388" w:lineRule="exact" w:before="0"/>
        <w:ind w:left="634" w:right="0" w:firstLine="0"/>
        <w:jc w:val="left"/>
        <w:rPr>
          <w:sz w:val="34"/>
        </w:rPr>
      </w:pPr>
      <w:r>
        <w:rPr>
          <w:color w:val="231F20"/>
          <w:spacing w:val="-2"/>
          <w:sz w:val="34"/>
        </w:rPr>
        <w:t>Procedia</w:t>
      </w:r>
    </w:p>
    <w:p>
      <w:pPr>
        <w:spacing w:before="247"/>
        <w:ind w:left="21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980"/>
          <w:pgNumType w:start="56"/>
          <w:cols w:num="2" w:equalWidth="0">
            <w:col w:w="6231" w:space="1238"/>
            <w:col w:w="2001"/>
          </w:cols>
        </w:sectPr>
      </w:pPr>
    </w:p>
    <w:p>
      <w:pPr>
        <w:pStyle w:val="BodyText"/>
        <w:rPr>
          <w:sz w:val="24"/>
        </w:rPr>
      </w:pPr>
      <w:r>
        <w:rPr/>
        <mc:AlternateContent>
          <mc:Choice Requires="wps">
            <w:drawing>
              <wp:anchor distT="0" distB="0" distL="0" distR="0" allowOverlap="1" layoutInCell="1" locked="0" behindDoc="1" simplePos="0" relativeHeight="487439360">
                <wp:simplePos x="0" y="0"/>
                <wp:positionH relativeFrom="page">
                  <wp:posOffset>395998</wp:posOffset>
                </wp:positionH>
                <wp:positionV relativeFrom="page">
                  <wp:posOffset>1668005</wp:posOffset>
                </wp:positionV>
                <wp:extent cx="6090920" cy="69240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90920" cy="6924040"/>
                          <a:chExt cx="6090920" cy="6924040"/>
                        </a:xfrm>
                      </wpg:grpSpPr>
                      <wps:wsp>
                        <wps:cNvPr id="4" name="Graphic 4"/>
                        <wps:cNvSpPr/>
                        <wps:spPr>
                          <a:xfrm>
                            <a:off x="0" y="0"/>
                            <a:ext cx="6090920" cy="6924040"/>
                          </a:xfrm>
                          <a:custGeom>
                            <a:avLst/>
                            <a:gdLst/>
                            <a:ahLst/>
                            <a:cxnLst/>
                            <a:rect l="l" t="t" r="r" b="b"/>
                            <a:pathLst>
                              <a:path w="6090920" h="6924040">
                                <a:moveTo>
                                  <a:pt x="6090831" y="0"/>
                                </a:moveTo>
                                <a:lnTo>
                                  <a:pt x="0" y="0"/>
                                </a:lnTo>
                                <a:lnTo>
                                  <a:pt x="0" y="6924001"/>
                                </a:lnTo>
                                <a:lnTo>
                                  <a:pt x="6090831" y="6924001"/>
                                </a:lnTo>
                                <a:lnTo>
                                  <a:pt x="6090831"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60" y="2615945"/>
                            <a:ext cx="5652770" cy="3377565"/>
                          </a:xfrm>
                          <a:custGeom>
                            <a:avLst/>
                            <a:gdLst/>
                            <a:ahLst/>
                            <a:cxnLst/>
                            <a:rect l="l" t="t" r="r" b="b"/>
                            <a:pathLst>
                              <a:path w="5652770" h="3377565">
                                <a:moveTo>
                                  <a:pt x="1847088" y="3371100"/>
                                </a:moveTo>
                                <a:lnTo>
                                  <a:pt x="18288" y="3371100"/>
                                </a:lnTo>
                                <a:lnTo>
                                  <a:pt x="18288" y="3377184"/>
                                </a:lnTo>
                                <a:lnTo>
                                  <a:pt x="1847088" y="3377184"/>
                                </a:lnTo>
                                <a:lnTo>
                                  <a:pt x="1847088" y="3371100"/>
                                </a:lnTo>
                                <a:close/>
                              </a:path>
                              <a:path w="5652770" h="3377565">
                                <a:moveTo>
                                  <a:pt x="5652516" y="2828556"/>
                                </a:moveTo>
                                <a:lnTo>
                                  <a:pt x="0" y="2828556"/>
                                </a:lnTo>
                                <a:lnTo>
                                  <a:pt x="0" y="2834640"/>
                                </a:lnTo>
                                <a:lnTo>
                                  <a:pt x="5652516" y="2834640"/>
                                </a:lnTo>
                                <a:lnTo>
                                  <a:pt x="5652516" y="2828556"/>
                                </a:lnTo>
                                <a:close/>
                              </a:path>
                              <a:path w="5652770" h="337756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08000" y="4667986"/>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131.339005pt;width:479.6pt;height:545.2pt;mso-position-horizontal-relative:page;mso-position-vertical-relative:page;z-index:-15877120" id="docshapegroup1" coordorigin="624,2627" coordsize="9592,10904">
                <v:rect style="position:absolute;left:623;top:2626;width:9592;height:10904" id="docshape2" filled="true" fillcolor="#ffffff" stroked="false">
                  <v:fill type="solid"/>
                </v:rect>
                <v:shape style="position:absolute;left:784;top:6746;width:8902;height:5319" id="docshape3" coordorigin="785,6746" coordsize="8902,5319" path="m3693,12055l813,12055,813,12065,3693,12065,3693,12055xm9686,11201l785,11201,785,11210,9686,11210,9686,11201xm9686,6746l785,6746,785,6756,9686,6756,9686,6746xe" filled="true" fillcolor="#000000" stroked="false">
                  <v:path arrowok="t"/>
                  <v:fill type="solid"/>
                </v:shape>
                <v:rect style="position:absolute;left:793;top:9977;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5"/>
        <w:rPr>
          <w:sz w:val="24"/>
        </w:rPr>
      </w:pPr>
    </w:p>
    <w:p>
      <w:pPr>
        <w:spacing w:before="0"/>
        <w:ind w:left="122" w:right="0"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500"/>
        <w:jc w:val="center"/>
      </w:pPr>
      <w:r>
        <w:rPr/>
        <w:t>Evaluation</w:t>
      </w:r>
      <w:r>
        <w:rPr>
          <w:spacing w:val="-4"/>
        </w:rPr>
        <w:t> </w:t>
      </w:r>
      <w:r>
        <w:rPr/>
        <w:t>of</w:t>
      </w:r>
      <w:r>
        <w:rPr>
          <w:spacing w:val="-4"/>
        </w:rPr>
        <w:t> </w:t>
      </w:r>
      <w:r>
        <w:rPr/>
        <w:t>the</w:t>
      </w:r>
      <w:r>
        <w:rPr>
          <w:spacing w:val="-7"/>
        </w:rPr>
        <w:t> </w:t>
      </w:r>
      <w:r>
        <w:rPr/>
        <w:t>use</w:t>
      </w:r>
      <w:r>
        <w:rPr>
          <w:spacing w:val="-4"/>
        </w:rPr>
        <w:t> </w:t>
      </w:r>
      <w:r>
        <w:rPr/>
        <w:t>of</w:t>
      </w:r>
      <w:r>
        <w:rPr>
          <w:spacing w:val="-4"/>
        </w:rPr>
        <w:t> </w:t>
      </w:r>
      <w:r>
        <w:rPr/>
        <w:t>Near</w:t>
      </w:r>
      <w:r>
        <w:rPr>
          <w:spacing w:val="-7"/>
        </w:rPr>
        <w:t> </w:t>
      </w:r>
      <w:r>
        <w:rPr/>
        <w:t>Infrared</w:t>
      </w:r>
      <w:r>
        <w:rPr>
          <w:spacing w:val="-3"/>
        </w:rPr>
        <w:t> </w:t>
      </w:r>
      <w:r>
        <w:rPr/>
        <w:t>Spectroscopy</w:t>
      </w:r>
      <w:r>
        <w:rPr>
          <w:spacing w:val="-3"/>
        </w:rPr>
        <w:t> </w:t>
      </w:r>
      <w:r>
        <w:rPr/>
        <w:t>(NIR)</w:t>
      </w:r>
      <w:r>
        <w:rPr>
          <w:spacing w:val="-3"/>
        </w:rPr>
        <w:t> </w:t>
      </w:r>
      <w:r>
        <w:rPr/>
        <w:t>in on-line Monitoring of Power Transformer Insulation Oil</w:t>
      </w:r>
    </w:p>
    <w:p>
      <w:pPr>
        <w:spacing w:before="226"/>
        <w:ind w:left="122" w:right="0" w:firstLine="0"/>
        <w:jc w:val="center"/>
        <w:rPr>
          <w:sz w:val="26"/>
        </w:rPr>
      </w:pPr>
      <w:r>
        <w:rPr>
          <w:sz w:val="26"/>
        </w:rPr>
        <w:t>Borges,</w:t>
      </w:r>
      <w:r>
        <w:rPr>
          <w:spacing w:val="-9"/>
          <w:sz w:val="26"/>
        </w:rPr>
        <w:t> </w:t>
      </w:r>
      <w:r>
        <w:rPr>
          <w:sz w:val="26"/>
        </w:rPr>
        <w:t>G.B.C</w:t>
      </w:r>
      <w:r>
        <w:rPr>
          <w:sz w:val="26"/>
          <w:vertAlign w:val="superscript"/>
        </w:rPr>
        <w:t>a,c</w:t>
      </w:r>
      <w:r>
        <w:rPr>
          <w:sz w:val="26"/>
          <w:vertAlign w:val="baseline"/>
        </w:rPr>
        <w:t>*,</w:t>
      </w:r>
      <w:r>
        <w:rPr>
          <w:spacing w:val="-8"/>
          <w:sz w:val="26"/>
          <w:vertAlign w:val="baseline"/>
        </w:rPr>
        <w:t> </w:t>
      </w:r>
      <w:r>
        <w:rPr>
          <w:sz w:val="26"/>
          <w:vertAlign w:val="baseline"/>
        </w:rPr>
        <w:t>Rohwedder,</w:t>
      </w:r>
      <w:r>
        <w:rPr>
          <w:spacing w:val="-8"/>
          <w:sz w:val="26"/>
          <w:vertAlign w:val="baseline"/>
        </w:rPr>
        <w:t> </w:t>
      </w:r>
      <w:r>
        <w:rPr>
          <w:sz w:val="26"/>
          <w:vertAlign w:val="baseline"/>
        </w:rPr>
        <w:t>J.J.R.</w:t>
      </w:r>
      <w:r>
        <w:rPr>
          <w:sz w:val="26"/>
          <w:vertAlign w:val="superscript"/>
        </w:rPr>
        <w:t>b</w:t>
      </w:r>
      <w:r>
        <w:rPr>
          <w:sz w:val="26"/>
          <w:vertAlign w:val="baseline"/>
        </w:rPr>
        <w:t>,</w:t>
      </w:r>
      <w:r>
        <w:rPr>
          <w:spacing w:val="-8"/>
          <w:sz w:val="26"/>
          <w:vertAlign w:val="baseline"/>
        </w:rPr>
        <w:t> </w:t>
      </w:r>
      <w:r>
        <w:rPr>
          <w:sz w:val="26"/>
          <w:vertAlign w:val="baseline"/>
        </w:rPr>
        <w:t>Bortoni,</w:t>
      </w:r>
      <w:r>
        <w:rPr>
          <w:spacing w:val="-9"/>
          <w:sz w:val="26"/>
          <w:vertAlign w:val="baseline"/>
        </w:rPr>
        <w:t> </w:t>
      </w:r>
      <w:r>
        <w:rPr>
          <w:spacing w:val="-2"/>
          <w:sz w:val="26"/>
          <w:vertAlign w:val="baseline"/>
        </w:rPr>
        <w:t>E.C.</w:t>
      </w:r>
      <w:r>
        <w:rPr>
          <w:spacing w:val="-2"/>
          <w:sz w:val="26"/>
          <w:vertAlign w:val="superscript"/>
        </w:rPr>
        <w:t>a</w:t>
      </w:r>
    </w:p>
    <w:p>
      <w:pPr>
        <w:spacing w:before="179"/>
        <w:ind w:left="625" w:right="500" w:firstLine="0"/>
        <w:jc w:val="center"/>
        <w:rPr>
          <w:i/>
          <w:sz w:val="16"/>
        </w:rPr>
      </w:pPr>
      <w:r>
        <w:rPr>
          <w:i/>
          <w:sz w:val="16"/>
          <w:vertAlign w:val="superscript"/>
        </w:rPr>
        <w:t>a</w:t>
      </w:r>
      <w:r>
        <w:rPr>
          <w:i/>
          <w:sz w:val="16"/>
          <w:vertAlign w:val="baseline"/>
        </w:rPr>
        <w:t>Institute</w:t>
      </w:r>
      <w:r>
        <w:rPr>
          <w:i/>
          <w:spacing w:val="-6"/>
          <w:sz w:val="16"/>
          <w:vertAlign w:val="baseline"/>
        </w:rPr>
        <w:t> </w:t>
      </w:r>
      <w:r>
        <w:rPr>
          <w:i/>
          <w:sz w:val="16"/>
          <w:vertAlign w:val="baseline"/>
        </w:rPr>
        <w:t>of</w:t>
      </w:r>
      <w:r>
        <w:rPr>
          <w:i/>
          <w:spacing w:val="-6"/>
          <w:sz w:val="16"/>
          <w:vertAlign w:val="baseline"/>
        </w:rPr>
        <w:t> </w:t>
      </w:r>
      <w:r>
        <w:rPr>
          <w:i/>
          <w:sz w:val="16"/>
          <w:vertAlign w:val="baseline"/>
        </w:rPr>
        <w:t>Electrical</w:t>
      </w:r>
      <w:r>
        <w:rPr>
          <w:i/>
          <w:spacing w:val="-4"/>
          <w:sz w:val="16"/>
          <w:vertAlign w:val="baseline"/>
        </w:rPr>
        <w:t> </w:t>
      </w:r>
      <w:r>
        <w:rPr>
          <w:i/>
          <w:sz w:val="16"/>
          <w:vertAlign w:val="baseline"/>
        </w:rPr>
        <w:t>Power</w:t>
      </w:r>
      <w:r>
        <w:rPr>
          <w:i/>
          <w:spacing w:val="-6"/>
          <w:sz w:val="16"/>
          <w:vertAlign w:val="baseline"/>
        </w:rPr>
        <w:t> </w:t>
      </w:r>
      <w:r>
        <w:rPr>
          <w:i/>
          <w:sz w:val="16"/>
          <w:vertAlign w:val="baseline"/>
        </w:rPr>
        <w:t>and</w:t>
      </w:r>
      <w:r>
        <w:rPr>
          <w:i/>
          <w:spacing w:val="-6"/>
          <w:sz w:val="16"/>
          <w:vertAlign w:val="baseline"/>
        </w:rPr>
        <w:t> </w:t>
      </w:r>
      <w:r>
        <w:rPr>
          <w:i/>
          <w:sz w:val="16"/>
          <w:vertAlign w:val="baseline"/>
        </w:rPr>
        <w:t>Energy,</w:t>
      </w:r>
      <w:r>
        <w:rPr>
          <w:i/>
          <w:spacing w:val="-5"/>
          <w:sz w:val="16"/>
          <w:vertAlign w:val="baseline"/>
        </w:rPr>
        <w:t> </w:t>
      </w:r>
      <w:r>
        <w:rPr>
          <w:i/>
          <w:sz w:val="16"/>
          <w:vertAlign w:val="baseline"/>
        </w:rPr>
        <w:t>UNIFEI,</w:t>
      </w:r>
      <w:r>
        <w:rPr>
          <w:i/>
          <w:spacing w:val="-4"/>
          <w:sz w:val="16"/>
          <w:vertAlign w:val="baseline"/>
        </w:rPr>
        <w:t> </w:t>
      </w:r>
      <w:r>
        <w:rPr>
          <w:i/>
          <w:sz w:val="16"/>
          <w:vertAlign w:val="baseline"/>
        </w:rPr>
        <w:t>Itajubá,</w:t>
      </w:r>
      <w:r>
        <w:rPr>
          <w:i/>
          <w:spacing w:val="-4"/>
          <w:sz w:val="16"/>
          <w:vertAlign w:val="baseline"/>
        </w:rPr>
        <w:t> </w:t>
      </w:r>
      <w:r>
        <w:rPr>
          <w:i/>
          <w:spacing w:val="-2"/>
          <w:sz w:val="16"/>
          <w:vertAlign w:val="baseline"/>
        </w:rPr>
        <w:t>Brazil</w:t>
      </w:r>
    </w:p>
    <w:p>
      <w:pPr>
        <w:spacing w:before="15"/>
        <w:ind w:left="124" w:right="0" w:firstLine="0"/>
        <w:jc w:val="center"/>
        <w:rPr>
          <w:i/>
          <w:sz w:val="16"/>
        </w:rPr>
      </w:pPr>
      <w:r>
        <w:rPr>
          <w:i/>
          <w:sz w:val="16"/>
          <w:vertAlign w:val="superscript"/>
        </w:rPr>
        <w:t>b</w:t>
      </w:r>
      <w:r>
        <w:rPr>
          <w:i/>
          <w:sz w:val="16"/>
          <w:vertAlign w:val="baseline"/>
        </w:rPr>
        <w:t>Analytical</w:t>
      </w:r>
      <w:r>
        <w:rPr>
          <w:i/>
          <w:spacing w:val="-9"/>
          <w:sz w:val="16"/>
          <w:vertAlign w:val="baseline"/>
        </w:rPr>
        <w:t> </w:t>
      </w:r>
      <w:r>
        <w:rPr>
          <w:i/>
          <w:sz w:val="16"/>
          <w:vertAlign w:val="baseline"/>
        </w:rPr>
        <w:t>Chemistry</w:t>
      </w:r>
      <w:r>
        <w:rPr>
          <w:i/>
          <w:spacing w:val="-9"/>
          <w:sz w:val="16"/>
          <w:vertAlign w:val="baseline"/>
        </w:rPr>
        <w:t> </w:t>
      </w:r>
      <w:r>
        <w:rPr>
          <w:i/>
          <w:sz w:val="16"/>
          <w:vertAlign w:val="baseline"/>
        </w:rPr>
        <w:t>Institute,</w:t>
      </w:r>
      <w:r>
        <w:rPr>
          <w:i/>
          <w:spacing w:val="-6"/>
          <w:sz w:val="16"/>
          <w:vertAlign w:val="baseline"/>
        </w:rPr>
        <w:t> </w:t>
      </w:r>
      <w:r>
        <w:rPr>
          <w:i/>
          <w:sz w:val="16"/>
          <w:vertAlign w:val="baseline"/>
        </w:rPr>
        <w:t>UNICAMP,</w:t>
      </w:r>
      <w:r>
        <w:rPr>
          <w:i/>
          <w:spacing w:val="-8"/>
          <w:sz w:val="16"/>
          <w:vertAlign w:val="baseline"/>
        </w:rPr>
        <w:t> </w:t>
      </w:r>
      <w:r>
        <w:rPr>
          <w:i/>
          <w:sz w:val="16"/>
          <w:vertAlign w:val="baseline"/>
        </w:rPr>
        <w:t>Campinas,</w:t>
      </w:r>
      <w:r>
        <w:rPr>
          <w:i/>
          <w:spacing w:val="-8"/>
          <w:sz w:val="16"/>
          <w:vertAlign w:val="baseline"/>
        </w:rPr>
        <w:t> </w:t>
      </w:r>
      <w:r>
        <w:rPr>
          <w:i/>
          <w:spacing w:val="-2"/>
          <w:sz w:val="16"/>
          <w:vertAlign w:val="baseline"/>
        </w:rPr>
        <w:t>Brazil</w:t>
      </w:r>
    </w:p>
    <w:p>
      <w:pPr>
        <w:spacing w:before="18"/>
        <w:ind w:left="1329" w:right="500" w:firstLine="0"/>
        <w:jc w:val="center"/>
        <w:rPr>
          <w:i/>
          <w:sz w:val="16"/>
        </w:rPr>
      </w:pPr>
      <w:r>
        <w:rPr>
          <w:i/>
          <w:sz w:val="16"/>
          <w:vertAlign w:val="superscript"/>
        </w:rPr>
        <w:t>c</w:t>
      </w:r>
      <w:r>
        <w:rPr>
          <w:i/>
          <w:sz w:val="16"/>
          <w:vertAlign w:val="baseline"/>
        </w:rPr>
        <w:t>Centro</w:t>
      </w:r>
      <w:r>
        <w:rPr>
          <w:i/>
          <w:spacing w:val="-8"/>
          <w:sz w:val="16"/>
          <w:vertAlign w:val="baseline"/>
        </w:rPr>
        <w:t> </w:t>
      </w:r>
      <w:r>
        <w:rPr>
          <w:i/>
          <w:sz w:val="16"/>
          <w:vertAlign w:val="baseline"/>
        </w:rPr>
        <w:t>Federal</w:t>
      </w:r>
      <w:r>
        <w:rPr>
          <w:i/>
          <w:spacing w:val="-8"/>
          <w:sz w:val="16"/>
          <w:vertAlign w:val="baseline"/>
        </w:rPr>
        <w:t> </w:t>
      </w:r>
      <w:r>
        <w:rPr>
          <w:i/>
          <w:sz w:val="16"/>
          <w:vertAlign w:val="baseline"/>
        </w:rPr>
        <w:t>de</w:t>
      </w:r>
      <w:r>
        <w:rPr>
          <w:i/>
          <w:spacing w:val="-8"/>
          <w:sz w:val="16"/>
          <w:vertAlign w:val="baseline"/>
        </w:rPr>
        <w:t> </w:t>
      </w:r>
      <w:r>
        <w:rPr>
          <w:i/>
          <w:sz w:val="16"/>
          <w:vertAlign w:val="baseline"/>
        </w:rPr>
        <w:t>Educação</w:t>
      </w:r>
      <w:r>
        <w:rPr>
          <w:i/>
          <w:spacing w:val="-5"/>
          <w:sz w:val="16"/>
          <w:vertAlign w:val="baseline"/>
        </w:rPr>
        <w:t> </w:t>
      </w:r>
      <w:r>
        <w:rPr>
          <w:i/>
          <w:sz w:val="16"/>
          <w:vertAlign w:val="baseline"/>
        </w:rPr>
        <w:t>Tecnológica</w:t>
      </w:r>
      <w:r>
        <w:rPr>
          <w:i/>
          <w:spacing w:val="-8"/>
          <w:sz w:val="16"/>
          <w:vertAlign w:val="baseline"/>
        </w:rPr>
        <w:t> </w:t>
      </w:r>
      <w:r>
        <w:rPr>
          <w:i/>
          <w:sz w:val="16"/>
          <w:vertAlign w:val="baseline"/>
        </w:rPr>
        <w:t>de</w:t>
      </w:r>
      <w:r>
        <w:rPr>
          <w:i/>
          <w:spacing w:val="-9"/>
          <w:sz w:val="16"/>
          <w:vertAlign w:val="baseline"/>
        </w:rPr>
        <w:t> </w:t>
      </w:r>
      <w:r>
        <w:rPr>
          <w:i/>
          <w:sz w:val="16"/>
          <w:vertAlign w:val="baseline"/>
        </w:rPr>
        <w:t>Minas</w:t>
      </w:r>
      <w:r>
        <w:rPr>
          <w:i/>
          <w:spacing w:val="-6"/>
          <w:sz w:val="16"/>
          <w:vertAlign w:val="baseline"/>
        </w:rPr>
        <w:t> </w:t>
      </w:r>
      <w:r>
        <w:rPr>
          <w:i/>
          <w:sz w:val="16"/>
          <w:vertAlign w:val="baseline"/>
        </w:rPr>
        <w:t>Gerais,CEFET-MG,Varginha,</w:t>
      </w:r>
      <w:r>
        <w:rPr>
          <w:i/>
          <w:spacing w:val="-8"/>
          <w:sz w:val="16"/>
          <w:vertAlign w:val="baseline"/>
        </w:rPr>
        <w:t> </w:t>
      </w:r>
      <w:r>
        <w:rPr>
          <w:i/>
          <w:spacing w:val="-2"/>
          <w:sz w:val="16"/>
          <w:vertAlign w:val="baseline"/>
        </w:rPr>
        <w:t>Brazil</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9"/>
        <w:rPr>
          <w:i/>
          <w:sz w:val="16"/>
        </w:rPr>
      </w:pPr>
    </w:p>
    <w:p>
      <w:pPr>
        <w:spacing w:before="0"/>
        <w:ind w:left="373" w:right="0" w:firstLine="0"/>
        <w:jc w:val="left"/>
        <w:rPr>
          <w:sz w:val="18"/>
        </w:rPr>
      </w:pPr>
      <w:r>
        <w:rPr>
          <w:spacing w:val="-2"/>
          <w:w w:val="110"/>
          <w:sz w:val="18"/>
        </w:rPr>
        <w:t>Abstract</w:t>
      </w:r>
    </w:p>
    <w:p>
      <w:pPr>
        <w:pStyle w:val="BodyText"/>
        <w:spacing w:before="16"/>
        <w:rPr>
          <w:sz w:val="18"/>
        </w:rPr>
      </w:pPr>
    </w:p>
    <w:p>
      <w:pPr>
        <w:spacing w:before="0"/>
        <w:ind w:left="373" w:right="239" w:firstLine="0"/>
        <w:jc w:val="both"/>
        <w:rPr>
          <w:sz w:val="18"/>
        </w:rPr>
      </w:pPr>
      <w:r>
        <w:rPr/>
        <mc:AlternateContent>
          <mc:Choice Requires="wps">
            <w:drawing>
              <wp:anchor distT="0" distB="0" distL="0" distR="0" allowOverlap="1" layoutInCell="1" locked="0" behindDoc="1" simplePos="0" relativeHeight="487437824">
                <wp:simplePos x="0" y="0"/>
                <wp:positionH relativeFrom="page">
                  <wp:posOffset>439978</wp:posOffset>
                </wp:positionH>
                <wp:positionV relativeFrom="paragraph">
                  <wp:posOffset>-23543</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44001pt;margin-top:-1.853804pt;width:428.9pt;height:8.950pt;mso-position-horizontal-relative:page;mso-position-vertical-relative:paragraph;z-index:-1587865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To maximize the lifetime expectance of power transformers, it is important to develop tools to monitor and to give diagnose information, allowing for real-time detection of incoming failures. Information from analysis of gases dissolved or free in insulating oil is one of the most valuable tools in evaluating the health of a transformer and has become an important part of preventive maintenance programs. The condition of the oil greatly affects the performance and the service life of transformers, and on-line monitoring has become a reliable method to ensure the safe operation of transformers. An on-line monitoring of dissolved gases generated by electrical transformers in operation was developed, which can be used as an important parameter for the detection of faults and monitoring the chemical degradation of mineral insulation oil. This paper proposes a method to analyze the generated gases, based on Near Infrared Spectroscopy (NIR) through a developed prototype that can be adapt on the Buchholz transformer relay. The combination used of NIR spectroscopy and chemometric tools has allowed for obtaining information over the samples. Recent developments of chemometrics software and computer technology have made NIR analysis the practical choice for process analysis </w:t>
      </w:r>
      <w:r>
        <w:rPr>
          <w:spacing w:val="-2"/>
          <w:sz w:val="18"/>
        </w:rPr>
        <w:t>applications.</w:t>
      </w:r>
    </w:p>
    <w:p>
      <w:pPr>
        <w:pStyle w:val="BodyText"/>
        <w:spacing w:before="128"/>
        <w:rPr>
          <w:sz w:val="16"/>
        </w:rPr>
      </w:pPr>
    </w:p>
    <w:p>
      <w:pPr>
        <w:spacing w:before="0"/>
        <w:ind w:left="353" w:right="0" w:firstLine="0"/>
        <w:jc w:val="left"/>
        <w:rPr>
          <w:sz w:val="16"/>
        </w:rPr>
      </w:pPr>
      <w:r>
        <w:rPr/>
        <mc:AlternateContent>
          <mc:Choice Requires="wps">
            <w:drawing>
              <wp:anchor distT="0" distB="0" distL="0" distR="0" allowOverlap="1" layoutInCell="1" locked="0" behindDoc="1" simplePos="0" relativeHeight="487438336">
                <wp:simplePos x="0" y="0"/>
                <wp:positionH relativeFrom="page">
                  <wp:posOffset>516550</wp:posOffset>
                </wp:positionH>
                <wp:positionV relativeFrom="paragraph">
                  <wp:posOffset>-48218</wp:posOffset>
                </wp:positionV>
                <wp:extent cx="498221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9"/>
                              </w:rPr>
                              <w:t> </w:t>
                            </w:r>
                            <w:r>
                              <w:rPr/>
                              <w:t>Borges,</w:t>
                            </w:r>
                            <w:r>
                              <w:rPr>
                                <w:spacing w:val="-6"/>
                              </w:rPr>
                              <w:t> </w:t>
                            </w:r>
                            <w:r>
                              <w:rPr/>
                              <w:t>G.B.C,</w:t>
                            </w:r>
                            <w:r>
                              <w:rPr>
                                <w:spacing w:val="-5"/>
                              </w:rPr>
                              <w:t> </w:t>
                            </w:r>
                            <w:r>
                              <w:rPr/>
                              <w:t>Rohwedder,</w:t>
                            </w:r>
                            <w:r>
                              <w:rPr>
                                <w:spacing w:val="-9"/>
                              </w:rPr>
                              <w:t> </w:t>
                            </w:r>
                            <w:r>
                              <w:rPr/>
                              <w:t>J.J.R.,</w:t>
                            </w:r>
                            <w:r>
                              <w:rPr>
                                <w:spacing w:val="-6"/>
                              </w:rPr>
                              <w:t> </w:t>
                            </w:r>
                            <w:r>
                              <w:rPr/>
                              <w:t>Bortoni,</w:t>
                            </w:r>
                            <w:r>
                              <w:rPr>
                                <w:spacing w:val="-5"/>
                              </w:rPr>
                              <w:t> </w:t>
                            </w:r>
                            <w:r>
                              <w:rPr/>
                              <w:t>E.C.</w:t>
                            </w:r>
                            <w:r>
                              <w:rPr>
                                <w:spacing w:val="-6"/>
                              </w:rPr>
                              <w:t> </w:t>
                            </w:r>
                            <w:r>
                              <w:rPr/>
                              <w:t>Published</w:t>
                            </w:r>
                            <w:r>
                              <w:rPr>
                                <w:spacing w:val="-6"/>
                              </w:rPr>
                              <w:t> </w:t>
                            </w:r>
                            <w:r>
                              <w:rPr/>
                              <w:t>by</w:t>
                            </w:r>
                            <w:r>
                              <w:rPr>
                                <w:spacing w:val="-10"/>
                              </w:rPr>
                              <w:t> </w:t>
                            </w:r>
                            <w:r>
                              <w:rPr/>
                              <w:t>Elsevier</w:t>
                            </w:r>
                            <w:r>
                              <w:rPr>
                                <w:spacing w:val="-7"/>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0.673302pt;margin-top:-3.796764pt;width:392.3pt;height:22.6pt;mso-position-horizontal-relative:page;mso-position-vertical-relative:paragraph;z-index:-15878144" type="#_x0000_t202" id="docshape8" filled="false" stroked="false">
                <v:textbox inset="0,0,0,0">
                  <w:txbxContent>
                    <w:p>
                      <w:pPr>
                        <w:pStyle w:val="BodyText"/>
                        <w:spacing w:line="221" w:lineRule="exact"/>
                      </w:pPr>
                      <w:r>
                        <w:rPr/>
                        <w:t>©</w:t>
                      </w:r>
                      <w:r>
                        <w:rPr>
                          <w:spacing w:val="-6"/>
                        </w:rPr>
                        <w:t> </w:t>
                      </w:r>
                      <w:r>
                        <w:rPr/>
                        <w:t>2012</w:t>
                      </w:r>
                      <w:r>
                        <w:rPr>
                          <w:spacing w:val="-9"/>
                        </w:rPr>
                        <w:t> </w:t>
                      </w:r>
                      <w:r>
                        <w:rPr/>
                        <w:t>Borges,</w:t>
                      </w:r>
                      <w:r>
                        <w:rPr>
                          <w:spacing w:val="-6"/>
                        </w:rPr>
                        <w:t> </w:t>
                      </w:r>
                      <w:r>
                        <w:rPr/>
                        <w:t>G.B.C,</w:t>
                      </w:r>
                      <w:r>
                        <w:rPr>
                          <w:spacing w:val="-5"/>
                        </w:rPr>
                        <w:t> </w:t>
                      </w:r>
                      <w:r>
                        <w:rPr/>
                        <w:t>Rohwedder,</w:t>
                      </w:r>
                      <w:r>
                        <w:rPr>
                          <w:spacing w:val="-9"/>
                        </w:rPr>
                        <w:t> </w:t>
                      </w:r>
                      <w:r>
                        <w:rPr/>
                        <w:t>J.J.R.,</w:t>
                      </w:r>
                      <w:r>
                        <w:rPr>
                          <w:spacing w:val="-6"/>
                        </w:rPr>
                        <w:t> </w:t>
                      </w:r>
                      <w:r>
                        <w:rPr/>
                        <w:t>Bortoni,</w:t>
                      </w:r>
                      <w:r>
                        <w:rPr>
                          <w:spacing w:val="-5"/>
                        </w:rPr>
                        <w:t> </w:t>
                      </w:r>
                      <w:r>
                        <w:rPr/>
                        <w:t>E.C.</w:t>
                      </w:r>
                      <w:r>
                        <w:rPr>
                          <w:spacing w:val="-6"/>
                        </w:rPr>
                        <w:t> </w:t>
                      </w:r>
                      <w:r>
                        <w:rPr/>
                        <w:t>Published</w:t>
                      </w:r>
                      <w:r>
                        <w:rPr>
                          <w:spacing w:val="-6"/>
                        </w:rPr>
                        <w:t> </w:t>
                      </w:r>
                      <w:r>
                        <w:rPr/>
                        <w:t>by</w:t>
                      </w:r>
                      <w:r>
                        <w:rPr>
                          <w:spacing w:val="-10"/>
                        </w:rPr>
                        <w:t> </w:t>
                      </w:r>
                      <w:r>
                        <w:rPr/>
                        <w:t>Elsevier</w:t>
                      </w:r>
                      <w:r>
                        <w:rPr>
                          <w:spacing w:val="-7"/>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66"/>
        <w:ind w:left="351"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8"/>
        <w:rPr>
          <w:sz w:val="16"/>
        </w:rPr>
      </w:pPr>
    </w:p>
    <w:p>
      <w:pPr>
        <w:spacing w:before="0"/>
        <w:ind w:left="373" w:right="0" w:firstLine="0"/>
        <w:jc w:val="left"/>
        <w:rPr>
          <w:sz w:val="16"/>
        </w:rPr>
      </w:pPr>
      <w:r>
        <w:rPr>
          <w:i/>
          <w:sz w:val="16"/>
        </w:rPr>
        <w:t>Keywords</w:t>
      </w:r>
      <w:r>
        <w:rPr>
          <w:sz w:val="16"/>
        </w:rPr>
        <w:t>:</w:t>
      </w:r>
      <w:r>
        <w:rPr>
          <w:spacing w:val="-12"/>
          <w:sz w:val="16"/>
        </w:rPr>
        <w:t> </w:t>
      </w:r>
      <w:r>
        <w:rPr>
          <w:sz w:val="16"/>
        </w:rPr>
        <w:t>power</w:t>
      </w:r>
      <w:r>
        <w:rPr>
          <w:spacing w:val="-8"/>
          <w:sz w:val="16"/>
        </w:rPr>
        <w:t> </w:t>
      </w:r>
      <w:r>
        <w:rPr>
          <w:sz w:val="16"/>
        </w:rPr>
        <w:t>transformers;</w:t>
      </w:r>
      <w:r>
        <w:rPr>
          <w:spacing w:val="-6"/>
          <w:sz w:val="16"/>
        </w:rPr>
        <w:t> </w:t>
      </w:r>
      <w:r>
        <w:rPr>
          <w:sz w:val="16"/>
        </w:rPr>
        <w:t>insulation</w:t>
      </w:r>
      <w:r>
        <w:rPr>
          <w:spacing w:val="-8"/>
          <w:sz w:val="16"/>
        </w:rPr>
        <w:t> </w:t>
      </w:r>
      <w:r>
        <w:rPr>
          <w:sz w:val="16"/>
        </w:rPr>
        <w:t>oil;</w:t>
      </w:r>
      <w:r>
        <w:rPr>
          <w:spacing w:val="-6"/>
          <w:sz w:val="16"/>
        </w:rPr>
        <w:t> </w:t>
      </w:r>
      <w:r>
        <w:rPr>
          <w:sz w:val="16"/>
        </w:rPr>
        <w:t>spectroscopy;</w:t>
      </w:r>
      <w:r>
        <w:rPr>
          <w:spacing w:val="-6"/>
          <w:sz w:val="16"/>
        </w:rPr>
        <w:t> </w:t>
      </w:r>
      <w:r>
        <w:rPr>
          <w:sz w:val="16"/>
        </w:rPr>
        <w:t>NIR;</w:t>
      </w:r>
      <w:r>
        <w:rPr>
          <w:spacing w:val="-6"/>
          <w:sz w:val="16"/>
        </w:rPr>
        <w:t> </w:t>
      </w:r>
      <w:r>
        <w:rPr>
          <w:sz w:val="16"/>
        </w:rPr>
        <w:t>chemometrics;</w:t>
      </w:r>
      <w:r>
        <w:rPr>
          <w:spacing w:val="-5"/>
          <w:sz w:val="16"/>
        </w:rPr>
        <w:t> </w:t>
      </w:r>
      <w:r>
        <w:rPr>
          <w:sz w:val="16"/>
        </w:rPr>
        <w:t>online</w:t>
      </w:r>
      <w:r>
        <w:rPr>
          <w:spacing w:val="-8"/>
          <w:sz w:val="16"/>
        </w:rPr>
        <w:t> </w:t>
      </w:r>
      <w:r>
        <w:rPr>
          <w:spacing w:val="-2"/>
          <w:sz w:val="16"/>
        </w:rPr>
        <w:t>monitoring.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6"/>
        <w:rPr>
          <w:sz w:val="16"/>
        </w:rPr>
      </w:pPr>
    </w:p>
    <w:p>
      <w:pPr>
        <w:spacing w:before="0"/>
        <w:ind w:left="613"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7"/>
          <w:sz w:val="16"/>
        </w:rPr>
        <w:t> </w:t>
      </w:r>
      <w:r>
        <w:rPr>
          <w:sz w:val="16"/>
        </w:rPr>
        <w:t>Tel.:</w:t>
      </w:r>
      <w:r>
        <w:rPr>
          <w:spacing w:val="-8"/>
          <w:sz w:val="16"/>
        </w:rPr>
        <w:t> </w:t>
      </w:r>
      <w:r>
        <w:rPr>
          <w:sz w:val="16"/>
        </w:rPr>
        <w:t>055-35-</w:t>
      </w:r>
      <w:r>
        <w:rPr>
          <w:spacing w:val="-2"/>
          <w:sz w:val="16"/>
        </w:rPr>
        <w:t>32141611;</w:t>
      </w:r>
    </w:p>
    <w:p>
      <w:pPr>
        <w:spacing w:before="15"/>
        <w:ind w:left="613"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gilzeborges@varginha.cefetmg.br.</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3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8"/>
        <w:ind w:left="117"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0"/>
          <w:sz w:val="16"/>
        </w:rPr>
        <w:t> </w:t>
      </w:r>
      <w:r>
        <w:rPr>
          <w:color w:val="231F20"/>
          <w:spacing w:val="-2"/>
          <w:sz w:val="16"/>
        </w:rPr>
        <w:t>doi:10.1016/j.aasri.2012.09.014</w:t>
      </w:r>
    </w:p>
    <w:p>
      <w:pPr>
        <w:spacing w:after="0"/>
        <w:jc w:val="left"/>
        <w:rPr>
          <w:sz w:val="16"/>
        </w:rPr>
        <w:sectPr>
          <w:type w:val="continuous"/>
          <w:pgSz w:w="10890" w:h="14860"/>
          <w:pgMar w:header="0" w:footer="0" w:top="780" w:bottom="280" w:left="440" w:right="980"/>
        </w:sectPr>
      </w:pPr>
    </w:p>
    <w:p>
      <w:pPr>
        <w:pStyle w:val="BodyText"/>
        <w:spacing w:before="156"/>
      </w:pPr>
    </w:p>
    <w:p>
      <w:pPr>
        <w:pStyle w:val="ListParagraph"/>
        <w:numPr>
          <w:ilvl w:val="0"/>
          <w:numId w:val="1"/>
        </w:numPr>
        <w:tabs>
          <w:tab w:pos="691" w:val="left" w:leader="none"/>
        </w:tabs>
        <w:spacing w:line="240" w:lineRule="auto" w:before="1" w:after="0"/>
        <w:ind w:left="691" w:right="0" w:hanging="205"/>
        <w:jc w:val="left"/>
        <w:rPr>
          <w:sz w:val="20"/>
        </w:rPr>
      </w:pPr>
      <w:r>
        <w:rPr>
          <w:spacing w:val="-2"/>
          <w:w w:val="110"/>
          <w:sz w:val="20"/>
        </w:rPr>
        <w:t>Introduction</w:t>
      </w:r>
    </w:p>
    <w:p>
      <w:pPr>
        <w:pStyle w:val="BodyText"/>
        <w:spacing w:before="22"/>
      </w:pPr>
    </w:p>
    <w:p>
      <w:pPr>
        <w:pStyle w:val="BodyText"/>
        <w:spacing w:line="249" w:lineRule="auto"/>
        <w:ind w:left="486" w:right="101" w:firstLine="237"/>
        <w:jc w:val="both"/>
      </w:pPr>
      <w:r>
        <w:rPr/>
        <w:t>The demand for electric power is increasing and power transformers are vital elements for its transmission and distribution. Power transformers are the most important equipments and the most expensive component in a power transmission or distribution substation. To guarantee the reliable electricity supply, it is necessary control the maintenance and the lifetime of transformers. Several researches have been conducted to increase the system reliability, cost savings, to reduce the maintenance requirements in order to improve energy production. It has long been recognized that the degradation of oil-paper insulation system from</w:t>
      </w:r>
      <w:r>
        <w:rPr>
          <w:spacing w:val="-1"/>
        </w:rPr>
        <w:t> </w:t>
      </w:r>
      <w:r>
        <w:rPr/>
        <w:t>electrical and thermal</w:t>
      </w:r>
      <w:r>
        <w:rPr>
          <w:spacing w:val="-2"/>
        </w:rPr>
        <w:t> </w:t>
      </w:r>
      <w:r>
        <w:rPr/>
        <w:t>stress</w:t>
      </w:r>
      <w:r>
        <w:rPr>
          <w:spacing w:val="-3"/>
        </w:rPr>
        <w:t> </w:t>
      </w:r>
      <w:r>
        <w:rPr/>
        <w:t>can</w:t>
      </w:r>
      <w:r>
        <w:rPr>
          <w:spacing w:val="-3"/>
        </w:rPr>
        <w:t> </w:t>
      </w:r>
      <w:r>
        <w:rPr/>
        <w:t>be</w:t>
      </w:r>
      <w:r>
        <w:rPr>
          <w:spacing w:val="-1"/>
        </w:rPr>
        <w:t> </w:t>
      </w:r>
      <w:r>
        <w:rPr/>
        <w:t>a good</w:t>
      </w:r>
      <w:r>
        <w:rPr>
          <w:spacing w:val="-1"/>
        </w:rPr>
        <w:t> </w:t>
      </w:r>
      <w:r>
        <w:rPr/>
        <w:t>indicator</w:t>
      </w:r>
      <w:r>
        <w:rPr>
          <w:spacing w:val="-1"/>
        </w:rPr>
        <w:t> </w:t>
      </w:r>
      <w:r>
        <w:rPr/>
        <w:t>of</w:t>
      </w:r>
      <w:r>
        <w:rPr>
          <w:spacing w:val="-3"/>
        </w:rPr>
        <w:t> </w:t>
      </w:r>
      <w:r>
        <w:rPr/>
        <w:t>the</w:t>
      </w:r>
      <w:r>
        <w:rPr>
          <w:spacing w:val="-1"/>
        </w:rPr>
        <w:t> </w:t>
      </w:r>
      <w:r>
        <w:rPr/>
        <w:t>transformers</w:t>
      </w:r>
      <w:r>
        <w:rPr>
          <w:spacing w:val="-1"/>
        </w:rPr>
        <w:t> </w:t>
      </w:r>
      <w:r>
        <w:rPr/>
        <w:t>condition.</w:t>
      </w:r>
      <w:r>
        <w:rPr>
          <w:spacing w:val="40"/>
        </w:rPr>
        <w:t> </w:t>
      </w:r>
      <w:r>
        <w:rPr/>
        <w:t>To maximize</w:t>
      </w:r>
      <w:r>
        <w:rPr>
          <w:spacing w:val="-1"/>
        </w:rPr>
        <w:t> </w:t>
      </w:r>
      <w:r>
        <w:rPr/>
        <w:t>the</w:t>
      </w:r>
      <w:r>
        <w:rPr>
          <w:spacing w:val="-1"/>
        </w:rPr>
        <w:t> </w:t>
      </w:r>
      <w:r>
        <w:rPr/>
        <w:t>lifetime</w:t>
      </w:r>
      <w:r>
        <w:rPr>
          <w:spacing w:val="-2"/>
        </w:rPr>
        <w:t> </w:t>
      </w:r>
      <w:r>
        <w:rPr/>
        <w:t>of</w:t>
      </w:r>
      <w:r>
        <w:rPr>
          <w:spacing w:val="-3"/>
        </w:rPr>
        <w:t> </w:t>
      </w:r>
      <w:r>
        <w:rPr/>
        <w:t>transformers it is important to be aware of possible faults that may occur and how to identify and prevent them [1]. Such faults can be monitored from the concentration of hydrocarbon gases generated in the degradation of the oil and paper insulation in the transformers.</w:t>
      </w:r>
    </w:p>
    <w:p>
      <w:pPr>
        <w:pStyle w:val="BodyText"/>
        <w:spacing w:line="249" w:lineRule="auto" w:before="9"/>
        <w:ind w:left="486" w:right="101" w:firstLine="237"/>
        <w:jc w:val="both"/>
      </w:pPr>
      <w:r>
        <w:rPr/>
        <w:t>Monitoring system has become a perfect method to ensure the condition and safe performance of the equipment and help to make better maintenance decisions [2]. The influence of service conditions on the insulation of electrical devices during this equipment failures results on changes at the molecular levels with formation of new chemical compounds [1]. Especially in case of oil there are gases were formed like as hydrogen (H</w:t>
      </w:r>
      <w:r>
        <w:rPr>
          <w:vertAlign w:val="subscript"/>
        </w:rPr>
        <w:t>2</w:t>
      </w:r>
      <w:r>
        <w:rPr>
          <w:vertAlign w:val="baseline"/>
        </w:rPr>
        <w:t>), carbon oxides (CO and CO</w:t>
      </w:r>
      <w:r>
        <w:rPr>
          <w:vertAlign w:val="subscript"/>
        </w:rPr>
        <w:t>2</w:t>
      </w:r>
      <w:r>
        <w:rPr>
          <w:vertAlign w:val="baseline"/>
        </w:rPr>
        <w:t>), and some low molecular weight hydrocarbons such as methane (CH</w:t>
      </w:r>
      <w:r>
        <w:rPr>
          <w:vertAlign w:val="subscript"/>
        </w:rPr>
        <w:t>4</w:t>
      </w:r>
      <w:r>
        <w:rPr>
          <w:vertAlign w:val="baseline"/>
        </w:rPr>
        <w:t>), ethane (C</w:t>
      </w:r>
      <w:r>
        <w:rPr>
          <w:vertAlign w:val="subscript"/>
        </w:rPr>
        <w:t>2</w:t>
      </w:r>
      <w:r>
        <w:rPr>
          <w:vertAlign w:val="baseline"/>
        </w:rPr>
        <w:t>H</w:t>
      </w:r>
      <w:r>
        <w:rPr>
          <w:vertAlign w:val="subscript"/>
        </w:rPr>
        <w:t>6</w:t>
      </w:r>
      <w:r>
        <w:rPr>
          <w:vertAlign w:val="baseline"/>
        </w:rPr>
        <w:t>), ethylene (C</w:t>
      </w:r>
      <w:r>
        <w:rPr>
          <w:vertAlign w:val="subscript"/>
        </w:rPr>
        <w:t>2</w:t>
      </w:r>
      <w:r>
        <w:rPr>
          <w:vertAlign w:val="baseline"/>
        </w:rPr>
        <w:t>H</w:t>
      </w:r>
      <w:r>
        <w:rPr>
          <w:vertAlign w:val="subscript"/>
        </w:rPr>
        <w:t>4</w:t>
      </w:r>
      <w:r>
        <w:rPr>
          <w:vertAlign w:val="baseline"/>
        </w:rPr>
        <w:t>) and acetylene (C</w:t>
      </w:r>
      <w:r>
        <w:rPr>
          <w:vertAlign w:val="subscript"/>
        </w:rPr>
        <w:t>2</w:t>
      </w:r>
      <w:r>
        <w:rPr>
          <w:vertAlign w:val="baseline"/>
        </w:rPr>
        <w:t>H</w:t>
      </w:r>
      <w:r>
        <w:rPr>
          <w:vertAlign w:val="subscript"/>
        </w:rPr>
        <w:t>2</w:t>
      </w:r>
      <w:r>
        <w:rPr>
          <w:vertAlign w:val="baseline"/>
        </w:rPr>
        <w:t>). One way to detect these faults is evaluating the quantities of the hydrocarbon gases that are formed from the degradation on insulation systems and the ratio among the gas generated and the faults held on transformers is well established [3,4].</w:t>
      </w:r>
    </w:p>
    <w:p>
      <w:pPr>
        <w:pStyle w:val="BodyText"/>
        <w:spacing w:line="249" w:lineRule="auto" w:before="6"/>
        <w:ind w:left="486" w:right="102" w:firstLine="237"/>
        <w:jc w:val="both"/>
      </w:pPr>
      <w:r>
        <w:rPr/>
        <w:t>The importance of transformer fault gas analysis and interpretation is well recognized and documented.</w:t>
      </w:r>
      <w:r>
        <w:rPr>
          <w:spacing w:val="80"/>
        </w:rPr>
        <w:t> </w:t>
      </w:r>
      <w:r>
        <w:rPr/>
        <w:t>The deterioration of transformer oil and paper insulation results in the formation of by-products in the form characteristics gases. In the presence of an active fault, the rate of deterioration is considerably increased, and the type of these gases generated will vary with the nature of severity of the fault [5].</w:t>
      </w:r>
    </w:p>
    <w:p>
      <w:pPr>
        <w:pStyle w:val="BodyText"/>
        <w:spacing w:line="249" w:lineRule="auto" w:before="3"/>
        <w:ind w:left="486" w:right="104" w:firstLine="237"/>
        <w:jc w:val="both"/>
      </w:pPr>
      <w:r>
        <w:rPr/>
        <w:t>One of</w:t>
      </w:r>
      <w:r>
        <w:rPr>
          <w:spacing w:val="-2"/>
        </w:rPr>
        <w:t> </w:t>
      </w:r>
      <w:r>
        <w:rPr/>
        <w:t>the most</w:t>
      </w:r>
      <w:r>
        <w:rPr>
          <w:spacing w:val="-1"/>
        </w:rPr>
        <w:t> </w:t>
      </w:r>
      <w:r>
        <w:rPr/>
        <w:t>popular transformer fault</w:t>
      </w:r>
      <w:r>
        <w:rPr>
          <w:spacing w:val="-1"/>
        </w:rPr>
        <w:t> </w:t>
      </w:r>
      <w:r>
        <w:rPr/>
        <w:t>diagnostics</w:t>
      </w:r>
      <w:r>
        <w:rPr>
          <w:spacing w:val="-2"/>
        </w:rPr>
        <w:t> </w:t>
      </w:r>
      <w:r>
        <w:rPr/>
        <w:t>and prognostics</w:t>
      </w:r>
      <w:r>
        <w:rPr>
          <w:spacing w:val="-1"/>
        </w:rPr>
        <w:t> </w:t>
      </w:r>
      <w:r>
        <w:rPr/>
        <w:t>is</w:t>
      </w:r>
      <w:r>
        <w:rPr>
          <w:spacing w:val="-1"/>
        </w:rPr>
        <w:t> </w:t>
      </w:r>
      <w:r>
        <w:rPr/>
        <w:t>dissolved gas</w:t>
      </w:r>
      <w:r>
        <w:rPr>
          <w:spacing w:val="-2"/>
        </w:rPr>
        <w:t> </w:t>
      </w:r>
      <w:r>
        <w:rPr/>
        <w:t>analysis</w:t>
      </w:r>
      <w:r>
        <w:rPr>
          <w:spacing w:val="-1"/>
        </w:rPr>
        <w:t> </w:t>
      </w:r>
      <w:r>
        <w:rPr/>
        <w:t>(DGA), and this method has earned worldwide acceptance as a most valuable monitoring the condition of oil-filled power transformer, well-known from Guides for Interpretation of gases [4,6 ]. But some disadvantages can be listed such as the high number of samples to analyze on the specials laboratories, the long waiting time for the results, manual sampling, inappropriate storage and different results from laboratory to laboratory [6].</w:t>
      </w:r>
    </w:p>
    <w:p>
      <w:pPr>
        <w:pStyle w:val="BodyText"/>
        <w:spacing w:line="249" w:lineRule="auto" w:before="5"/>
        <w:ind w:left="486" w:right="101" w:firstLine="237"/>
        <w:jc w:val="both"/>
      </w:pPr>
      <w:r>
        <w:rPr/>
        <w:t>Because the importance to detect failures a very early stage and be able to provide near time data on the conditions, determining exhaust gases from on-line monitoring has become a reliable method to ensure safe operation [7]. The use of on-line and off-line monitoring methods of power transformer is increasing steadily and can provide powerful tool to reducing risk of several failure. The on-line monitoring of gas dissolved in</w:t>
      </w:r>
      <w:r>
        <w:rPr>
          <w:spacing w:val="40"/>
        </w:rPr>
        <w:t> </w:t>
      </w:r>
      <w:r>
        <w:rPr/>
        <w:t>oil or free gas collected from Buchholz relay can be a valuable tool to diagnostic and identify incipient faults on transformers in service. The gases produced beyond the saturation limit of the oil, come out and can be collected in Buchholz relay. When this occurs, the insulation strength of the transformer oil is reduced, which can lead to further failures [1].</w:t>
      </w:r>
    </w:p>
    <w:p>
      <w:pPr>
        <w:pStyle w:val="BodyText"/>
        <w:spacing w:line="249" w:lineRule="auto" w:before="7"/>
        <w:ind w:left="486" w:right="101" w:firstLine="237"/>
        <w:jc w:val="both"/>
      </w:pPr>
      <w:r>
        <w:rPr/>
        <w:t>This paper evaluates the use of Near Infrared Spectroscopy (NIR) and chemometric methods to analyze light gaseous hydrocarbons (methane, ethane, ethylene and acetylene) associated with faults in the insulation system. For this study was developed a spectrophotometer prototype with a measure cell for further</w:t>
      </w:r>
      <w:r>
        <w:rPr>
          <w:spacing w:val="40"/>
        </w:rPr>
        <w:t> </w:t>
      </w:r>
      <w:r>
        <w:rPr/>
        <w:t>application in monitoring gases in the Buchholz relay. The calibration procedures, measurement limitations and an error analysis are presented.</w:t>
      </w:r>
    </w:p>
    <w:p>
      <w:pPr>
        <w:pStyle w:val="BodyText"/>
        <w:spacing w:line="249" w:lineRule="auto" w:before="4"/>
        <w:ind w:left="486" w:right="103" w:firstLine="237"/>
        <w:jc w:val="both"/>
      </w:pPr>
      <w:r>
        <w:rPr/>
        <w:t>The technique of Near Infrared Spectroscopy (NIR) has taken on widely accepted in different areas mainly due to the industries. The analytical methods resulted from use of the NIR spectroscopic region reflect the</w:t>
      </w:r>
      <w:r>
        <w:rPr>
          <w:spacing w:val="40"/>
        </w:rPr>
        <w:t> </w:t>
      </w:r>
      <w:r>
        <w:rPr/>
        <w:t>most significant properties such as: fast, non-destructive, non-invasive, suitable for in-line or on-line use, nearly universal application (any molecule containing C-H, N-H, S-H or O-H bonds), with minimum sample</w:t>
      </w:r>
    </w:p>
    <w:p>
      <w:pPr>
        <w:spacing w:after="0" w:line="249" w:lineRule="auto"/>
        <w:jc w:val="both"/>
        <w:sectPr>
          <w:headerReference w:type="default" r:id="rId12"/>
          <w:headerReference w:type="even" r:id="rId13"/>
          <w:pgSz w:w="10890" w:h="14860"/>
          <w:pgMar w:header="713" w:footer="0" w:top="900" w:bottom="280" w:left="440" w:right="980"/>
          <w:pgNumType w:start="57"/>
        </w:sectPr>
      </w:pPr>
    </w:p>
    <w:p>
      <w:pPr>
        <w:pStyle w:val="BodyText"/>
        <w:spacing w:before="159"/>
      </w:pPr>
    </w:p>
    <w:p>
      <w:pPr>
        <w:pStyle w:val="BodyText"/>
        <w:spacing w:line="249" w:lineRule="auto"/>
        <w:ind w:left="430" w:right="159" w:hanging="1"/>
        <w:jc w:val="both"/>
      </w:pPr>
      <w:r>
        <w:rPr/>
        <w:t>preparation. The combination of these characteristics with the instrument control, low maintenance and data treatment made this possible for this kind of application [8]. This analytical technique has been used with</w:t>
      </w:r>
      <w:r>
        <w:rPr>
          <w:spacing w:val="40"/>
        </w:rPr>
        <w:t> </w:t>
      </w:r>
      <w:r>
        <w:rPr/>
        <w:t>fiber-optic to identify and quantify water and oil in transformer insulating paper [9].</w:t>
      </w:r>
    </w:p>
    <w:p>
      <w:pPr>
        <w:pStyle w:val="BodyText"/>
      </w:pPr>
    </w:p>
    <w:p>
      <w:pPr>
        <w:pStyle w:val="BodyText"/>
        <w:spacing w:before="22"/>
      </w:pPr>
    </w:p>
    <w:p>
      <w:pPr>
        <w:pStyle w:val="ListParagraph"/>
        <w:numPr>
          <w:ilvl w:val="0"/>
          <w:numId w:val="1"/>
        </w:numPr>
        <w:tabs>
          <w:tab w:pos="635" w:val="left" w:leader="none"/>
        </w:tabs>
        <w:spacing w:line="240" w:lineRule="auto" w:before="1" w:after="0"/>
        <w:ind w:left="635" w:right="0" w:hanging="205"/>
        <w:jc w:val="left"/>
        <w:rPr>
          <w:sz w:val="20"/>
        </w:rPr>
      </w:pPr>
      <w:r>
        <w:rPr>
          <w:spacing w:val="-2"/>
          <w:w w:val="110"/>
          <w:sz w:val="20"/>
        </w:rPr>
        <w:t>Experimental</w:t>
      </w:r>
    </w:p>
    <w:p>
      <w:pPr>
        <w:pStyle w:val="BodyText"/>
        <w:spacing w:before="19"/>
      </w:pPr>
    </w:p>
    <w:p>
      <w:pPr>
        <w:pStyle w:val="BodyText"/>
        <w:spacing w:line="249" w:lineRule="auto" w:before="1"/>
        <w:ind w:left="430" w:right="184" w:firstLine="237"/>
        <w:jc w:val="both"/>
      </w:pPr>
      <w:r>
        <w:rPr/>
        <w:t>The spectrophotometer prototype designed in the laboratory uses an acoustic optical tunable filter (AOTF, Brimrose) as a device for selecting the wavelength range between 1500 and 3000 nm and also has a arsenide indium detector (EG&amp;G Optoelectronics), a tungsten light bulb of 50W as a radiation source, lock-in filter (Stanford) for signals modulation. The equipment is controlled by computer using a parallel interface 711S (Advantech) from a software written in Visual Basic (Microsoft).</w:t>
      </w:r>
    </w:p>
    <w:p>
      <w:pPr>
        <w:pStyle w:val="BodyText"/>
        <w:spacing w:line="249" w:lineRule="auto" w:before="4"/>
        <w:ind w:left="430" w:right="184" w:firstLine="237"/>
        <w:jc w:val="both"/>
      </w:pPr>
      <w:r>
        <w:rPr/>
        <w:t>The measuring cell (Figure 1) has an optical path length of 540mm and internal volume 490 mL. Valves</w:t>
      </w:r>
      <w:r>
        <w:rPr>
          <w:spacing w:val="40"/>
        </w:rPr>
        <w:t> </w:t>
      </w:r>
      <w:r>
        <w:rPr/>
        <w:t>are used to insert and remove the prepared gaseous mixtures and to clean the cell using pure gaseous nitrogen (N</w:t>
      </w:r>
      <w:r>
        <w:rPr>
          <w:vertAlign w:val="subscript"/>
        </w:rPr>
        <w:t>2</w:t>
      </w:r>
      <w:r>
        <w:rPr>
          <w:vertAlign w:val="baseline"/>
        </w:rPr>
        <w:t>). As component of the cell a pressure gauge and a Teflon septum used to withdraw rate of the gaseous mixture inside the cell, using a gastight syringe for injection</w:t>
      </w:r>
      <w:r>
        <w:rPr>
          <w:spacing w:val="-2"/>
          <w:vertAlign w:val="baseline"/>
        </w:rPr>
        <w:t> </w:t>
      </w:r>
      <w:r>
        <w:rPr>
          <w:vertAlign w:val="baseline"/>
        </w:rPr>
        <w:t>into a gas chromatograph with</w:t>
      </w:r>
      <w:r>
        <w:rPr>
          <w:spacing w:val="-1"/>
          <w:vertAlign w:val="baseline"/>
        </w:rPr>
        <w:t> </w:t>
      </w:r>
      <w:r>
        <w:rPr>
          <w:vertAlign w:val="baseline"/>
        </w:rPr>
        <w:t>a flame ionization detector (FID).</w:t>
      </w:r>
    </w:p>
    <w:p>
      <w:pPr>
        <w:pStyle w:val="BodyText"/>
        <w:spacing w:before="183"/>
      </w:pPr>
      <w:r>
        <w:rPr/>
        <w:drawing>
          <wp:anchor distT="0" distB="0" distL="0" distR="0" allowOverlap="1" layoutInCell="1" locked="0" behindDoc="1" simplePos="0" relativeHeight="487591424">
            <wp:simplePos x="0" y="0"/>
            <wp:positionH relativeFrom="page">
              <wp:posOffset>1729143</wp:posOffset>
            </wp:positionH>
            <wp:positionV relativeFrom="paragraph">
              <wp:posOffset>278029</wp:posOffset>
            </wp:positionV>
            <wp:extent cx="3267138" cy="2340864"/>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3267138" cy="2340864"/>
                    </a:xfrm>
                    <a:prstGeom prst="rect">
                      <a:avLst/>
                    </a:prstGeom>
                  </pic:spPr>
                </pic:pic>
              </a:graphicData>
            </a:graphic>
          </wp:anchor>
        </w:drawing>
      </w:r>
    </w:p>
    <w:p>
      <w:pPr>
        <w:pStyle w:val="BodyText"/>
        <w:spacing w:before="62"/>
        <w:rPr>
          <w:sz w:val="16"/>
        </w:rPr>
      </w:pPr>
    </w:p>
    <w:p>
      <w:pPr>
        <w:spacing w:before="0"/>
        <w:ind w:left="430" w:right="0" w:firstLine="0"/>
        <w:jc w:val="left"/>
        <w:rPr>
          <w:sz w:val="16"/>
        </w:rPr>
      </w:pPr>
      <w:r>
        <w:rPr>
          <w:sz w:val="16"/>
        </w:rPr>
        <w:t>Fig.</w:t>
      </w:r>
      <w:r>
        <w:rPr>
          <w:spacing w:val="-4"/>
          <w:sz w:val="16"/>
        </w:rPr>
        <w:t> </w:t>
      </w:r>
      <w:r>
        <w:rPr>
          <w:sz w:val="16"/>
        </w:rPr>
        <w:t>1.</w:t>
      </w:r>
      <w:r>
        <w:rPr>
          <w:spacing w:val="-5"/>
          <w:sz w:val="16"/>
        </w:rPr>
        <w:t> </w:t>
      </w:r>
      <w:r>
        <w:rPr>
          <w:sz w:val="16"/>
        </w:rPr>
        <w:t>Measurement</w:t>
      </w:r>
      <w:r>
        <w:rPr>
          <w:spacing w:val="-5"/>
          <w:sz w:val="16"/>
        </w:rPr>
        <w:t> </w:t>
      </w:r>
      <w:r>
        <w:rPr>
          <w:sz w:val="16"/>
        </w:rPr>
        <w:t>cell</w:t>
      </w:r>
      <w:r>
        <w:rPr>
          <w:spacing w:val="-3"/>
          <w:sz w:val="16"/>
        </w:rPr>
        <w:t> </w:t>
      </w:r>
      <w:r>
        <w:rPr>
          <w:sz w:val="16"/>
        </w:rPr>
        <w:t>with</w:t>
      </w:r>
      <w:r>
        <w:rPr>
          <w:spacing w:val="-3"/>
          <w:sz w:val="16"/>
        </w:rPr>
        <w:t> </w:t>
      </w:r>
      <w:r>
        <w:rPr>
          <w:sz w:val="16"/>
        </w:rPr>
        <w:t>valves,</w:t>
      </w:r>
      <w:r>
        <w:rPr>
          <w:spacing w:val="-4"/>
          <w:sz w:val="16"/>
        </w:rPr>
        <w:t> </w:t>
      </w:r>
      <w:r>
        <w:rPr>
          <w:sz w:val="16"/>
        </w:rPr>
        <w:t>septum</w:t>
      </w:r>
      <w:r>
        <w:rPr>
          <w:spacing w:val="-5"/>
          <w:sz w:val="16"/>
        </w:rPr>
        <w:t> </w:t>
      </w:r>
      <w:r>
        <w:rPr>
          <w:sz w:val="16"/>
        </w:rPr>
        <w:t>and</w:t>
      </w:r>
      <w:r>
        <w:rPr>
          <w:spacing w:val="-5"/>
          <w:sz w:val="16"/>
        </w:rPr>
        <w:t> </w:t>
      </w:r>
      <w:r>
        <w:rPr>
          <w:sz w:val="16"/>
        </w:rPr>
        <w:t>pressure</w:t>
      </w:r>
      <w:r>
        <w:rPr>
          <w:spacing w:val="-5"/>
          <w:sz w:val="16"/>
        </w:rPr>
        <w:t> </w:t>
      </w:r>
      <w:r>
        <w:rPr>
          <w:spacing w:val="-4"/>
          <w:sz w:val="16"/>
        </w:rPr>
        <w:t>gauge</w:t>
      </w:r>
    </w:p>
    <w:p>
      <w:pPr>
        <w:pStyle w:val="BodyText"/>
        <w:rPr>
          <w:sz w:val="16"/>
        </w:rPr>
      </w:pPr>
    </w:p>
    <w:p>
      <w:pPr>
        <w:pStyle w:val="BodyText"/>
        <w:spacing w:before="114"/>
        <w:rPr>
          <w:sz w:val="16"/>
        </w:rPr>
      </w:pPr>
    </w:p>
    <w:p>
      <w:pPr>
        <w:pStyle w:val="BodyText"/>
        <w:spacing w:line="249" w:lineRule="auto"/>
        <w:ind w:left="430" w:right="185" w:firstLine="244"/>
        <w:jc w:val="both"/>
      </w:pPr>
      <w:r>
        <w:rPr/>
        <w:t>Synthetic gas mixtures were prepared directly into the cell using flow meters (</w:t>
      </w:r>
      <w:r>
        <w:rPr>
          <w:i/>
        </w:rPr>
        <w:t>Aalborg</w:t>
      </w:r>
      <w:r>
        <w:rPr/>
        <w:t>) and pure gases (methane, ethane, ethylene, acetylene) diluted with nitrogen gas. The calibration set was formed by 29</w:t>
      </w:r>
      <w:r>
        <w:rPr>
          <w:spacing w:val="40"/>
        </w:rPr>
        <w:t> </w:t>
      </w:r>
      <w:r>
        <w:rPr/>
        <w:t>gaseous mixtures and the prediction set by 10 gaseous mixtures. The ranges of concentration of gaseous hydrocarbon mixtures were 0, 5 to 2, 0 % (v/v). The chemometrics models were built using the software package </w:t>
      </w:r>
      <w:r>
        <w:rPr>
          <w:i/>
        </w:rPr>
        <w:t>The Unscrambler 9.2 </w:t>
      </w:r>
      <w:r>
        <w:rPr/>
        <w:t>(CAMO) [6]. The concentration of the gases within the cell was determined using gas chromatograph as a reference method.</w:t>
      </w:r>
    </w:p>
    <w:p>
      <w:pPr>
        <w:spacing w:after="0" w:line="249" w:lineRule="auto"/>
        <w:jc w:val="both"/>
        <w:sectPr>
          <w:pgSz w:w="10890" w:h="14860"/>
          <w:pgMar w:header="713" w:footer="0" w:top="900" w:bottom="280" w:left="440" w:right="980"/>
        </w:sectPr>
      </w:pPr>
    </w:p>
    <w:p>
      <w:pPr>
        <w:pStyle w:val="BodyText"/>
        <w:spacing w:before="159"/>
      </w:pPr>
    </w:p>
    <w:p>
      <w:pPr>
        <w:pStyle w:val="ListParagraph"/>
        <w:numPr>
          <w:ilvl w:val="0"/>
          <w:numId w:val="1"/>
        </w:numPr>
        <w:tabs>
          <w:tab w:pos="691" w:val="left" w:leader="none"/>
        </w:tabs>
        <w:spacing w:line="240" w:lineRule="auto" w:before="0" w:after="0"/>
        <w:ind w:left="691" w:right="0" w:hanging="205"/>
        <w:jc w:val="left"/>
        <w:rPr>
          <w:sz w:val="20"/>
        </w:rPr>
      </w:pPr>
      <w:r>
        <w:rPr>
          <w:spacing w:val="-2"/>
          <w:w w:val="105"/>
          <w:sz w:val="20"/>
        </w:rPr>
        <w:t>Results</w:t>
      </w:r>
    </w:p>
    <w:p>
      <w:pPr>
        <w:pStyle w:val="BodyText"/>
        <w:spacing w:before="20"/>
      </w:pPr>
    </w:p>
    <w:p>
      <w:pPr>
        <w:pStyle w:val="BodyText"/>
        <w:spacing w:line="249" w:lineRule="auto"/>
        <w:ind w:left="486" w:right="130" w:firstLine="237"/>
        <w:jc w:val="both"/>
      </w:pPr>
      <w:r>
        <w:rPr/>
        <w:t>The univariate calibration that is when only one substance (gas) is present within the cell was found using optical path length 540mm, the limit of detection (LD) and the limit of quantification was obtained. For methane the results was 0, 021 %( v/v) LD and 0,069% (v/v) LQ, to ethane was 0, 15% (v/v) LD and 0, 34% (v/v) LQ, to the ethylene 0, 23%</w:t>
      </w:r>
      <w:r>
        <w:rPr>
          <w:spacing w:val="-2"/>
        </w:rPr>
        <w:t> </w:t>
      </w:r>
      <w:r>
        <w:rPr/>
        <w:t>(v/v) LD</w:t>
      </w:r>
      <w:r>
        <w:rPr>
          <w:spacing w:val="-1"/>
        </w:rPr>
        <w:t> </w:t>
      </w:r>
      <w:r>
        <w:rPr/>
        <w:t>and 0, 43%</w:t>
      </w:r>
      <w:r>
        <w:rPr>
          <w:spacing w:val="-3"/>
        </w:rPr>
        <w:t> </w:t>
      </w:r>
      <w:r>
        <w:rPr/>
        <w:t>(v/v) LQ</w:t>
      </w:r>
      <w:r>
        <w:rPr>
          <w:spacing w:val="-1"/>
        </w:rPr>
        <w:t> </w:t>
      </w:r>
      <w:r>
        <w:rPr/>
        <w:t>and to the acetylene just</w:t>
      </w:r>
      <w:r>
        <w:rPr>
          <w:spacing w:val="-1"/>
        </w:rPr>
        <w:t> </w:t>
      </w:r>
      <w:r>
        <w:rPr/>
        <w:t>0, 91% (v/v) LQ (LD was not possible to determinate).</w:t>
      </w:r>
    </w:p>
    <w:p>
      <w:pPr>
        <w:pStyle w:val="BodyText"/>
        <w:spacing w:line="249" w:lineRule="auto" w:before="4"/>
        <w:ind w:left="486" w:right="130" w:firstLine="237"/>
        <w:jc w:val="both"/>
      </w:pPr>
      <w:r>
        <w:rPr/>
        <w:t>The Figure 2 illustrates the spectra of 39 hydrocarbon gaseous mixtures (methane, ethane, ethylene and acetylene), after treatment to correct</w:t>
      </w:r>
      <w:r>
        <w:rPr>
          <w:spacing w:val="-1"/>
        </w:rPr>
        <w:t> </w:t>
      </w:r>
      <w:r>
        <w:rPr/>
        <w:t>baseline. The calibration model was obtained using 29 samples that were applied a multivariate regression and Partial Least Squares (PLS), while 10 samples were used for external </w:t>
      </w:r>
      <w:r>
        <w:rPr>
          <w:spacing w:val="-2"/>
        </w:rPr>
        <w:t>validation.</w:t>
      </w:r>
    </w:p>
    <w:p>
      <w:pPr>
        <w:pStyle w:val="BodyText"/>
        <w:spacing w:line="249" w:lineRule="auto" w:before="4"/>
        <w:ind w:left="486" w:right="127" w:firstLine="244"/>
        <w:jc w:val="both"/>
      </w:pPr>
      <w:r>
        <w:rPr/>
        <w:t>It is observed that the spectrum of gaseous mixtures presents an overlap of absorption bands, the sum of</w:t>
      </w:r>
      <w:r>
        <w:rPr>
          <w:spacing w:val="40"/>
        </w:rPr>
        <w:t> </w:t>
      </w:r>
      <w:r>
        <w:rPr/>
        <w:t>the individual spectra of pure substances whose effect can be referred by the Beer´s additive law. When there is a mixture of gases, the sum of the spectra indicates that the overlap occurs in the entire spectral range, making it impossible to predict the concentration of individual gases by univariate calibration. This problem shows the need to use for the multivariate calibration measurement of the absorbance values of several different wavelengths, to compensate for the loss of chemical selectivity [8].</w:t>
      </w:r>
    </w:p>
    <w:p>
      <w:pPr>
        <w:pStyle w:val="BodyText"/>
        <w:spacing w:before="100"/>
      </w:pPr>
      <w:r>
        <w:rPr/>
        <w:drawing>
          <wp:anchor distT="0" distB="0" distL="0" distR="0" allowOverlap="1" layoutInCell="1" locked="0" behindDoc="1" simplePos="0" relativeHeight="487591936">
            <wp:simplePos x="0" y="0"/>
            <wp:positionH relativeFrom="page">
              <wp:posOffset>1397812</wp:posOffset>
            </wp:positionH>
            <wp:positionV relativeFrom="paragraph">
              <wp:posOffset>224964</wp:posOffset>
            </wp:positionV>
            <wp:extent cx="3989066" cy="259689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3989066" cy="2596896"/>
                    </a:xfrm>
                    <a:prstGeom prst="rect">
                      <a:avLst/>
                    </a:prstGeom>
                  </pic:spPr>
                </pic:pic>
              </a:graphicData>
            </a:graphic>
          </wp:anchor>
        </w:drawing>
      </w:r>
    </w:p>
    <w:p>
      <w:pPr>
        <w:spacing w:before="199"/>
        <w:ind w:left="486" w:right="0" w:firstLine="0"/>
        <w:jc w:val="left"/>
        <w:rPr>
          <w:sz w:val="16"/>
        </w:rPr>
      </w:pPr>
      <w:r>
        <w:rPr>
          <w:sz w:val="16"/>
        </w:rPr>
        <w:t>Fig.</w:t>
      </w:r>
      <w:r>
        <w:rPr>
          <w:spacing w:val="-5"/>
          <w:sz w:val="16"/>
        </w:rPr>
        <w:t> </w:t>
      </w:r>
      <w:r>
        <w:rPr>
          <w:sz w:val="16"/>
        </w:rPr>
        <w:t>2.</w:t>
      </w:r>
      <w:r>
        <w:rPr>
          <w:spacing w:val="-4"/>
          <w:sz w:val="16"/>
        </w:rPr>
        <w:t> </w:t>
      </w:r>
      <w:r>
        <w:rPr>
          <w:sz w:val="16"/>
        </w:rPr>
        <w:t>Gaseous</w:t>
      </w:r>
      <w:r>
        <w:rPr>
          <w:spacing w:val="-5"/>
          <w:sz w:val="16"/>
        </w:rPr>
        <w:t> </w:t>
      </w:r>
      <w:r>
        <w:rPr>
          <w:sz w:val="16"/>
        </w:rPr>
        <w:t>mixtures</w:t>
      </w:r>
      <w:r>
        <w:rPr>
          <w:spacing w:val="-5"/>
          <w:sz w:val="16"/>
        </w:rPr>
        <w:t> </w:t>
      </w:r>
      <w:r>
        <w:rPr>
          <w:sz w:val="16"/>
        </w:rPr>
        <w:t>spectra</w:t>
      </w:r>
      <w:r>
        <w:rPr>
          <w:spacing w:val="-4"/>
          <w:sz w:val="16"/>
        </w:rPr>
        <w:t> </w:t>
      </w:r>
      <w:r>
        <w:rPr>
          <w:sz w:val="16"/>
        </w:rPr>
        <w:t>(calibration</w:t>
      </w:r>
      <w:r>
        <w:rPr>
          <w:spacing w:val="-6"/>
          <w:sz w:val="16"/>
        </w:rPr>
        <w:t> </w:t>
      </w:r>
      <w:r>
        <w:rPr>
          <w:sz w:val="16"/>
        </w:rPr>
        <w:t>and</w:t>
      </w:r>
      <w:r>
        <w:rPr>
          <w:spacing w:val="-6"/>
          <w:sz w:val="16"/>
        </w:rPr>
        <w:t> </w:t>
      </w:r>
      <w:r>
        <w:rPr>
          <w:sz w:val="16"/>
        </w:rPr>
        <w:t>prediction</w:t>
      </w:r>
      <w:r>
        <w:rPr>
          <w:spacing w:val="-5"/>
          <w:sz w:val="16"/>
        </w:rPr>
        <w:t> </w:t>
      </w:r>
      <w:r>
        <w:rPr>
          <w:spacing w:val="-2"/>
          <w:sz w:val="16"/>
        </w:rPr>
        <w:t>samples)</w:t>
      </w:r>
    </w:p>
    <w:p>
      <w:pPr>
        <w:pStyle w:val="BodyText"/>
        <w:spacing w:before="67"/>
        <w:rPr>
          <w:sz w:val="16"/>
        </w:rPr>
      </w:pPr>
    </w:p>
    <w:p>
      <w:pPr>
        <w:pStyle w:val="BodyText"/>
        <w:spacing w:line="249" w:lineRule="auto"/>
        <w:ind w:left="487" w:right="129" w:firstLine="244"/>
        <w:jc w:val="both"/>
      </w:pPr>
      <w:r>
        <w:rPr/>
        <w:t>The Table1 shows the results of Root Mean Square Error of calibration (RMSEC) and Root Square Error</w:t>
      </w:r>
      <w:r>
        <w:rPr>
          <w:spacing w:val="40"/>
        </w:rPr>
        <w:t> </w:t>
      </w:r>
      <w:r>
        <w:rPr/>
        <w:t>of</w:t>
      </w:r>
      <w:r>
        <w:rPr>
          <w:spacing w:val="-4"/>
        </w:rPr>
        <w:t> </w:t>
      </w:r>
      <w:r>
        <w:rPr/>
        <w:t>Prediction</w:t>
      </w:r>
      <w:r>
        <w:rPr>
          <w:spacing w:val="-3"/>
        </w:rPr>
        <w:t> </w:t>
      </w:r>
      <w:r>
        <w:rPr/>
        <w:t>(RMSEP)</w:t>
      </w:r>
      <w:r>
        <w:rPr>
          <w:spacing w:val="-1"/>
        </w:rPr>
        <w:t> </w:t>
      </w:r>
      <w:r>
        <w:rPr/>
        <w:t>for</w:t>
      </w:r>
      <w:r>
        <w:rPr>
          <w:spacing w:val="-1"/>
        </w:rPr>
        <w:t> </w:t>
      </w:r>
      <w:r>
        <w:rPr/>
        <w:t>each</w:t>
      </w:r>
      <w:r>
        <w:rPr>
          <w:spacing w:val="-3"/>
        </w:rPr>
        <w:t> </w:t>
      </w:r>
      <w:r>
        <w:rPr/>
        <w:t>used</w:t>
      </w:r>
      <w:r>
        <w:rPr>
          <w:spacing w:val="-1"/>
        </w:rPr>
        <w:t> </w:t>
      </w:r>
      <w:r>
        <w:rPr/>
        <w:t>gas</w:t>
      </w:r>
      <w:r>
        <w:rPr>
          <w:spacing w:val="-3"/>
        </w:rPr>
        <w:t> </w:t>
      </w:r>
      <w:r>
        <w:rPr/>
        <w:t>in</w:t>
      </w:r>
      <w:r>
        <w:rPr>
          <w:spacing w:val="-3"/>
        </w:rPr>
        <w:t> </w:t>
      </w:r>
      <w:r>
        <w:rPr/>
        <w:t>the mixtures.</w:t>
      </w:r>
      <w:r>
        <w:rPr>
          <w:spacing w:val="-1"/>
        </w:rPr>
        <w:t> </w:t>
      </w:r>
      <w:r>
        <w:rPr/>
        <w:t>The</w:t>
      </w:r>
      <w:r>
        <w:rPr>
          <w:spacing w:val="-2"/>
        </w:rPr>
        <w:t> </w:t>
      </w:r>
      <w:r>
        <w:rPr/>
        <w:t>results indicated</w:t>
      </w:r>
      <w:r>
        <w:rPr>
          <w:spacing w:val="-2"/>
        </w:rPr>
        <w:t> </w:t>
      </w:r>
      <w:r>
        <w:rPr/>
        <w:t>the</w:t>
      </w:r>
      <w:r>
        <w:rPr>
          <w:spacing w:val="-2"/>
        </w:rPr>
        <w:t> </w:t>
      </w:r>
      <w:r>
        <w:rPr/>
        <w:t>predicted</w:t>
      </w:r>
      <w:r>
        <w:rPr>
          <w:spacing w:val="-2"/>
        </w:rPr>
        <w:t> </w:t>
      </w:r>
      <w:r>
        <w:rPr/>
        <w:t>concentrations</w:t>
      </w:r>
      <w:r>
        <w:rPr>
          <w:spacing w:val="-3"/>
        </w:rPr>
        <w:t> </w:t>
      </w:r>
      <w:r>
        <w:rPr/>
        <w:t>in the gaseous mixtures samples with accuracy better than 0.2 % v/v, when an optical path 540 mm is used.</w:t>
      </w:r>
    </w:p>
    <w:p>
      <w:pPr>
        <w:spacing w:after="0" w:line="249" w:lineRule="auto"/>
        <w:jc w:val="both"/>
        <w:sectPr>
          <w:pgSz w:w="10890" w:h="14860"/>
          <w:pgMar w:header="713" w:footer="0" w:top="900" w:bottom="280" w:left="440" w:right="980"/>
        </w:sectPr>
      </w:pPr>
    </w:p>
    <w:p>
      <w:pPr>
        <w:pStyle w:val="BodyText"/>
        <w:rPr>
          <w:sz w:val="16"/>
        </w:rPr>
      </w:pPr>
    </w:p>
    <w:p>
      <w:pPr>
        <w:pStyle w:val="BodyText"/>
        <w:spacing w:before="113"/>
        <w:rPr>
          <w:sz w:val="16"/>
        </w:rPr>
      </w:pPr>
    </w:p>
    <w:p>
      <w:pPr>
        <w:spacing w:before="0"/>
        <w:ind w:left="430" w:right="0" w:firstLine="0"/>
        <w:jc w:val="left"/>
        <w:rPr>
          <w:sz w:val="16"/>
        </w:rPr>
      </w:pPr>
      <w:r>
        <w:rPr>
          <w:sz w:val="16"/>
        </w:rPr>
        <w:t>Table</w:t>
      </w:r>
      <w:r>
        <w:rPr>
          <w:spacing w:val="-7"/>
          <w:sz w:val="16"/>
        </w:rPr>
        <w:t> </w:t>
      </w:r>
      <w:r>
        <w:rPr>
          <w:sz w:val="16"/>
        </w:rPr>
        <w:t>1.</w:t>
      </w:r>
      <w:r>
        <w:rPr>
          <w:spacing w:val="-4"/>
          <w:sz w:val="16"/>
        </w:rPr>
        <w:t> </w:t>
      </w:r>
      <w:r>
        <w:rPr>
          <w:sz w:val="16"/>
        </w:rPr>
        <w:t>Calibration</w:t>
      </w:r>
      <w:r>
        <w:rPr>
          <w:spacing w:val="-6"/>
          <w:sz w:val="16"/>
        </w:rPr>
        <w:t> </w:t>
      </w:r>
      <w:r>
        <w:rPr>
          <w:sz w:val="16"/>
        </w:rPr>
        <w:t>and</w:t>
      </w:r>
      <w:r>
        <w:rPr>
          <w:spacing w:val="-3"/>
          <w:sz w:val="16"/>
        </w:rPr>
        <w:t> </w:t>
      </w:r>
      <w:r>
        <w:rPr>
          <w:sz w:val="16"/>
        </w:rPr>
        <w:t>Prediction</w:t>
      </w:r>
      <w:r>
        <w:rPr>
          <w:spacing w:val="-6"/>
          <w:sz w:val="16"/>
        </w:rPr>
        <w:t> </w:t>
      </w:r>
      <w:r>
        <w:rPr>
          <w:spacing w:val="-2"/>
          <w:sz w:val="16"/>
        </w:rPr>
        <w:t>Model.</w:t>
      </w:r>
    </w:p>
    <w:p>
      <w:pPr>
        <w:pStyle w:val="BodyText"/>
        <w:spacing w:before="21"/>
      </w:pPr>
    </w:p>
    <w:tbl>
      <w:tblPr>
        <w:tblW w:w="0" w:type="auto"/>
        <w:jc w:val="left"/>
        <w:tblInd w:w="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474"/>
        <w:gridCol w:w="1311"/>
        <w:gridCol w:w="1540"/>
        <w:gridCol w:w="1460"/>
      </w:tblGrid>
      <w:tr>
        <w:trPr>
          <w:trHeight w:val="280" w:hRule="atLeast"/>
        </w:trPr>
        <w:tc>
          <w:tcPr>
            <w:tcW w:w="2155" w:type="dxa"/>
            <w:tcBorders>
              <w:top w:val="single" w:sz="4" w:space="0" w:color="000000"/>
            </w:tcBorders>
          </w:tcPr>
          <w:p>
            <w:pPr>
              <w:pStyle w:val="TableParagraph"/>
              <w:spacing w:before="11"/>
              <w:ind w:left="117"/>
              <w:rPr>
                <w:sz w:val="16"/>
              </w:rPr>
            </w:pPr>
            <w:r>
              <w:rPr>
                <w:spacing w:val="-2"/>
                <w:w w:val="105"/>
                <w:sz w:val="16"/>
              </w:rPr>
              <w:t>Gases</w:t>
            </w:r>
          </w:p>
        </w:tc>
        <w:tc>
          <w:tcPr>
            <w:tcW w:w="1474" w:type="dxa"/>
            <w:tcBorders>
              <w:top w:val="single" w:sz="4" w:space="0" w:color="000000"/>
              <w:bottom w:val="single" w:sz="4" w:space="0" w:color="000000"/>
            </w:tcBorders>
          </w:tcPr>
          <w:p>
            <w:pPr>
              <w:pStyle w:val="TableParagraph"/>
              <w:spacing w:before="11"/>
              <w:rPr>
                <w:sz w:val="16"/>
              </w:rPr>
            </w:pPr>
            <w:r>
              <w:rPr>
                <w:spacing w:val="-2"/>
                <w:w w:val="110"/>
                <w:sz w:val="16"/>
              </w:rPr>
              <w:t>Calibration</w:t>
            </w:r>
            <w:r>
              <w:rPr>
                <w:spacing w:val="9"/>
                <w:w w:val="110"/>
                <w:sz w:val="16"/>
              </w:rPr>
              <w:t> </w:t>
            </w:r>
            <w:r>
              <w:rPr>
                <w:spacing w:val="-2"/>
                <w:w w:val="110"/>
                <w:sz w:val="16"/>
              </w:rPr>
              <w:t>results</w:t>
            </w:r>
          </w:p>
        </w:tc>
        <w:tc>
          <w:tcPr>
            <w:tcW w:w="1311" w:type="dxa"/>
            <w:tcBorders>
              <w:top w:val="single" w:sz="4" w:space="0" w:color="000000"/>
              <w:bottom w:val="single" w:sz="4" w:space="0" w:color="000000"/>
            </w:tcBorders>
          </w:tcPr>
          <w:p>
            <w:pPr>
              <w:pStyle w:val="TableParagraph"/>
              <w:spacing w:before="0"/>
              <w:ind w:left="0"/>
              <w:rPr>
                <w:sz w:val="18"/>
              </w:rPr>
            </w:pPr>
          </w:p>
        </w:tc>
        <w:tc>
          <w:tcPr>
            <w:tcW w:w="1540" w:type="dxa"/>
            <w:tcBorders>
              <w:top w:val="single" w:sz="4" w:space="0" w:color="000000"/>
              <w:bottom w:val="single" w:sz="4" w:space="0" w:color="000000"/>
            </w:tcBorders>
          </w:tcPr>
          <w:p>
            <w:pPr>
              <w:pStyle w:val="TableParagraph"/>
              <w:spacing w:before="11"/>
              <w:ind w:left="212"/>
              <w:rPr>
                <w:sz w:val="16"/>
              </w:rPr>
            </w:pPr>
            <w:r>
              <w:rPr>
                <w:w w:val="105"/>
                <w:sz w:val="16"/>
              </w:rPr>
              <w:t>Prediction</w:t>
            </w:r>
            <w:r>
              <w:rPr>
                <w:spacing w:val="11"/>
                <w:w w:val="110"/>
                <w:sz w:val="16"/>
              </w:rPr>
              <w:t> </w:t>
            </w:r>
            <w:r>
              <w:rPr>
                <w:spacing w:val="-2"/>
                <w:w w:val="110"/>
                <w:sz w:val="16"/>
              </w:rPr>
              <w:t>results</w:t>
            </w:r>
          </w:p>
        </w:tc>
        <w:tc>
          <w:tcPr>
            <w:tcW w:w="1460" w:type="dxa"/>
            <w:tcBorders>
              <w:top w:val="single" w:sz="4" w:space="0" w:color="000000"/>
              <w:bottom w:val="single" w:sz="4" w:space="0" w:color="000000"/>
            </w:tcBorders>
          </w:tcPr>
          <w:p>
            <w:pPr>
              <w:pStyle w:val="TableParagraph"/>
              <w:spacing w:before="0"/>
              <w:ind w:left="0"/>
              <w:rPr>
                <w:sz w:val="18"/>
              </w:rPr>
            </w:pPr>
          </w:p>
        </w:tc>
      </w:tr>
      <w:tr>
        <w:trPr>
          <w:trHeight w:val="277" w:hRule="atLeast"/>
        </w:trPr>
        <w:tc>
          <w:tcPr>
            <w:tcW w:w="2155" w:type="dxa"/>
            <w:tcBorders>
              <w:bottom w:val="single" w:sz="4" w:space="0" w:color="000000"/>
            </w:tcBorders>
          </w:tcPr>
          <w:p>
            <w:pPr>
              <w:pStyle w:val="TableParagraph"/>
              <w:spacing w:before="0"/>
              <w:ind w:left="0"/>
              <w:rPr>
                <w:sz w:val="18"/>
              </w:rPr>
            </w:pPr>
          </w:p>
        </w:tc>
        <w:tc>
          <w:tcPr>
            <w:tcW w:w="1474" w:type="dxa"/>
            <w:tcBorders>
              <w:top w:val="single" w:sz="4" w:space="0" w:color="000000"/>
              <w:bottom w:val="single" w:sz="4" w:space="0" w:color="000000"/>
            </w:tcBorders>
          </w:tcPr>
          <w:p>
            <w:pPr>
              <w:pStyle w:val="TableParagraph"/>
              <w:spacing w:before="11"/>
              <w:rPr>
                <w:sz w:val="16"/>
              </w:rPr>
            </w:pPr>
            <w:r>
              <w:rPr>
                <w:w w:val="105"/>
                <w:sz w:val="16"/>
              </w:rPr>
              <w:t>RMSEC</w:t>
            </w:r>
            <w:r>
              <w:rPr>
                <w:spacing w:val="-2"/>
                <w:w w:val="105"/>
                <w:sz w:val="16"/>
              </w:rPr>
              <w:t> %(v/v)</w:t>
            </w:r>
          </w:p>
        </w:tc>
        <w:tc>
          <w:tcPr>
            <w:tcW w:w="1311" w:type="dxa"/>
            <w:tcBorders>
              <w:top w:val="single" w:sz="4" w:space="0" w:color="000000"/>
              <w:bottom w:val="single" w:sz="4" w:space="0" w:color="000000"/>
            </w:tcBorders>
          </w:tcPr>
          <w:p>
            <w:pPr>
              <w:pStyle w:val="TableParagraph"/>
              <w:spacing w:before="11"/>
              <w:ind w:left="77"/>
              <w:rPr>
                <w:sz w:val="16"/>
              </w:rPr>
            </w:pPr>
            <w:r>
              <w:rPr>
                <w:w w:val="110"/>
                <w:sz w:val="16"/>
              </w:rPr>
              <w:t>R</w:t>
            </w:r>
            <w:r>
              <w:rPr>
                <w:spacing w:val="-8"/>
                <w:w w:val="110"/>
                <w:sz w:val="16"/>
              </w:rPr>
              <w:t> </w:t>
            </w:r>
            <w:r>
              <w:rPr>
                <w:spacing w:val="-2"/>
                <w:w w:val="110"/>
                <w:sz w:val="16"/>
              </w:rPr>
              <w:t>(correlation)</w:t>
            </w:r>
          </w:p>
        </w:tc>
        <w:tc>
          <w:tcPr>
            <w:tcW w:w="1540" w:type="dxa"/>
            <w:tcBorders>
              <w:top w:val="single" w:sz="4" w:space="0" w:color="000000"/>
              <w:bottom w:val="single" w:sz="4" w:space="0" w:color="000000"/>
            </w:tcBorders>
          </w:tcPr>
          <w:p>
            <w:pPr>
              <w:pStyle w:val="TableParagraph"/>
              <w:spacing w:before="11"/>
              <w:ind w:left="212"/>
              <w:rPr>
                <w:sz w:val="16"/>
              </w:rPr>
            </w:pPr>
            <w:r>
              <w:rPr>
                <w:w w:val="105"/>
                <w:sz w:val="16"/>
              </w:rPr>
              <w:t>RMSEP</w:t>
            </w:r>
            <w:r>
              <w:rPr>
                <w:spacing w:val="10"/>
                <w:w w:val="105"/>
                <w:sz w:val="16"/>
              </w:rPr>
              <w:t> </w:t>
            </w:r>
            <w:r>
              <w:rPr>
                <w:w w:val="105"/>
                <w:sz w:val="16"/>
              </w:rPr>
              <w:t>%</w:t>
            </w:r>
            <w:r>
              <w:rPr>
                <w:spacing w:val="7"/>
                <w:w w:val="105"/>
                <w:sz w:val="16"/>
              </w:rPr>
              <w:t> </w:t>
            </w:r>
            <w:r>
              <w:rPr>
                <w:spacing w:val="-2"/>
                <w:w w:val="105"/>
                <w:sz w:val="16"/>
              </w:rPr>
              <w:t>(v/v)</w:t>
            </w:r>
          </w:p>
        </w:tc>
        <w:tc>
          <w:tcPr>
            <w:tcW w:w="1460" w:type="dxa"/>
            <w:tcBorders>
              <w:top w:val="single" w:sz="4" w:space="0" w:color="000000"/>
              <w:bottom w:val="single" w:sz="4" w:space="0" w:color="000000"/>
            </w:tcBorders>
          </w:tcPr>
          <w:p>
            <w:pPr>
              <w:pStyle w:val="TableParagraph"/>
              <w:spacing w:before="11"/>
              <w:ind w:left="118"/>
              <w:rPr>
                <w:sz w:val="16"/>
              </w:rPr>
            </w:pPr>
            <w:r>
              <w:rPr>
                <w:w w:val="110"/>
                <w:sz w:val="16"/>
              </w:rPr>
              <w:t>R</w:t>
            </w:r>
            <w:r>
              <w:rPr>
                <w:spacing w:val="-8"/>
                <w:w w:val="110"/>
                <w:sz w:val="16"/>
              </w:rPr>
              <w:t> </w:t>
            </w:r>
            <w:r>
              <w:rPr>
                <w:spacing w:val="-2"/>
                <w:w w:val="110"/>
                <w:sz w:val="16"/>
              </w:rPr>
              <w:t>(correlation)</w:t>
            </w:r>
          </w:p>
        </w:tc>
      </w:tr>
      <w:tr>
        <w:trPr>
          <w:trHeight w:val="247" w:hRule="atLeast"/>
        </w:trPr>
        <w:tc>
          <w:tcPr>
            <w:tcW w:w="2155" w:type="dxa"/>
            <w:tcBorders>
              <w:top w:val="single" w:sz="4" w:space="0" w:color="000000"/>
            </w:tcBorders>
          </w:tcPr>
          <w:p>
            <w:pPr>
              <w:pStyle w:val="TableParagraph"/>
              <w:spacing w:before="13"/>
              <w:ind w:left="117"/>
              <w:rPr>
                <w:sz w:val="16"/>
              </w:rPr>
            </w:pPr>
            <w:r>
              <w:rPr>
                <w:spacing w:val="-2"/>
                <w:w w:val="110"/>
                <w:sz w:val="16"/>
              </w:rPr>
              <w:t>Methane</w:t>
            </w:r>
          </w:p>
        </w:tc>
        <w:tc>
          <w:tcPr>
            <w:tcW w:w="1474" w:type="dxa"/>
            <w:tcBorders>
              <w:top w:val="single" w:sz="4" w:space="0" w:color="000000"/>
            </w:tcBorders>
          </w:tcPr>
          <w:p>
            <w:pPr>
              <w:pStyle w:val="TableParagraph"/>
              <w:spacing w:before="13"/>
              <w:rPr>
                <w:sz w:val="16"/>
              </w:rPr>
            </w:pPr>
            <w:r>
              <w:rPr>
                <w:spacing w:val="-4"/>
                <w:sz w:val="16"/>
              </w:rPr>
              <w:t>0,16</w:t>
            </w:r>
          </w:p>
        </w:tc>
        <w:tc>
          <w:tcPr>
            <w:tcW w:w="1311" w:type="dxa"/>
            <w:tcBorders>
              <w:top w:val="single" w:sz="4" w:space="0" w:color="000000"/>
            </w:tcBorders>
          </w:tcPr>
          <w:p>
            <w:pPr>
              <w:pStyle w:val="TableParagraph"/>
              <w:spacing w:before="13"/>
              <w:ind w:left="78"/>
              <w:rPr>
                <w:sz w:val="16"/>
              </w:rPr>
            </w:pPr>
            <w:r>
              <w:rPr>
                <w:spacing w:val="-2"/>
                <w:sz w:val="16"/>
              </w:rPr>
              <w:t>0,9889</w:t>
            </w:r>
          </w:p>
        </w:tc>
        <w:tc>
          <w:tcPr>
            <w:tcW w:w="1540" w:type="dxa"/>
            <w:tcBorders>
              <w:top w:val="single" w:sz="4" w:space="0" w:color="000000"/>
            </w:tcBorders>
          </w:tcPr>
          <w:p>
            <w:pPr>
              <w:pStyle w:val="TableParagraph"/>
              <w:spacing w:before="13"/>
              <w:ind w:left="212"/>
              <w:rPr>
                <w:sz w:val="16"/>
              </w:rPr>
            </w:pPr>
            <w:r>
              <w:rPr>
                <w:spacing w:val="-4"/>
                <w:sz w:val="16"/>
              </w:rPr>
              <w:t>0,19</w:t>
            </w:r>
          </w:p>
        </w:tc>
        <w:tc>
          <w:tcPr>
            <w:tcW w:w="1460" w:type="dxa"/>
            <w:tcBorders>
              <w:top w:val="single" w:sz="4" w:space="0" w:color="000000"/>
            </w:tcBorders>
          </w:tcPr>
          <w:p>
            <w:pPr>
              <w:pStyle w:val="TableParagraph"/>
              <w:spacing w:before="13"/>
              <w:ind w:left="119"/>
              <w:rPr>
                <w:sz w:val="16"/>
              </w:rPr>
            </w:pPr>
            <w:r>
              <w:rPr>
                <w:spacing w:val="-2"/>
                <w:sz w:val="16"/>
              </w:rPr>
              <w:t>0,99422</w:t>
            </w:r>
          </w:p>
        </w:tc>
      </w:tr>
      <w:tr>
        <w:trPr>
          <w:trHeight w:val="279" w:hRule="atLeast"/>
        </w:trPr>
        <w:tc>
          <w:tcPr>
            <w:tcW w:w="2155" w:type="dxa"/>
          </w:tcPr>
          <w:p>
            <w:pPr>
              <w:pStyle w:val="TableParagraph"/>
              <w:spacing w:before="44"/>
              <w:ind w:left="117"/>
              <w:rPr>
                <w:sz w:val="16"/>
              </w:rPr>
            </w:pPr>
            <w:r>
              <w:rPr>
                <w:spacing w:val="-2"/>
                <w:w w:val="105"/>
                <w:sz w:val="16"/>
              </w:rPr>
              <w:t>Acetylene</w:t>
            </w:r>
          </w:p>
        </w:tc>
        <w:tc>
          <w:tcPr>
            <w:tcW w:w="1474" w:type="dxa"/>
          </w:tcPr>
          <w:p>
            <w:pPr>
              <w:pStyle w:val="TableParagraph"/>
              <w:spacing w:before="44"/>
              <w:rPr>
                <w:sz w:val="16"/>
              </w:rPr>
            </w:pPr>
            <w:r>
              <w:rPr>
                <w:spacing w:val="-4"/>
                <w:sz w:val="16"/>
              </w:rPr>
              <w:t>0,18</w:t>
            </w:r>
          </w:p>
        </w:tc>
        <w:tc>
          <w:tcPr>
            <w:tcW w:w="1311" w:type="dxa"/>
          </w:tcPr>
          <w:p>
            <w:pPr>
              <w:pStyle w:val="TableParagraph"/>
              <w:spacing w:before="44"/>
              <w:ind w:left="78"/>
              <w:rPr>
                <w:sz w:val="16"/>
              </w:rPr>
            </w:pPr>
            <w:r>
              <w:rPr>
                <w:spacing w:val="-2"/>
                <w:sz w:val="16"/>
              </w:rPr>
              <w:t>0,9523</w:t>
            </w:r>
          </w:p>
        </w:tc>
        <w:tc>
          <w:tcPr>
            <w:tcW w:w="1540" w:type="dxa"/>
          </w:tcPr>
          <w:p>
            <w:pPr>
              <w:pStyle w:val="TableParagraph"/>
              <w:spacing w:before="44"/>
              <w:ind w:left="213"/>
              <w:rPr>
                <w:sz w:val="16"/>
              </w:rPr>
            </w:pPr>
            <w:r>
              <w:rPr>
                <w:spacing w:val="-2"/>
                <w:sz w:val="16"/>
              </w:rPr>
              <w:t>0,153</w:t>
            </w:r>
          </w:p>
        </w:tc>
        <w:tc>
          <w:tcPr>
            <w:tcW w:w="1460" w:type="dxa"/>
          </w:tcPr>
          <w:p>
            <w:pPr>
              <w:pStyle w:val="TableParagraph"/>
              <w:spacing w:before="44"/>
              <w:ind w:left="120"/>
              <w:rPr>
                <w:sz w:val="16"/>
              </w:rPr>
            </w:pPr>
            <w:r>
              <w:rPr>
                <w:spacing w:val="-2"/>
                <w:sz w:val="16"/>
              </w:rPr>
              <w:t>0,9882</w:t>
            </w:r>
          </w:p>
        </w:tc>
      </w:tr>
      <w:tr>
        <w:trPr>
          <w:trHeight w:val="280" w:hRule="atLeast"/>
        </w:trPr>
        <w:tc>
          <w:tcPr>
            <w:tcW w:w="2155" w:type="dxa"/>
          </w:tcPr>
          <w:p>
            <w:pPr>
              <w:pStyle w:val="TableParagraph"/>
              <w:ind w:left="117"/>
              <w:rPr>
                <w:sz w:val="16"/>
              </w:rPr>
            </w:pPr>
            <w:r>
              <w:rPr>
                <w:spacing w:val="-2"/>
                <w:w w:val="105"/>
                <w:sz w:val="16"/>
              </w:rPr>
              <w:t>Ethylene</w:t>
            </w:r>
          </w:p>
        </w:tc>
        <w:tc>
          <w:tcPr>
            <w:tcW w:w="1474" w:type="dxa"/>
          </w:tcPr>
          <w:p>
            <w:pPr>
              <w:pStyle w:val="TableParagraph"/>
              <w:rPr>
                <w:sz w:val="16"/>
              </w:rPr>
            </w:pPr>
            <w:r>
              <w:rPr>
                <w:spacing w:val="-4"/>
                <w:sz w:val="16"/>
              </w:rPr>
              <w:t>0,18</w:t>
            </w:r>
          </w:p>
        </w:tc>
        <w:tc>
          <w:tcPr>
            <w:tcW w:w="1311" w:type="dxa"/>
          </w:tcPr>
          <w:p>
            <w:pPr>
              <w:pStyle w:val="TableParagraph"/>
              <w:ind w:left="78"/>
              <w:rPr>
                <w:sz w:val="16"/>
              </w:rPr>
            </w:pPr>
            <w:r>
              <w:rPr>
                <w:spacing w:val="-2"/>
                <w:sz w:val="16"/>
              </w:rPr>
              <w:t>0,9719</w:t>
            </w:r>
          </w:p>
        </w:tc>
        <w:tc>
          <w:tcPr>
            <w:tcW w:w="1540" w:type="dxa"/>
          </w:tcPr>
          <w:p>
            <w:pPr>
              <w:pStyle w:val="TableParagraph"/>
              <w:ind w:left="212"/>
              <w:rPr>
                <w:sz w:val="16"/>
              </w:rPr>
            </w:pPr>
            <w:r>
              <w:rPr>
                <w:spacing w:val="-4"/>
                <w:sz w:val="16"/>
              </w:rPr>
              <w:t>0,11</w:t>
            </w:r>
          </w:p>
        </w:tc>
        <w:tc>
          <w:tcPr>
            <w:tcW w:w="1460" w:type="dxa"/>
          </w:tcPr>
          <w:p>
            <w:pPr>
              <w:pStyle w:val="TableParagraph"/>
              <w:ind w:left="119"/>
              <w:rPr>
                <w:sz w:val="16"/>
              </w:rPr>
            </w:pPr>
            <w:r>
              <w:rPr>
                <w:spacing w:val="-2"/>
                <w:sz w:val="16"/>
              </w:rPr>
              <w:t>0,9939</w:t>
            </w:r>
          </w:p>
        </w:tc>
      </w:tr>
      <w:tr>
        <w:trPr>
          <w:trHeight w:val="312" w:hRule="atLeast"/>
        </w:trPr>
        <w:tc>
          <w:tcPr>
            <w:tcW w:w="2155" w:type="dxa"/>
            <w:tcBorders>
              <w:bottom w:val="single" w:sz="4" w:space="0" w:color="000000"/>
            </w:tcBorders>
          </w:tcPr>
          <w:p>
            <w:pPr>
              <w:pStyle w:val="TableParagraph"/>
              <w:ind w:left="117"/>
              <w:rPr>
                <w:sz w:val="16"/>
              </w:rPr>
            </w:pPr>
            <w:r>
              <w:rPr>
                <w:spacing w:val="-2"/>
                <w:w w:val="110"/>
                <w:sz w:val="16"/>
              </w:rPr>
              <w:t>Ethane</w:t>
            </w:r>
          </w:p>
        </w:tc>
        <w:tc>
          <w:tcPr>
            <w:tcW w:w="1474" w:type="dxa"/>
            <w:tcBorders>
              <w:bottom w:val="single" w:sz="4" w:space="0" w:color="000000"/>
            </w:tcBorders>
          </w:tcPr>
          <w:p>
            <w:pPr>
              <w:pStyle w:val="TableParagraph"/>
              <w:rPr>
                <w:sz w:val="16"/>
              </w:rPr>
            </w:pPr>
            <w:r>
              <w:rPr>
                <w:spacing w:val="-4"/>
                <w:sz w:val="16"/>
              </w:rPr>
              <w:t>0,18</w:t>
            </w:r>
          </w:p>
        </w:tc>
        <w:tc>
          <w:tcPr>
            <w:tcW w:w="1311" w:type="dxa"/>
            <w:tcBorders>
              <w:bottom w:val="single" w:sz="4" w:space="0" w:color="000000"/>
            </w:tcBorders>
          </w:tcPr>
          <w:p>
            <w:pPr>
              <w:pStyle w:val="TableParagraph"/>
              <w:ind w:left="78"/>
              <w:rPr>
                <w:sz w:val="16"/>
              </w:rPr>
            </w:pPr>
            <w:r>
              <w:rPr>
                <w:spacing w:val="-2"/>
                <w:sz w:val="16"/>
              </w:rPr>
              <w:t>0,9725</w:t>
            </w:r>
          </w:p>
        </w:tc>
        <w:tc>
          <w:tcPr>
            <w:tcW w:w="1540" w:type="dxa"/>
            <w:tcBorders>
              <w:bottom w:val="single" w:sz="4" w:space="0" w:color="000000"/>
            </w:tcBorders>
          </w:tcPr>
          <w:p>
            <w:pPr>
              <w:pStyle w:val="TableParagraph"/>
              <w:ind w:left="212"/>
              <w:rPr>
                <w:sz w:val="16"/>
              </w:rPr>
            </w:pPr>
            <w:r>
              <w:rPr>
                <w:spacing w:val="-4"/>
                <w:sz w:val="16"/>
              </w:rPr>
              <w:t>0,14</w:t>
            </w:r>
          </w:p>
        </w:tc>
        <w:tc>
          <w:tcPr>
            <w:tcW w:w="1460" w:type="dxa"/>
            <w:tcBorders>
              <w:bottom w:val="single" w:sz="4" w:space="0" w:color="000000"/>
            </w:tcBorders>
          </w:tcPr>
          <w:p>
            <w:pPr>
              <w:pStyle w:val="TableParagraph"/>
              <w:ind w:left="119"/>
              <w:rPr>
                <w:sz w:val="16"/>
              </w:rPr>
            </w:pPr>
            <w:r>
              <w:rPr>
                <w:spacing w:val="-2"/>
                <w:sz w:val="16"/>
              </w:rPr>
              <w:t>0,9957</w:t>
            </w:r>
          </w:p>
        </w:tc>
      </w:tr>
    </w:tbl>
    <w:p>
      <w:pPr>
        <w:pStyle w:val="BodyText"/>
        <w:spacing w:before="59"/>
        <w:rPr>
          <w:sz w:val="16"/>
        </w:rPr>
      </w:pPr>
    </w:p>
    <w:p>
      <w:pPr>
        <w:pStyle w:val="BodyText"/>
        <w:spacing w:line="249" w:lineRule="auto" w:before="1"/>
        <w:ind w:left="430" w:right="187" w:firstLine="244"/>
        <w:jc w:val="both"/>
      </w:pPr>
      <w:r>
        <w:rPr/>
        <w:t>The table 1 shows the results for the model calibration and prediction by least squares regression (PLS), where can observe a good correlation between data obtained by chromatography and chemometric concentrations predicted by the model, with a correlation coefficient between 0, 9523 and 0.9889. For the prediction coefficients set the correlation were greater than 0.9882. The results indicate that the values predicted by the model were similar to values obtained by gas chromatography.</w:t>
      </w:r>
    </w:p>
    <w:p>
      <w:pPr>
        <w:pStyle w:val="BodyText"/>
        <w:spacing w:before="14"/>
      </w:pPr>
    </w:p>
    <w:p>
      <w:pPr>
        <w:pStyle w:val="ListParagraph"/>
        <w:numPr>
          <w:ilvl w:val="0"/>
          <w:numId w:val="1"/>
        </w:numPr>
        <w:tabs>
          <w:tab w:pos="635" w:val="left" w:leader="none"/>
        </w:tabs>
        <w:spacing w:line="240" w:lineRule="auto" w:before="0" w:after="0"/>
        <w:ind w:left="635" w:right="0" w:hanging="205"/>
        <w:jc w:val="both"/>
        <w:rPr>
          <w:sz w:val="20"/>
        </w:rPr>
      </w:pPr>
      <w:r>
        <w:rPr>
          <w:w w:val="105"/>
          <w:sz w:val="20"/>
        </w:rPr>
        <w:t>Conclusions</w:t>
      </w:r>
      <w:r>
        <w:rPr>
          <w:spacing w:val="9"/>
          <w:w w:val="105"/>
          <w:sz w:val="20"/>
        </w:rPr>
        <w:t> </w:t>
      </w:r>
      <w:r>
        <w:rPr>
          <w:w w:val="105"/>
          <w:sz w:val="20"/>
        </w:rPr>
        <w:t>and</w:t>
      </w:r>
      <w:r>
        <w:rPr>
          <w:spacing w:val="10"/>
          <w:w w:val="105"/>
          <w:sz w:val="20"/>
        </w:rPr>
        <w:t> </w:t>
      </w:r>
      <w:r>
        <w:rPr>
          <w:w w:val="105"/>
          <w:sz w:val="20"/>
        </w:rPr>
        <w:t>Future</w:t>
      </w:r>
      <w:r>
        <w:rPr>
          <w:spacing w:val="10"/>
          <w:w w:val="105"/>
          <w:sz w:val="20"/>
        </w:rPr>
        <w:t> </w:t>
      </w:r>
      <w:r>
        <w:rPr>
          <w:spacing w:val="-4"/>
          <w:w w:val="105"/>
          <w:sz w:val="20"/>
        </w:rPr>
        <w:t>works</w:t>
      </w:r>
    </w:p>
    <w:p>
      <w:pPr>
        <w:pStyle w:val="BodyText"/>
        <w:spacing w:before="20"/>
      </w:pPr>
    </w:p>
    <w:p>
      <w:pPr>
        <w:pStyle w:val="BodyText"/>
        <w:spacing w:line="249" w:lineRule="auto"/>
        <w:ind w:left="430" w:right="185" w:firstLine="227"/>
        <w:jc w:val="both"/>
      </w:pPr>
      <w:r>
        <w:rPr/>
        <w:t>The results of the presented study indicate that Near Infrared Spectroscopy (NIR) with chemometrics techniques</w:t>
      </w:r>
      <w:r>
        <w:rPr>
          <w:spacing w:val="-3"/>
        </w:rPr>
        <w:t> </w:t>
      </w:r>
      <w:r>
        <w:rPr/>
        <w:t>appears</w:t>
      </w:r>
      <w:r>
        <w:rPr>
          <w:spacing w:val="-3"/>
        </w:rPr>
        <w:t> </w:t>
      </w:r>
      <w:r>
        <w:rPr/>
        <w:t>as</w:t>
      </w:r>
      <w:r>
        <w:rPr>
          <w:spacing w:val="-3"/>
        </w:rPr>
        <w:t> </w:t>
      </w:r>
      <w:r>
        <w:rPr/>
        <w:t>a tool</w:t>
      </w:r>
      <w:r>
        <w:rPr>
          <w:spacing w:val="-2"/>
        </w:rPr>
        <w:t> </w:t>
      </w:r>
      <w:r>
        <w:rPr/>
        <w:t>to</w:t>
      </w:r>
      <w:r>
        <w:rPr>
          <w:spacing w:val="-1"/>
        </w:rPr>
        <w:t> </w:t>
      </w:r>
      <w:r>
        <w:rPr/>
        <w:t>be</w:t>
      </w:r>
      <w:r>
        <w:rPr>
          <w:spacing w:val="-1"/>
        </w:rPr>
        <w:t> </w:t>
      </w:r>
      <w:r>
        <w:rPr/>
        <w:t>used</w:t>
      </w:r>
      <w:r>
        <w:rPr>
          <w:spacing w:val="-1"/>
        </w:rPr>
        <w:t> </w:t>
      </w:r>
      <w:r>
        <w:rPr/>
        <w:t>for monitoring</w:t>
      </w:r>
      <w:r>
        <w:rPr>
          <w:spacing w:val="-1"/>
        </w:rPr>
        <w:t> </w:t>
      </w:r>
      <w:r>
        <w:rPr/>
        <w:t>gas</w:t>
      </w:r>
      <w:r>
        <w:rPr>
          <w:spacing w:val="-1"/>
        </w:rPr>
        <w:t> </w:t>
      </w:r>
      <w:r>
        <w:rPr/>
        <w:t>species</w:t>
      </w:r>
      <w:r>
        <w:rPr>
          <w:spacing w:val="-2"/>
        </w:rPr>
        <w:t> </w:t>
      </w:r>
      <w:r>
        <w:rPr/>
        <w:t>produced</w:t>
      </w:r>
      <w:r>
        <w:rPr>
          <w:spacing w:val="-1"/>
        </w:rPr>
        <w:t> </w:t>
      </w:r>
      <w:r>
        <w:rPr/>
        <w:t>in</w:t>
      </w:r>
      <w:r>
        <w:rPr>
          <w:spacing w:val="-3"/>
        </w:rPr>
        <w:t> </w:t>
      </w:r>
      <w:r>
        <w:rPr/>
        <w:t>the</w:t>
      </w:r>
      <w:r>
        <w:rPr>
          <w:spacing w:val="-2"/>
        </w:rPr>
        <w:t> </w:t>
      </w:r>
      <w:r>
        <w:rPr/>
        <w:t>decomposition</w:t>
      </w:r>
      <w:r>
        <w:rPr>
          <w:spacing w:val="-3"/>
        </w:rPr>
        <w:t> </w:t>
      </w:r>
      <w:r>
        <w:rPr/>
        <w:t>of</w:t>
      </w:r>
      <w:r>
        <w:rPr>
          <w:spacing w:val="-1"/>
        </w:rPr>
        <w:t> </w:t>
      </w:r>
      <w:r>
        <w:rPr/>
        <w:t>insulating oils.</w:t>
      </w:r>
      <w:r>
        <w:rPr>
          <w:spacing w:val="-2"/>
        </w:rPr>
        <w:t> </w:t>
      </w:r>
      <w:r>
        <w:rPr/>
        <w:t>In</w:t>
      </w:r>
      <w:r>
        <w:rPr>
          <w:spacing w:val="-3"/>
        </w:rPr>
        <w:t> </w:t>
      </w:r>
      <w:r>
        <w:rPr/>
        <w:t>this was found</w:t>
      </w:r>
      <w:r>
        <w:rPr>
          <w:spacing w:val="-1"/>
        </w:rPr>
        <w:t> </w:t>
      </w:r>
      <w:r>
        <w:rPr/>
        <w:t>that</w:t>
      </w:r>
      <w:r>
        <w:rPr>
          <w:spacing w:val="-2"/>
        </w:rPr>
        <w:t> </w:t>
      </w:r>
      <w:r>
        <w:rPr/>
        <w:t>the calibration</w:t>
      </w:r>
      <w:r>
        <w:rPr>
          <w:spacing w:val="-1"/>
        </w:rPr>
        <w:t> </w:t>
      </w:r>
      <w:r>
        <w:rPr/>
        <w:t>model</w:t>
      </w:r>
      <w:r>
        <w:rPr>
          <w:spacing w:val="-2"/>
        </w:rPr>
        <w:t> </w:t>
      </w:r>
      <w:r>
        <w:rPr/>
        <w:t>built</w:t>
      </w:r>
      <w:r>
        <w:rPr>
          <w:spacing w:val="-2"/>
        </w:rPr>
        <w:t> </w:t>
      </w:r>
      <w:r>
        <w:rPr/>
        <w:t>by</w:t>
      </w:r>
      <w:r>
        <w:rPr>
          <w:spacing w:val="-1"/>
        </w:rPr>
        <w:t> </w:t>
      </w:r>
      <w:r>
        <w:rPr/>
        <w:t>multivariate</w:t>
      </w:r>
      <w:r>
        <w:rPr>
          <w:spacing w:val="-2"/>
        </w:rPr>
        <w:t> </w:t>
      </w:r>
      <w:r>
        <w:rPr/>
        <w:t>regression</w:t>
      </w:r>
      <w:r>
        <w:rPr>
          <w:spacing w:val="-1"/>
        </w:rPr>
        <w:t> </w:t>
      </w:r>
      <w:r>
        <w:rPr/>
        <w:t>using</w:t>
      </w:r>
      <w:r>
        <w:rPr>
          <w:spacing w:val="-1"/>
        </w:rPr>
        <w:t> </w:t>
      </w:r>
      <w:r>
        <w:rPr/>
        <w:t>the partial</w:t>
      </w:r>
      <w:r>
        <w:rPr>
          <w:spacing w:val="-3"/>
        </w:rPr>
        <w:t> </w:t>
      </w:r>
      <w:r>
        <w:rPr/>
        <w:t>least</w:t>
      </w:r>
      <w:r>
        <w:rPr>
          <w:spacing w:val="-3"/>
        </w:rPr>
        <w:t> </w:t>
      </w:r>
      <w:r>
        <w:rPr/>
        <w:t>squares (PLS), the results obtained with RMSEP such as 0.19% (v / v) to methane, 0.15% (v / v) to acetylene, about 0.11%</w:t>
      </w:r>
      <w:r>
        <w:rPr>
          <w:spacing w:val="-1"/>
        </w:rPr>
        <w:t> </w:t>
      </w:r>
      <w:r>
        <w:rPr/>
        <w:t>(v</w:t>
      </w:r>
      <w:r>
        <w:rPr>
          <w:spacing w:val="-2"/>
        </w:rPr>
        <w:t> </w:t>
      </w:r>
      <w:r>
        <w:rPr/>
        <w:t>/</w:t>
      </w:r>
      <w:r>
        <w:rPr>
          <w:spacing w:val="-1"/>
        </w:rPr>
        <w:t> </w:t>
      </w:r>
      <w:r>
        <w:rPr/>
        <w:t>v) for ethylene and 0.14%</w:t>
      </w:r>
      <w:r>
        <w:rPr>
          <w:spacing w:val="-1"/>
        </w:rPr>
        <w:t> </w:t>
      </w:r>
      <w:r>
        <w:rPr/>
        <w:t>(v</w:t>
      </w:r>
      <w:r>
        <w:rPr>
          <w:spacing w:val="-2"/>
        </w:rPr>
        <w:t> </w:t>
      </w:r>
      <w:r>
        <w:rPr/>
        <w:t>/</w:t>
      </w:r>
      <w:r>
        <w:rPr>
          <w:spacing w:val="-1"/>
        </w:rPr>
        <w:t> </w:t>
      </w:r>
      <w:r>
        <w:rPr/>
        <w:t>v) to the</w:t>
      </w:r>
      <w:r>
        <w:rPr>
          <w:spacing w:val="-1"/>
        </w:rPr>
        <w:t> </w:t>
      </w:r>
      <w:r>
        <w:rPr/>
        <w:t>ethane, prove the chemometric model</w:t>
      </w:r>
      <w:r>
        <w:rPr>
          <w:spacing w:val="-1"/>
        </w:rPr>
        <w:t> </w:t>
      </w:r>
      <w:r>
        <w:rPr/>
        <w:t>developed represents a good model to be applied to the hydrocarbons present in real samples. Furthermore it should be considered that found in on-line monitoring of power transformers. There is a new work has been developing a new type of cell measurement system based on multiple reflection which will lower the detection limits of the hydrocarbon gas to the range of a few ppm (parts per million).</w:t>
      </w:r>
    </w:p>
    <w:p>
      <w:pPr>
        <w:pStyle w:val="BodyText"/>
        <w:spacing w:before="18"/>
      </w:pPr>
    </w:p>
    <w:p>
      <w:pPr>
        <w:pStyle w:val="BodyText"/>
        <w:ind w:left="430"/>
      </w:pPr>
      <w:r>
        <w:rPr>
          <w:spacing w:val="-2"/>
          <w:w w:val="105"/>
        </w:rPr>
        <w:t>Acknowledgements</w:t>
      </w:r>
    </w:p>
    <w:p>
      <w:pPr>
        <w:pStyle w:val="BodyText"/>
        <w:spacing w:before="10"/>
        <w:ind w:left="667"/>
      </w:pPr>
      <w:r>
        <w:rPr/>
        <w:t>The</w:t>
      </w:r>
      <w:r>
        <w:rPr>
          <w:spacing w:val="-6"/>
        </w:rPr>
        <w:t> </w:t>
      </w:r>
      <w:r>
        <w:rPr/>
        <w:t>authors</w:t>
      </w:r>
      <w:r>
        <w:rPr>
          <w:spacing w:val="-5"/>
        </w:rPr>
        <w:t> </w:t>
      </w:r>
      <w:r>
        <w:rPr/>
        <w:t>thank</w:t>
      </w:r>
      <w:r>
        <w:rPr>
          <w:spacing w:val="-7"/>
        </w:rPr>
        <w:t> </w:t>
      </w:r>
      <w:r>
        <w:rPr/>
        <w:t>FINEP</w:t>
      </w:r>
      <w:r>
        <w:rPr>
          <w:spacing w:val="-3"/>
        </w:rPr>
        <w:t> </w:t>
      </w:r>
      <w:r>
        <w:rPr/>
        <w:t>for</w:t>
      </w:r>
      <w:r>
        <w:rPr>
          <w:spacing w:val="-6"/>
        </w:rPr>
        <w:t> </w:t>
      </w:r>
      <w:r>
        <w:rPr/>
        <w:t>financial</w:t>
      </w:r>
      <w:r>
        <w:rPr>
          <w:spacing w:val="-5"/>
        </w:rPr>
        <w:t> </w:t>
      </w:r>
      <w:r>
        <w:rPr/>
        <w:t>support</w:t>
      </w:r>
      <w:r>
        <w:rPr>
          <w:spacing w:val="-6"/>
        </w:rPr>
        <w:t> </w:t>
      </w:r>
      <w:r>
        <w:rPr/>
        <w:t>and</w:t>
      </w:r>
      <w:r>
        <w:rPr>
          <w:spacing w:val="-4"/>
        </w:rPr>
        <w:t> </w:t>
      </w:r>
      <w:r>
        <w:rPr/>
        <w:t>UNIFEI</w:t>
      </w:r>
      <w:r>
        <w:rPr>
          <w:spacing w:val="-6"/>
        </w:rPr>
        <w:t> </w:t>
      </w:r>
      <w:r>
        <w:rPr/>
        <w:t>and</w:t>
      </w:r>
      <w:r>
        <w:rPr>
          <w:spacing w:val="-4"/>
        </w:rPr>
        <w:t> </w:t>
      </w:r>
      <w:r>
        <w:rPr/>
        <w:t>CEFET</w:t>
      </w:r>
      <w:r>
        <w:rPr>
          <w:spacing w:val="-3"/>
        </w:rPr>
        <w:t> </w:t>
      </w:r>
      <w:r>
        <w:rPr/>
        <w:t>for</w:t>
      </w:r>
      <w:r>
        <w:rPr>
          <w:spacing w:val="-6"/>
        </w:rPr>
        <w:t> </w:t>
      </w:r>
      <w:r>
        <w:rPr/>
        <w:t>partial</w:t>
      </w:r>
      <w:r>
        <w:rPr>
          <w:spacing w:val="-5"/>
        </w:rPr>
        <w:t> </w:t>
      </w:r>
      <w:r>
        <w:rPr/>
        <w:t>financial</w:t>
      </w:r>
      <w:r>
        <w:rPr>
          <w:spacing w:val="-6"/>
        </w:rPr>
        <w:t> </w:t>
      </w:r>
      <w:r>
        <w:rPr>
          <w:spacing w:val="-2"/>
        </w:rPr>
        <w:t>support.</w:t>
      </w:r>
    </w:p>
    <w:p>
      <w:pPr>
        <w:pStyle w:val="BodyText"/>
      </w:pPr>
    </w:p>
    <w:p>
      <w:pPr>
        <w:pStyle w:val="BodyText"/>
        <w:spacing w:before="15"/>
      </w:pPr>
    </w:p>
    <w:p>
      <w:pPr>
        <w:pStyle w:val="BodyText"/>
        <w:spacing w:before="1"/>
        <w:ind w:left="430"/>
      </w:pPr>
      <w:r>
        <w:rPr>
          <w:spacing w:val="-2"/>
          <w:w w:val="105"/>
        </w:rPr>
        <w:t>References</w:t>
      </w:r>
    </w:p>
    <w:p>
      <w:pPr>
        <w:pStyle w:val="ListParagraph"/>
        <w:numPr>
          <w:ilvl w:val="0"/>
          <w:numId w:val="2"/>
        </w:numPr>
        <w:tabs>
          <w:tab w:pos="755" w:val="left" w:leader="none"/>
          <w:tab w:pos="790" w:val="left" w:leader="none"/>
        </w:tabs>
        <w:spacing w:line="249" w:lineRule="auto" w:before="204" w:after="0"/>
        <w:ind w:left="790" w:right="188" w:hanging="360"/>
        <w:jc w:val="both"/>
        <w:rPr>
          <w:sz w:val="20"/>
        </w:rPr>
      </w:pPr>
      <w:r>
        <w:rPr>
          <w:sz w:val="20"/>
        </w:rPr>
        <w:t>Singh S, Bandyopadhyay M. Dissolved gas analysis technique for incipient fault diagnosis in power transformers: A Bibliographic Survey. IEEE Electrical Insulation Magazine, 2010; vol.26, 6: 41-46.</w:t>
      </w:r>
    </w:p>
    <w:p>
      <w:pPr>
        <w:pStyle w:val="ListParagraph"/>
        <w:numPr>
          <w:ilvl w:val="0"/>
          <w:numId w:val="2"/>
        </w:numPr>
        <w:tabs>
          <w:tab w:pos="773" w:val="left" w:leader="none"/>
          <w:tab w:pos="790" w:val="left" w:leader="none"/>
        </w:tabs>
        <w:spacing w:line="249" w:lineRule="auto" w:before="2" w:after="0"/>
        <w:ind w:left="790" w:right="185" w:hanging="360"/>
        <w:jc w:val="both"/>
        <w:rPr>
          <w:sz w:val="20"/>
        </w:rPr>
      </w:pPr>
      <w:r>
        <w:rPr>
          <w:sz w:val="20"/>
        </w:rPr>
        <w:t>Gockenbach E, Borsi H. Condition monitoring and diagnosis of power transformers. International Conference on Condition Monitoring and Diagnosis, 2008; pp. 21-24.</w:t>
      </w:r>
    </w:p>
    <w:p>
      <w:pPr>
        <w:pStyle w:val="ListParagraph"/>
        <w:numPr>
          <w:ilvl w:val="0"/>
          <w:numId w:val="2"/>
        </w:numPr>
        <w:tabs>
          <w:tab w:pos="716" w:val="left" w:leader="none"/>
          <w:tab w:pos="790" w:val="left" w:leader="none"/>
        </w:tabs>
        <w:spacing w:line="249" w:lineRule="auto" w:before="1" w:after="0"/>
        <w:ind w:left="790" w:right="135" w:hanging="360"/>
        <w:jc w:val="both"/>
        <w:rPr>
          <w:sz w:val="20"/>
        </w:rPr>
      </w:pPr>
      <w:r>
        <w:rPr>
          <w:sz w:val="20"/>
        </w:rPr>
        <w:t>ArakelianV.</w:t>
      </w:r>
      <w:r>
        <w:rPr>
          <w:spacing w:val="-1"/>
          <w:sz w:val="20"/>
        </w:rPr>
        <w:t> </w:t>
      </w:r>
      <w:r>
        <w:rPr>
          <w:sz w:val="20"/>
        </w:rPr>
        <w:t>Effective</w:t>
      </w:r>
      <w:r>
        <w:rPr>
          <w:spacing w:val="-1"/>
          <w:sz w:val="20"/>
        </w:rPr>
        <w:t> </w:t>
      </w:r>
      <w:r>
        <w:rPr>
          <w:sz w:val="20"/>
        </w:rPr>
        <w:t>diagnostics</w:t>
      </w:r>
      <w:r>
        <w:rPr>
          <w:spacing w:val="-1"/>
          <w:sz w:val="20"/>
        </w:rPr>
        <w:t> </w:t>
      </w:r>
      <w:r>
        <w:rPr>
          <w:sz w:val="20"/>
        </w:rPr>
        <w:t>for</w:t>
      </w:r>
      <w:r>
        <w:rPr>
          <w:spacing w:val="-1"/>
          <w:sz w:val="20"/>
        </w:rPr>
        <w:t> </w:t>
      </w:r>
      <w:r>
        <w:rPr>
          <w:sz w:val="20"/>
        </w:rPr>
        <w:t>oil-filled equipment.</w:t>
      </w:r>
      <w:r>
        <w:rPr>
          <w:spacing w:val="-2"/>
          <w:sz w:val="20"/>
        </w:rPr>
        <w:t> </w:t>
      </w:r>
      <w:r>
        <w:rPr>
          <w:sz w:val="20"/>
        </w:rPr>
        <w:t>IEEE</w:t>
      </w:r>
      <w:r>
        <w:rPr>
          <w:spacing w:val="-3"/>
          <w:sz w:val="20"/>
        </w:rPr>
        <w:t> </w:t>
      </w:r>
      <w:r>
        <w:rPr>
          <w:sz w:val="20"/>
        </w:rPr>
        <w:t>Electrical</w:t>
      </w:r>
      <w:r>
        <w:rPr>
          <w:spacing w:val="-2"/>
          <w:sz w:val="20"/>
        </w:rPr>
        <w:t> </w:t>
      </w:r>
      <w:r>
        <w:rPr>
          <w:sz w:val="20"/>
        </w:rPr>
        <w:t>Insulation</w:t>
      </w:r>
      <w:r>
        <w:rPr>
          <w:spacing w:val="-3"/>
          <w:sz w:val="20"/>
        </w:rPr>
        <w:t> </w:t>
      </w:r>
      <w:r>
        <w:rPr>
          <w:sz w:val="20"/>
        </w:rPr>
        <w:t>Magazine,</w:t>
      </w:r>
      <w:r>
        <w:rPr>
          <w:spacing w:val="-1"/>
          <w:sz w:val="20"/>
        </w:rPr>
        <w:t> </w:t>
      </w:r>
      <w:r>
        <w:rPr>
          <w:sz w:val="20"/>
        </w:rPr>
        <w:t>2002;</w:t>
      </w:r>
      <w:r>
        <w:rPr>
          <w:spacing w:val="-4"/>
          <w:sz w:val="20"/>
        </w:rPr>
        <w:t> </w:t>
      </w:r>
      <w:r>
        <w:rPr>
          <w:sz w:val="20"/>
        </w:rPr>
        <w:t>vol. 18, no. 6: 26-38.</w:t>
      </w:r>
    </w:p>
    <w:p>
      <w:pPr>
        <w:pStyle w:val="ListParagraph"/>
        <w:numPr>
          <w:ilvl w:val="0"/>
          <w:numId w:val="2"/>
        </w:numPr>
        <w:tabs>
          <w:tab w:pos="765" w:val="left" w:leader="none"/>
          <w:tab w:pos="790" w:val="left" w:leader="none"/>
        </w:tabs>
        <w:spacing w:line="249" w:lineRule="auto" w:before="2" w:after="0"/>
        <w:ind w:left="790" w:right="186" w:hanging="360"/>
        <w:jc w:val="both"/>
        <w:rPr>
          <w:sz w:val="20"/>
        </w:rPr>
      </w:pPr>
      <w:r>
        <w:rPr>
          <w:sz w:val="20"/>
        </w:rPr>
        <w:t>IEEE Guide for The Interpretation of Gases Generated on Oil-Immersed Transformers, IEEE STD C57.104, 2008.</w:t>
      </w:r>
    </w:p>
    <w:p>
      <w:pPr>
        <w:pStyle w:val="ListParagraph"/>
        <w:numPr>
          <w:ilvl w:val="0"/>
          <w:numId w:val="2"/>
        </w:numPr>
        <w:tabs>
          <w:tab w:pos="736" w:val="left" w:leader="none"/>
          <w:tab w:pos="790" w:val="left" w:leader="none"/>
        </w:tabs>
        <w:spacing w:line="249" w:lineRule="auto" w:before="2" w:after="0"/>
        <w:ind w:left="790" w:right="189" w:hanging="361"/>
        <w:jc w:val="both"/>
        <w:rPr>
          <w:sz w:val="20"/>
        </w:rPr>
      </w:pPr>
      <w:r>
        <w:rPr>
          <w:sz w:val="20"/>
        </w:rPr>
        <w:t>Ding H, Heywood R, Lapworth J, Ryder S. Learning form success and failure in transformer fault gas analysis and interpretation. International Conference on Reliability of Transmission and Distribution Networks, 2011; 1-6.</w:t>
      </w:r>
    </w:p>
    <w:p>
      <w:pPr>
        <w:pStyle w:val="ListParagraph"/>
        <w:numPr>
          <w:ilvl w:val="0"/>
          <w:numId w:val="2"/>
        </w:numPr>
        <w:tabs>
          <w:tab w:pos="763" w:val="left" w:leader="none"/>
        </w:tabs>
        <w:spacing w:line="240" w:lineRule="auto" w:before="2" w:after="0"/>
        <w:ind w:left="763" w:right="0" w:hanging="333"/>
        <w:jc w:val="both"/>
        <w:rPr>
          <w:sz w:val="20"/>
        </w:rPr>
      </w:pPr>
      <w:r>
        <w:rPr>
          <w:sz w:val="20"/>
        </w:rPr>
        <w:t>Mackenzie</w:t>
      </w:r>
      <w:r>
        <w:rPr>
          <w:spacing w:val="44"/>
          <w:sz w:val="20"/>
        </w:rPr>
        <w:t> </w:t>
      </w:r>
      <w:r>
        <w:rPr>
          <w:sz w:val="20"/>
        </w:rPr>
        <w:t>E,</w:t>
      </w:r>
      <w:r>
        <w:rPr>
          <w:spacing w:val="45"/>
          <w:sz w:val="20"/>
        </w:rPr>
        <w:t> </w:t>
      </w:r>
      <w:r>
        <w:rPr>
          <w:sz w:val="20"/>
        </w:rPr>
        <w:t>Crossey</w:t>
      </w:r>
      <w:r>
        <w:rPr>
          <w:spacing w:val="41"/>
          <w:sz w:val="20"/>
        </w:rPr>
        <w:t> </w:t>
      </w:r>
      <w:r>
        <w:rPr>
          <w:sz w:val="20"/>
        </w:rPr>
        <w:t>J,</w:t>
      </w:r>
      <w:r>
        <w:rPr>
          <w:spacing w:val="45"/>
          <w:sz w:val="20"/>
        </w:rPr>
        <w:t> </w:t>
      </w:r>
      <w:r>
        <w:rPr>
          <w:sz w:val="20"/>
        </w:rPr>
        <w:t>De</w:t>
      </w:r>
      <w:r>
        <w:rPr>
          <w:spacing w:val="45"/>
          <w:sz w:val="20"/>
        </w:rPr>
        <w:t> </w:t>
      </w:r>
      <w:r>
        <w:rPr>
          <w:sz w:val="20"/>
        </w:rPr>
        <w:t>Pablo</w:t>
      </w:r>
      <w:r>
        <w:rPr>
          <w:spacing w:val="45"/>
          <w:sz w:val="20"/>
        </w:rPr>
        <w:t> </w:t>
      </w:r>
      <w:r>
        <w:rPr>
          <w:sz w:val="20"/>
        </w:rPr>
        <w:t>A,</w:t>
      </w:r>
      <w:r>
        <w:rPr>
          <w:spacing w:val="45"/>
          <w:sz w:val="20"/>
        </w:rPr>
        <w:t> </w:t>
      </w:r>
      <w:r>
        <w:rPr>
          <w:sz w:val="20"/>
        </w:rPr>
        <w:t>Ferguson</w:t>
      </w:r>
      <w:r>
        <w:rPr>
          <w:spacing w:val="43"/>
          <w:sz w:val="20"/>
        </w:rPr>
        <w:t> </w:t>
      </w:r>
      <w:r>
        <w:rPr>
          <w:sz w:val="20"/>
        </w:rPr>
        <w:t>W.</w:t>
      </w:r>
      <w:r>
        <w:rPr>
          <w:spacing w:val="44"/>
          <w:sz w:val="20"/>
        </w:rPr>
        <w:t> </w:t>
      </w:r>
      <w:r>
        <w:rPr>
          <w:sz w:val="20"/>
        </w:rPr>
        <w:t>On-line</w:t>
      </w:r>
      <w:r>
        <w:rPr>
          <w:spacing w:val="47"/>
          <w:sz w:val="20"/>
        </w:rPr>
        <w:t> </w:t>
      </w:r>
      <w:r>
        <w:rPr>
          <w:sz w:val="20"/>
        </w:rPr>
        <w:t>monitoring</w:t>
      </w:r>
      <w:r>
        <w:rPr>
          <w:spacing w:val="43"/>
          <w:sz w:val="20"/>
        </w:rPr>
        <w:t> </w:t>
      </w:r>
      <w:r>
        <w:rPr>
          <w:sz w:val="20"/>
        </w:rPr>
        <w:t>and</w:t>
      </w:r>
      <w:r>
        <w:rPr>
          <w:spacing w:val="45"/>
          <w:sz w:val="20"/>
        </w:rPr>
        <w:t> </w:t>
      </w:r>
      <w:r>
        <w:rPr>
          <w:sz w:val="20"/>
        </w:rPr>
        <w:t>diagnostics</w:t>
      </w:r>
      <w:r>
        <w:rPr>
          <w:spacing w:val="46"/>
          <w:sz w:val="20"/>
        </w:rPr>
        <w:t> </w:t>
      </w:r>
      <w:r>
        <w:rPr>
          <w:sz w:val="20"/>
        </w:rPr>
        <w:t>for</w:t>
      </w:r>
      <w:r>
        <w:rPr>
          <w:spacing w:val="44"/>
          <w:sz w:val="20"/>
        </w:rPr>
        <w:t> </w:t>
      </w:r>
      <w:r>
        <w:rPr>
          <w:spacing w:val="-2"/>
          <w:sz w:val="20"/>
        </w:rPr>
        <w:t>power</w:t>
      </w:r>
    </w:p>
    <w:p>
      <w:pPr>
        <w:spacing w:after="0" w:line="240" w:lineRule="auto"/>
        <w:jc w:val="both"/>
        <w:rPr>
          <w:sz w:val="20"/>
        </w:rPr>
        <w:sectPr>
          <w:pgSz w:w="10890" w:h="14860"/>
          <w:pgMar w:header="713" w:footer="0" w:top="900" w:bottom="280" w:left="440" w:right="980"/>
        </w:sectPr>
      </w:pPr>
    </w:p>
    <w:p>
      <w:pPr>
        <w:pStyle w:val="BodyText"/>
        <w:spacing w:before="159"/>
      </w:pPr>
    </w:p>
    <w:p>
      <w:pPr>
        <w:pStyle w:val="BodyText"/>
        <w:ind w:left="846"/>
        <w:jc w:val="both"/>
      </w:pPr>
      <w:r>
        <w:rPr/>
        <w:t>transformers.</w:t>
      </w:r>
      <w:r>
        <w:rPr>
          <w:spacing w:val="-9"/>
        </w:rPr>
        <w:t> </w:t>
      </w:r>
      <w:r>
        <w:rPr/>
        <w:t>IEEE</w:t>
      </w:r>
      <w:r>
        <w:rPr>
          <w:spacing w:val="-8"/>
        </w:rPr>
        <w:t> </w:t>
      </w:r>
      <w:r>
        <w:rPr/>
        <w:t>International</w:t>
      </w:r>
      <w:r>
        <w:rPr>
          <w:spacing w:val="-8"/>
        </w:rPr>
        <w:t> </w:t>
      </w:r>
      <w:r>
        <w:rPr/>
        <w:t>Symposium</w:t>
      </w:r>
      <w:r>
        <w:rPr>
          <w:spacing w:val="-10"/>
        </w:rPr>
        <w:t> </w:t>
      </w:r>
      <w:r>
        <w:rPr/>
        <w:t>on</w:t>
      </w:r>
      <w:r>
        <w:rPr>
          <w:spacing w:val="-10"/>
        </w:rPr>
        <w:t> </w:t>
      </w:r>
      <w:r>
        <w:rPr/>
        <w:t>Electrical</w:t>
      </w:r>
      <w:r>
        <w:rPr>
          <w:spacing w:val="-8"/>
        </w:rPr>
        <w:t> </w:t>
      </w:r>
      <w:r>
        <w:rPr/>
        <w:t>Insulation</w:t>
      </w:r>
      <w:r>
        <w:rPr>
          <w:spacing w:val="-10"/>
        </w:rPr>
        <w:t> </w:t>
      </w:r>
      <w:r>
        <w:rPr/>
        <w:t>Conference,</w:t>
      </w:r>
      <w:r>
        <w:rPr>
          <w:spacing w:val="-8"/>
        </w:rPr>
        <w:t> </w:t>
      </w:r>
      <w:r>
        <w:rPr/>
        <w:t>2010;</w:t>
      </w:r>
      <w:r>
        <w:rPr>
          <w:spacing w:val="-9"/>
        </w:rPr>
        <w:t> </w:t>
      </w:r>
      <w:r>
        <w:rPr/>
        <w:t>pp</w:t>
      </w:r>
      <w:r>
        <w:rPr>
          <w:spacing w:val="-8"/>
        </w:rPr>
        <w:t> </w:t>
      </w:r>
      <w:r>
        <w:rPr/>
        <w:t>1-</w:t>
      </w:r>
      <w:r>
        <w:rPr>
          <w:spacing w:val="-5"/>
        </w:rPr>
        <w:t>5.</w:t>
      </w:r>
    </w:p>
    <w:p>
      <w:pPr>
        <w:pStyle w:val="ListParagraph"/>
        <w:numPr>
          <w:ilvl w:val="0"/>
          <w:numId w:val="2"/>
        </w:numPr>
        <w:tabs>
          <w:tab w:pos="830" w:val="left" w:leader="none"/>
          <w:tab w:pos="846" w:val="left" w:leader="none"/>
        </w:tabs>
        <w:spacing w:line="249" w:lineRule="auto" w:before="10" w:after="0"/>
        <w:ind w:left="846" w:right="130" w:hanging="360"/>
        <w:jc w:val="both"/>
        <w:rPr>
          <w:sz w:val="20"/>
        </w:rPr>
      </w:pPr>
      <w:r>
        <w:rPr>
          <w:sz w:val="20"/>
        </w:rPr>
        <w:t>Snow T, McLarnon M. The implementation of continuous online Dissolved Gas Analysis (DGA) monitoring for all transmission and distribution substations. IEEE International Symposium on Electrical Insulation, 2010; pp. 1-4.</w:t>
      </w:r>
    </w:p>
    <w:p>
      <w:pPr>
        <w:pStyle w:val="ListParagraph"/>
        <w:numPr>
          <w:ilvl w:val="0"/>
          <w:numId w:val="2"/>
        </w:numPr>
        <w:tabs>
          <w:tab w:pos="817" w:val="left" w:leader="none"/>
          <w:tab w:pos="846" w:val="left" w:leader="none"/>
        </w:tabs>
        <w:spacing w:line="249" w:lineRule="auto" w:before="3" w:after="0"/>
        <w:ind w:left="846" w:right="131" w:hanging="360"/>
        <w:jc w:val="both"/>
        <w:rPr>
          <w:sz w:val="20"/>
        </w:rPr>
      </w:pPr>
      <w:r>
        <w:rPr>
          <w:sz w:val="20"/>
        </w:rPr>
        <w:t>Pasquini C. Near Infrared Spectroscopy: fundamentals, practical aspects and analytical applications. Journal of Brazilian Chemical Society, 2003; vol. 14: 198-219.</w:t>
      </w:r>
    </w:p>
    <w:p>
      <w:pPr>
        <w:pStyle w:val="ListParagraph"/>
        <w:numPr>
          <w:ilvl w:val="0"/>
          <w:numId w:val="2"/>
        </w:numPr>
        <w:tabs>
          <w:tab w:pos="783" w:val="left" w:leader="none"/>
          <w:tab w:pos="846" w:val="left" w:leader="none"/>
        </w:tabs>
        <w:spacing w:line="249" w:lineRule="auto" w:before="1" w:after="0"/>
        <w:ind w:left="846" w:right="131" w:hanging="360"/>
        <w:jc w:val="both"/>
        <w:rPr>
          <w:sz w:val="20"/>
        </w:rPr>
      </w:pPr>
      <w:r>
        <w:rPr>
          <w:sz w:val="20"/>
        </w:rPr>
        <w:t>Baird P, Herman H, Stevens G. Spectroscopic measurement and analysis of water and oil in transformer insulating paper. IEEE Transactions on Dielectrics and Electrical Insulation, 2006; vol.13: 293-308.</w:t>
      </w:r>
    </w:p>
    <w:p>
      <w:pPr>
        <w:pStyle w:val="ListParagraph"/>
        <w:numPr>
          <w:ilvl w:val="0"/>
          <w:numId w:val="2"/>
        </w:numPr>
        <w:tabs>
          <w:tab w:pos="868" w:val="left" w:leader="none"/>
        </w:tabs>
        <w:spacing w:line="240" w:lineRule="auto" w:before="2" w:after="0"/>
        <w:ind w:left="868" w:right="0" w:hanging="382"/>
        <w:jc w:val="both"/>
        <w:rPr>
          <w:sz w:val="20"/>
        </w:rPr>
      </w:pPr>
      <w:r>
        <w:rPr>
          <w:sz w:val="20"/>
        </w:rPr>
        <w:t>Unscrambler,</w:t>
      </w:r>
      <w:r>
        <w:rPr>
          <w:spacing w:val="-2"/>
          <w:sz w:val="20"/>
        </w:rPr>
        <w:t> </w:t>
      </w:r>
      <w:r>
        <w:rPr>
          <w:sz w:val="20"/>
        </w:rPr>
        <w:t>Ex</w:t>
      </w:r>
      <w:r>
        <w:rPr>
          <w:spacing w:val="-4"/>
          <w:sz w:val="20"/>
        </w:rPr>
        <w:t> </w:t>
      </w:r>
      <w:r>
        <w:rPr>
          <w:sz w:val="20"/>
        </w:rPr>
        <w:t>Use's</w:t>
      </w:r>
      <w:r>
        <w:rPr>
          <w:spacing w:val="-3"/>
          <w:sz w:val="20"/>
        </w:rPr>
        <w:t> </w:t>
      </w:r>
      <w:r>
        <w:rPr>
          <w:sz w:val="20"/>
        </w:rPr>
        <w:t>Guide,</w:t>
      </w:r>
      <w:r>
        <w:rPr>
          <w:spacing w:val="-2"/>
          <w:sz w:val="20"/>
        </w:rPr>
        <w:t> </w:t>
      </w:r>
      <w:r>
        <w:rPr>
          <w:sz w:val="20"/>
        </w:rPr>
        <w:t>versão</w:t>
      </w:r>
      <w:r>
        <w:rPr>
          <w:spacing w:val="-2"/>
          <w:sz w:val="20"/>
        </w:rPr>
        <w:t> </w:t>
      </w:r>
      <w:r>
        <w:rPr>
          <w:sz w:val="20"/>
        </w:rPr>
        <w:t>9.2,</w:t>
      </w:r>
      <w:r>
        <w:rPr>
          <w:spacing w:val="-1"/>
          <w:sz w:val="20"/>
        </w:rPr>
        <w:t> </w:t>
      </w:r>
      <w:r>
        <w:rPr>
          <w:sz w:val="20"/>
        </w:rPr>
        <w:t>Camo</w:t>
      </w:r>
      <w:r>
        <w:rPr>
          <w:spacing w:val="-2"/>
          <w:sz w:val="20"/>
        </w:rPr>
        <w:t> </w:t>
      </w:r>
      <w:r>
        <w:rPr>
          <w:sz w:val="20"/>
        </w:rPr>
        <w:t>A/S,</w:t>
      </w:r>
      <w:r>
        <w:rPr>
          <w:spacing w:val="-2"/>
          <w:sz w:val="20"/>
        </w:rPr>
        <w:t> Trondheim.</w:t>
      </w:r>
    </w:p>
    <w:sectPr>
      <w:pgSz w:w="10890" w:h="14860"/>
      <w:pgMar w:header="713" w:footer="0" w:top="900" w:bottom="280" w:left="4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7312">
              <wp:simplePos x="0" y="0"/>
              <wp:positionH relativeFrom="page">
                <wp:posOffset>2473286</wp:posOffset>
              </wp:positionH>
              <wp:positionV relativeFrom="page">
                <wp:posOffset>455282</wp:posOffset>
              </wp:positionV>
              <wp:extent cx="19831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83105" cy="137160"/>
                      </a:xfrm>
                      <a:prstGeom prst="rect">
                        <a:avLst/>
                      </a:prstGeom>
                    </wps:spPr>
                    <wps:txbx>
                      <w:txbxContent>
                        <w:p>
                          <w:pPr>
                            <w:spacing w:before="12"/>
                            <w:ind w:left="20" w:right="0" w:firstLine="0"/>
                            <w:jc w:val="left"/>
                            <w:rPr>
                              <w:i/>
                              <w:sz w:val="16"/>
                            </w:rPr>
                          </w:pPr>
                          <w:r>
                            <w:rPr>
                              <w:i/>
                              <w:color w:val="231F20"/>
                              <w:sz w:val="16"/>
                            </w:rPr>
                            <w:t>Borges</w:t>
                          </w:r>
                          <w:r>
                            <w:rPr>
                              <w:i/>
                              <w:color w:val="231F20"/>
                              <w:spacing w:val="-4"/>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56</w:t>
                          </w:r>
                          <w:r>
                            <w:rPr>
                              <w:i/>
                              <w:color w:val="231F20"/>
                              <w:spacing w:val="-2"/>
                              <w:sz w:val="16"/>
                            </w:rPr>
                            <w:t> </w:t>
                          </w:r>
                          <w:r>
                            <w:rPr>
                              <w:i/>
                              <w:color w:val="231F20"/>
                              <w:sz w:val="16"/>
                            </w:rPr>
                            <w:t>–</w:t>
                          </w:r>
                          <w:r>
                            <w:rPr>
                              <w:i/>
                              <w:color w:val="231F20"/>
                              <w:spacing w:val="-1"/>
                              <w:sz w:val="16"/>
                            </w:rPr>
                            <w:t> </w:t>
                          </w:r>
                          <w:r>
                            <w:rPr>
                              <w:i/>
                              <w:color w:val="231F20"/>
                              <w:spacing w:val="-5"/>
                              <w:sz w:val="16"/>
                            </w:rPr>
                            <w:t>61</w:t>
                          </w:r>
                        </w:p>
                      </w:txbxContent>
                    </wps:txbx>
                    <wps:bodyPr wrap="square" lIns="0" tIns="0" rIns="0" bIns="0" rtlCol="0">
                      <a:noAutofit/>
                    </wps:bodyPr>
                  </wps:wsp>
                </a:graphicData>
              </a:graphic>
            </wp:anchor>
          </w:drawing>
        </mc:Choice>
        <mc:Fallback>
          <w:pict>
            <v:shape style="position:absolute;margin-left:194.746994pt;margin-top:35.849003pt;width:156.15pt;height:10.8pt;mso-position-horizontal-relative:page;mso-position-vertical-relative:page;z-index:-15879168" type="#_x0000_t202" id="docshape9" filled="false" stroked="false">
              <v:textbox inset="0,0,0,0">
                <w:txbxContent>
                  <w:p>
                    <w:pPr>
                      <w:spacing w:before="12"/>
                      <w:ind w:left="20" w:right="0" w:firstLine="0"/>
                      <w:jc w:val="left"/>
                      <w:rPr>
                        <w:i/>
                        <w:sz w:val="16"/>
                      </w:rPr>
                    </w:pPr>
                    <w:r>
                      <w:rPr>
                        <w:i/>
                        <w:color w:val="231F20"/>
                        <w:sz w:val="16"/>
                      </w:rPr>
                      <w:t>Borges</w:t>
                    </w:r>
                    <w:r>
                      <w:rPr>
                        <w:i/>
                        <w:color w:val="231F20"/>
                        <w:spacing w:val="-4"/>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56</w:t>
                    </w:r>
                    <w:r>
                      <w:rPr>
                        <w:i/>
                        <w:color w:val="231F20"/>
                        <w:spacing w:val="-2"/>
                        <w:sz w:val="16"/>
                      </w:rPr>
                      <w:t> </w:t>
                    </w:r>
                    <w:r>
                      <w:rPr>
                        <w:i/>
                        <w:color w:val="231F20"/>
                        <w:sz w:val="16"/>
                      </w:rPr>
                      <w:t>–</w:t>
                    </w:r>
                    <w:r>
                      <w:rPr>
                        <w:i/>
                        <w:color w:val="231F20"/>
                        <w:spacing w:val="-1"/>
                        <w:sz w:val="16"/>
                      </w:rPr>
                      <w:t> </w:t>
                    </w:r>
                    <w:r>
                      <w:rPr>
                        <w:i/>
                        <w:color w:val="231F20"/>
                        <w:spacing w:val="-5"/>
                        <w:sz w:val="16"/>
                      </w:rPr>
                      <w:t>61</w:t>
                    </w:r>
                  </w:p>
                </w:txbxContent>
              </v:textbox>
              <w10:wrap type="none"/>
            </v:shape>
          </w:pict>
        </mc:Fallback>
      </mc:AlternateContent>
    </w:r>
    <w:r>
      <w:rPr/>
      <mc:AlternateContent>
        <mc:Choice Requires="wps">
          <w:drawing>
            <wp:anchor distT="0" distB="0" distL="0" distR="0" allowOverlap="1" layoutInCell="1" locked="0" behindDoc="1" simplePos="0" relativeHeight="487437824">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865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8336">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7814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8848">
              <wp:simplePos x="0" y="0"/>
              <wp:positionH relativeFrom="page">
                <wp:posOffset>2675818</wp:posOffset>
              </wp:positionH>
              <wp:positionV relativeFrom="page">
                <wp:posOffset>455282</wp:posOffset>
              </wp:positionV>
              <wp:extent cx="198310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83105" cy="137160"/>
                      </a:xfrm>
                      <a:prstGeom prst="rect">
                        <a:avLst/>
                      </a:prstGeom>
                    </wps:spPr>
                    <wps:txbx>
                      <w:txbxContent>
                        <w:p>
                          <w:pPr>
                            <w:spacing w:before="12"/>
                            <w:ind w:left="20" w:right="0" w:firstLine="0"/>
                            <w:jc w:val="left"/>
                            <w:rPr>
                              <w:i/>
                              <w:sz w:val="16"/>
                            </w:rPr>
                          </w:pPr>
                          <w:r>
                            <w:rPr>
                              <w:i/>
                              <w:color w:val="231F20"/>
                              <w:sz w:val="16"/>
                            </w:rPr>
                            <w:t>Borges</w:t>
                          </w:r>
                          <w:r>
                            <w:rPr>
                              <w:i/>
                              <w:color w:val="231F20"/>
                              <w:spacing w:val="-4"/>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56</w:t>
                          </w:r>
                          <w:r>
                            <w:rPr>
                              <w:i/>
                              <w:color w:val="231F20"/>
                              <w:spacing w:val="-2"/>
                              <w:sz w:val="16"/>
                            </w:rPr>
                            <w:t> </w:t>
                          </w:r>
                          <w:r>
                            <w:rPr>
                              <w:i/>
                              <w:color w:val="231F20"/>
                              <w:sz w:val="16"/>
                            </w:rPr>
                            <w:t>–</w:t>
                          </w:r>
                          <w:r>
                            <w:rPr>
                              <w:i/>
                              <w:color w:val="231F20"/>
                              <w:spacing w:val="-1"/>
                              <w:sz w:val="16"/>
                            </w:rPr>
                            <w:t> </w:t>
                          </w:r>
                          <w:r>
                            <w:rPr>
                              <w:i/>
                              <w:color w:val="231F20"/>
                              <w:spacing w:val="-5"/>
                              <w:sz w:val="16"/>
                            </w:rPr>
                            <w:t>61</w:t>
                          </w:r>
                        </w:p>
                      </w:txbxContent>
                    </wps:txbx>
                    <wps:bodyPr wrap="square" lIns="0" tIns="0" rIns="0" bIns="0" rtlCol="0">
                      <a:noAutofit/>
                    </wps:bodyPr>
                  </wps:wsp>
                </a:graphicData>
              </a:graphic>
            </wp:anchor>
          </w:drawing>
        </mc:Choice>
        <mc:Fallback>
          <w:pict>
            <v:shape style="position:absolute;margin-left:210.694397pt;margin-top:35.849003pt;width:156.15pt;height:10.8pt;mso-position-horizontal-relative:page;mso-position-vertical-relative:page;z-index:-15877632" type="#_x0000_t202" id="docshape12" filled="false" stroked="false">
              <v:textbox inset="0,0,0,0">
                <w:txbxContent>
                  <w:p>
                    <w:pPr>
                      <w:spacing w:before="12"/>
                      <w:ind w:left="20" w:right="0" w:firstLine="0"/>
                      <w:jc w:val="left"/>
                      <w:rPr>
                        <w:i/>
                        <w:sz w:val="16"/>
                      </w:rPr>
                    </w:pPr>
                    <w:r>
                      <w:rPr>
                        <w:i/>
                        <w:color w:val="231F20"/>
                        <w:sz w:val="16"/>
                      </w:rPr>
                      <w:t>Borges</w:t>
                    </w:r>
                    <w:r>
                      <w:rPr>
                        <w:i/>
                        <w:color w:val="231F20"/>
                        <w:spacing w:val="-4"/>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56</w:t>
                    </w:r>
                    <w:r>
                      <w:rPr>
                        <w:i/>
                        <w:color w:val="231F20"/>
                        <w:spacing w:val="-2"/>
                        <w:sz w:val="16"/>
                      </w:rPr>
                      <w:t> </w:t>
                    </w:r>
                    <w:r>
                      <w:rPr>
                        <w:i/>
                        <w:color w:val="231F20"/>
                        <w:sz w:val="16"/>
                      </w:rPr>
                      <w:t>–</w:t>
                    </w:r>
                    <w:r>
                      <w:rPr>
                        <w:i/>
                        <w:color w:val="231F20"/>
                        <w:spacing w:val="-1"/>
                        <w:sz w:val="16"/>
                      </w:rPr>
                      <w:t> </w:t>
                    </w:r>
                    <w:r>
                      <w:rPr>
                        <w:i/>
                        <w:color w:val="231F20"/>
                        <w:spacing w:val="-5"/>
                        <w:sz w:val="16"/>
                      </w:rPr>
                      <w:t>61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90" w:hanging="32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66" w:hanging="327"/>
      </w:pPr>
      <w:rPr>
        <w:rFonts w:hint="default"/>
        <w:lang w:val="en-US" w:eastAsia="en-US" w:bidi="ar-SA"/>
      </w:rPr>
    </w:lvl>
    <w:lvl w:ilvl="2">
      <w:start w:val="0"/>
      <w:numFmt w:val="bullet"/>
      <w:lvlText w:val="•"/>
      <w:lvlJc w:val="left"/>
      <w:pPr>
        <w:ind w:left="2533" w:hanging="327"/>
      </w:pPr>
      <w:rPr>
        <w:rFonts w:hint="default"/>
        <w:lang w:val="en-US" w:eastAsia="en-US" w:bidi="ar-SA"/>
      </w:rPr>
    </w:lvl>
    <w:lvl w:ilvl="3">
      <w:start w:val="0"/>
      <w:numFmt w:val="bullet"/>
      <w:lvlText w:val="•"/>
      <w:lvlJc w:val="left"/>
      <w:pPr>
        <w:ind w:left="3399" w:hanging="327"/>
      </w:pPr>
      <w:rPr>
        <w:rFonts w:hint="default"/>
        <w:lang w:val="en-US" w:eastAsia="en-US" w:bidi="ar-SA"/>
      </w:rPr>
    </w:lvl>
    <w:lvl w:ilvl="4">
      <w:start w:val="0"/>
      <w:numFmt w:val="bullet"/>
      <w:lvlText w:val="•"/>
      <w:lvlJc w:val="left"/>
      <w:pPr>
        <w:ind w:left="4266" w:hanging="327"/>
      </w:pPr>
      <w:rPr>
        <w:rFonts w:hint="default"/>
        <w:lang w:val="en-US" w:eastAsia="en-US" w:bidi="ar-SA"/>
      </w:rPr>
    </w:lvl>
    <w:lvl w:ilvl="5">
      <w:start w:val="0"/>
      <w:numFmt w:val="bullet"/>
      <w:lvlText w:val="•"/>
      <w:lvlJc w:val="left"/>
      <w:pPr>
        <w:ind w:left="5132" w:hanging="327"/>
      </w:pPr>
      <w:rPr>
        <w:rFonts w:hint="default"/>
        <w:lang w:val="en-US" w:eastAsia="en-US" w:bidi="ar-SA"/>
      </w:rPr>
    </w:lvl>
    <w:lvl w:ilvl="6">
      <w:start w:val="0"/>
      <w:numFmt w:val="bullet"/>
      <w:lvlText w:val="•"/>
      <w:lvlJc w:val="left"/>
      <w:pPr>
        <w:ind w:left="5999" w:hanging="327"/>
      </w:pPr>
      <w:rPr>
        <w:rFonts w:hint="default"/>
        <w:lang w:val="en-US" w:eastAsia="en-US" w:bidi="ar-SA"/>
      </w:rPr>
    </w:lvl>
    <w:lvl w:ilvl="7">
      <w:start w:val="0"/>
      <w:numFmt w:val="bullet"/>
      <w:lvlText w:val="•"/>
      <w:lvlJc w:val="left"/>
      <w:pPr>
        <w:ind w:left="6865" w:hanging="327"/>
      </w:pPr>
      <w:rPr>
        <w:rFonts w:hint="default"/>
        <w:lang w:val="en-US" w:eastAsia="en-US" w:bidi="ar-SA"/>
      </w:rPr>
    </w:lvl>
    <w:lvl w:ilvl="8">
      <w:start w:val="0"/>
      <w:numFmt w:val="bullet"/>
      <w:lvlText w:val="•"/>
      <w:lvlJc w:val="left"/>
      <w:pPr>
        <w:ind w:left="7732" w:hanging="327"/>
      </w:pPr>
      <w:rPr>
        <w:rFonts w:hint="default"/>
        <w:lang w:val="en-US" w:eastAsia="en-US" w:bidi="ar-SA"/>
      </w:rPr>
    </w:lvl>
  </w:abstractNum>
  <w:abstractNum w:abstractNumId="0">
    <w:multiLevelType w:val="hybridMultilevel"/>
    <w:lvl w:ilvl="0">
      <w:start w:val="1"/>
      <w:numFmt w:val="decimal"/>
      <w:lvlText w:val="%1."/>
      <w:lvlJc w:val="left"/>
      <w:pPr>
        <w:ind w:left="693"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6" w:hanging="207"/>
      </w:pPr>
      <w:rPr>
        <w:rFonts w:hint="default"/>
        <w:lang w:val="en-US" w:eastAsia="en-US" w:bidi="ar-SA"/>
      </w:rPr>
    </w:lvl>
    <w:lvl w:ilvl="2">
      <w:start w:val="0"/>
      <w:numFmt w:val="bullet"/>
      <w:lvlText w:val="•"/>
      <w:lvlJc w:val="left"/>
      <w:pPr>
        <w:ind w:left="2453" w:hanging="207"/>
      </w:pPr>
      <w:rPr>
        <w:rFonts w:hint="default"/>
        <w:lang w:val="en-US" w:eastAsia="en-US" w:bidi="ar-SA"/>
      </w:rPr>
    </w:lvl>
    <w:lvl w:ilvl="3">
      <w:start w:val="0"/>
      <w:numFmt w:val="bullet"/>
      <w:lvlText w:val="•"/>
      <w:lvlJc w:val="left"/>
      <w:pPr>
        <w:ind w:left="3329" w:hanging="207"/>
      </w:pPr>
      <w:rPr>
        <w:rFonts w:hint="default"/>
        <w:lang w:val="en-US" w:eastAsia="en-US" w:bidi="ar-SA"/>
      </w:rPr>
    </w:lvl>
    <w:lvl w:ilvl="4">
      <w:start w:val="0"/>
      <w:numFmt w:val="bullet"/>
      <w:lvlText w:val="•"/>
      <w:lvlJc w:val="left"/>
      <w:pPr>
        <w:ind w:left="4206" w:hanging="207"/>
      </w:pPr>
      <w:rPr>
        <w:rFonts w:hint="default"/>
        <w:lang w:val="en-US" w:eastAsia="en-US" w:bidi="ar-SA"/>
      </w:rPr>
    </w:lvl>
    <w:lvl w:ilvl="5">
      <w:start w:val="0"/>
      <w:numFmt w:val="bullet"/>
      <w:lvlText w:val="•"/>
      <w:lvlJc w:val="left"/>
      <w:pPr>
        <w:ind w:left="5082" w:hanging="207"/>
      </w:pPr>
      <w:rPr>
        <w:rFonts w:hint="default"/>
        <w:lang w:val="en-US" w:eastAsia="en-US" w:bidi="ar-SA"/>
      </w:rPr>
    </w:lvl>
    <w:lvl w:ilvl="6">
      <w:start w:val="0"/>
      <w:numFmt w:val="bullet"/>
      <w:lvlText w:val="•"/>
      <w:lvlJc w:val="left"/>
      <w:pPr>
        <w:ind w:left="5959" w:hanging="207"/>
      </w:pPr>
      <w:rPr>
        <w:rFonts w:hint="default"/>
        <w:lang w:val="en-US" w:eastAsia="en-US" w:bidi="ar-SA"/>
      </w:rPr>
    </w:lvl>
    <w:lvl w:ilvl="7">
      <w:start w:val="0"/>
      <w:numFmt w:val="bullet"/>
      <w:lvlText w:val="•"/>
      <w:lvlJc w:val="left"/>
      <w:pPr>
        <w:ind w:left="6835" w:hanging="207"/>
      </w:pPr>
      <w:rPr>
        <w:rFonts w:hint="default"/>
        <w:lang w:val="en-US" w:eastAsia="en-US" w:bidi="ar-SA"/>
      </w:rPr>
    </w:lvl>
    <w:lvl w:ilvl="8">
      <w:start w:val="0"/>
      <w:numFmt w:val="bullet"/>
      <w:lvlText w:val="•"/>
      <w:lvlJc w:val="left"/>
      <w:pPr>
        <w:ind w:left="7712"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25"/>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2"/>
      <w:ind w:left="79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gilzeborges@varginha.cefetmg.br"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G.B.C Borges</dc:creator>
  <cp:keywords>Power transformers; insulation oil; spectroscopy; NIR; chemometrics; online monitoring</cp:keywords>
  <dc:subject>, 2 (2012) 56-61. doi:10.1016/j.aasri.2012.09.014</dc:subject>
  <dc:title>Evaluation of the use of Near Infrared Spectroscopy (NIR) in on-line Monitoring of Power Transformer Insulation Oil</dc:title>
  <dcterms:created xsi:type="dcterms:W3CDTF">2023-11-25T05:35:45Z</dcterms:created>
  <dcterms:modified xsi:type="dcterms:W3CDTF">2023-11-25T05:35:45Z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10.1016/j.aasri.2012.09.014</vt:lpwstr>
  </property>
  <property fmtid="{D5CDD505-2E9C-101B-9397-08002B2CF9AE}" pid="12" name="robots">
    <vt:lpwstr>noindex</vt:lpwstr>
  </property>
</Properties>
</file>