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5"/>
        <w:ind w:left="2707"/>
        <w:jc w:val="center"/>
        <w:rPr>
          <w:rFonts w:ascii="Arial"/>
        </w:rPr>
      </w:pPr>
      <w:r>
        <w:rPr/>
        <w:drawing>
          <wp:anchor distT="0" distB="0" distL="0" distR="0" allowOverlap="1" layoutInCell="1" locked="0" behindDoc="0" simplePos="0" relativeHeight="15729152">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rFonts w:ascii="Arial"/>
          <w:color w:val="231F20"/>
        </w:rPr>
        <w:t>Available</w:t>
      </w:r>
      <w:r>
        <w:rPr>
          <w:rFonts w:ascii="Arial"/>
          <w:color w:val="231F20"/>
          <w:spacing w:val="-8"/>
        </w:rPr>
        <w:t> </w:t>
      </w:r>
      <w:r>
        <w:rPr>
          <w:rFonts w:ascii="Arial"/>
          <w:color w:val="231F20"/>
        </w:rPr>
        <w:t>online</w:t>
      </w:r>
      <w:r>
        <w:rPr>
          <w:rFonts w:ascii="Arial"/>
          <w:color w:val="231F20"/>
          <w:spacing w:val="-5"/>
        </w:rPr>
        <w:t> </w:t>
      </w:r>
      <w:r>
        <w:rPr>
          <w:rFonts w:ascii="Arial"/>
          <w:color w:val="231F20"/>
        </w:rPr>
        <w:t>at</w:t>
      </w:r>
      <w:r>
        <w:rPr>
          <w:rFonts w:ascii="Arial"/>
          <w:color w:val="231F20"/>
          <w:spacing w:val="-5"/>
        </w:rPr>
        <w:t> </w:t>
      </w:r>
      <w:hyperlink r:id="rId6">
        <w:r>
          <w:rPr>
            <w:rFonts w:ascii="Arial"/>
            <w:color w:val="212060"/>
            <w:spacing w:val="-2"/>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2170832" cy="170306"/>
                    </a:xfrm>
                    <a:prstGeom prst="rect">
                      <a:avLst/>
                    </a:prstGeom>
                  </pic:spPr>
                </pic:pic>
              </a:graphicData>
            </a:graphic>
          </wp:anchor>
        </w:drawing>
      </w:r>
    </w:p>
    <w:p>
      <w:pPr>
        <w:pStyle w:val="BodyText"/>
        <w:rPr>
          <w:rFonts w:ascii="Arial"/>
        </w:rPr>
      </w:pPr>
    </w:p>
    <w:p>
      <w:pPr>
        <w:pStyle w:val="BodyText"/>
        <w:spacing w:before="35"/>
        <w:rPr>
          <w:rFonts w:ascii="Arial"/>
        </w:rPr>
      </w:pPr>
    </w:p>
    <w:p>
      <w:pPr>
        <w:spacing w:before="0"/>
        <w:ind w:left="2707" w:right="1" w:firstLine="0"/>
        <w:jc w:val="center"/>
        <w:rPr>
          <w:sz w:val="16"/>
        </w:rPr>
      </w:pPr>
      <w:r>
        <w:rPr>
          <w:color w:val="231F20"/>
          <w:sz w:val="16"/>
        </w:rPr>
        <w:t>AASRI</w:t>
      </w:r>
      <w:r>
        <w:rPr>
          <w:color w:val="231F20"/>
          <w:spacing w:val="-2"/>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pacing w:val="-10"/>
          <w:sz w:val="16"/>
        </w:rPr>
        <w:t>1</w:t>
      </w:r>
    </w:p>
    <w:p>
      <w:pPr>
        <w:pStyle w:val="Title"/>
      </w:pPr>
      <w:r>
        <w:rPr/>
        <w:br w:type="column"/>
      </w:r>
      <w:r>
        <w:rPr>
          <w:color w:val="231F20"/>
          <w:spacing w:val="-2"/>
        </w:rPr>
        <w:t>AASRI</w:t>
      </w:r>
    </w:p>
    <w:p>
      <w:pPr>
        <w:pStyle w:val="Heading1"/>
        <w:spacing w:line="388" w:lineRule="exact"/>
        <w:ind w:left="611"/>
      </w:pPr>
      <w:r>
        <w:rPr>
          <w:color w:val="231F20"/>
          <w:spacing w:val="-2"/>
        </w:rPr>
        <w:t>Procedia</w:t>
      </w:r>
    </w:p>
    <w:p>
      <w:pPr>
        <w:spacing w:before="247"/>
        <w:ind w:left="188" w:right="0" w:firstLine="0"/>
        <w:jc w:val="left"/>
        <w:rPr>
          <w:sz w:val="12"/>
        </w:rPr>
      </w:pPr>
      <w:hyperlink r:id="rId8">
        <w:r>
          <w:rPr>
            <w:color w:val="231F20"/>
            <w:spacing w:val="-2"/>
            <w:sz w:val="12"/>
          </w:rPr>
          <w:t>www.elsevier.com/locate/procedia</w:t>
        </w:r>
      </w:hyperlink>
    </w:p>
    <w:p>
      <w:pPr>
        <w:spacing w:after="0"/>
        <w:jc w:val="left"/>
        <w:rPr>
          <w:sz w:val="12"/>
        </w:rPr>
        <w:sectPr>
          <w:type w:val="continuous"/>
          <w:pgSz w:w="10890" w:h="14860"/>
          <w:pgMar w:top="780" w:bottom="280" w:left="520" w:right="940"/>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29664">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29664"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0176"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7"/>
        <w:rPr>
          <w:sz w:val="24"/>
        </w:rPr>
      </w:pPr>
    </w:p>
    <w:p>
      <w:pPr>
        <w:spacing w:before="0"/>
        <w:ind w:left="0" w:right="138" w:firstLine="0"/>
        <w:jc w:val="center"/>
        <w:rPr>
          <w:b/>
          <w:sz w:val="24"/>
        </w:rPr>
      </w:pPr>
      <w:r>
        <w:rPr>
          <w:b/>
          <w:sz w:val="24"/>
        </w:rPr>
        <w:t>2012</w:t>
      </w:r>
      <w:r>
        <w:rPr>
          <w:b/>
          <w:spacing w:val="-13"/>
          <w:sz w:val="24"/>
        </w:rPr>
        <w:t> </w:t>
      </w:r>
      <w:r>
        <w:rPr>
          <w:b/>
          <w:sz w:val="24"/>
        </w:rPr>
        <w:t>AASRI</w:t>
      </w:r>
      <w:r>
        <w:rPr>
          <w:b/>
          <w:spacing w:val="-12"/>
          <w:sz w:val="24"/>
        </w:rPr>
        <w:t> </w:t>
      </w:r>
      <w:r>
        <w:rPr>
          <w:b/>
          <w:sz w:val="24"/>
        </w:rPr>
        <w:t>Conference</w:t>
      </w:r>
      <w:r>
        <w:rPr>
          <w:b/>
          <w:spacing w:val="-12"/>
          <w:sz w:val="24"/>
        </w:rPr>
        <w:t> </w:t>
      </w:r>
      <w:r>
        <w:rPr>
          <w:b/>
          <w:sz w:val="24"/>
        </w:rPr>
        <w:t>on</w:t>
      </w:r>
      <w:r>
        <w:rPr>
          <w:b/>
          <w:spacing w:val="-11"/>
          <w:sz w:val="24"/>
        </w:rPr>
        <w:t> </w:t>
      </w:r>
      <w:r>
        <w:rPr>
          <w:b/>
          <w:sz w:val="24"/>
        </w:rPr>
        <w:t>Computational</w:t>
      </w:r>
      <w:r>
        <w:rPr>
          <w:b/>
          <w:spacing w:val="-12"/>
          <w:sz w:val="24"/>
        </w:rPr>
        <w:t> </w:t>
      </w:r>
      <w:r>
        <w:rPr>
          <w:b/>
          <w:sz w:val="24"/>
        </w:rPr>
        <w:t>Intelligence</w:t>
      </w:r>
      <w:r>
        <w:rPr>
          <w:b/>
          <w:spacing w:val="-12"/>
          <w:sz w:val="24"/>
        </w:rPr>
        <w:t> </w:t>
      </w:r>
      <w:r>
        <w:rPr>
          <w:b/>
          <w:sz w:val="24"/>
        </w:rPr>
        <w:t>and</w:t>
      </w:r>
      <w:r>
        <w:rPr>
          <w:b/>
          <w:spacing w:val="-11"/>
          <w:sz w:val="24"/>
        </w:rPr>
        <w:t> </w:t>
      </w:r>
      <w:r>
        <w:rPr>
          <w:b/>
          <w:spacing w:val="-2"/>
          <w:sz w:val="24"/>
        </w:rPr>
        <w:t>Bioinformatics</w:t>
      </w:r>
    </w:p>
    <w:p>
      <w:pPr>
        <w:pStyle w:val="Heading1"/>
        <w:spacing w:before="245"/>
        <w:ind w:right="138"/>
        <w:jc w:val="center"/>
      </w:pPr>
      <w:r>
        <w:rPr>
          <w:spacing w:val="-2"/>
        </w:rPr>
        <w:t>Preface</w:t>
      </w:r>
    </w:p>
    <w:p>
      <w:pPr>
        <w:pStyle w:val="BodyText"/>
        <w:spacing w:before="94"/>
        <w:rPr>
          <w:sz w:val="34"/>
        </w:rPr>
      </w:pPr>
    </w:p>
    <w:p>
      <w:pPr>
        <w:pStyle w:val="BodyText"/>
        <w:spacing w:line="252" w:lineRule="auto" w:before="1"/>
        <w:ind w:left="222" w:right="352"/>
        <w:jc w:val="both"/>
      </w:pPr>
      <w:r>
        <w:rPr/>
        <w:t>2012 AASRI Conference on Computational Intelligence and Bioinformatics (CIB2012) is held during July 1-2, 2012, at Changsha in China.</w:t>
      </w:r>
    </w:p>
    <w:p>
      <w:pPr>
        <w:pStyle w:val="BodyText"/>
        <w:spacing w:before="18"/>
      </w:pPr>
    </w:p>
    <w:p>
      <w:pPr>
        <w:pStyle w:val="BodyText"/>
        <w:spacing w:line="252" w:lineRule="auto"/>
        <w:ind w:left="222" w:right="358"/>
        <w:jc w:val="both"/>
      </w:pPr>
      <w:r>
        <w:rPr/>
        <w:t>The proceeding of CIB2012 include about 90 excellent papers selected from more than 300 submitted paper(s) whose authors involved at least countries and areas such as China, Malaysia, Japan.</w:t>
      </w:r>
    </w:p>
    <w:p>
      <w:pPr>
        <w:pStyle w:val="BodyText"/>
        <w:spacing w:before="18"/>
      </w:pPr>
    </w:p>
    <w:p>
      <w:pPr>
        <w:pStyle w:val="BodyText"/>
        <w:spacing w:line="254" w:lineRule="auto"/>
        <w:ind w:left="222" w:right="350"/>
        <w:jc w:val="both"/>
      </w:pPr>
      <w:r>
        <w:rPr/>
        <w:t>The conference is intended to bring together the researchers and engineers/technologists working in different aspects of Computational Intelligence and Bioinformatics. In addition to the contributed papers, the conference committee has</w:t>
      </w:r>
      <w:r>
        <w:rPr>
          <w:spacing w:val="40"/>
        </w:rPr>
        <w:t> </w:t>
      </w:r>
      <w:r>
        <w:rPr/>
        <w:t>invited papers by active researchers from various countries in relevant topic areas covered at CIB2012. And experts from several countries are invited to deliver plenary/Keynote lectures at CIB2012.</w:t>
      </w:r>
    </w:p>
    <w:p>
      <w:pPr>
        <w:pStyle w:val="BodyText"/>
        <w:spacing w:before="15"/>
      </w:pPr>
    </w:p>
    <w:p>
      <w:pPr>
        <w:pStyle w:val="BodyText"/>
        <w:spacing w:line="254" w:lineRule="auto"/>
        <w:ind w:left="222" w:right="351"/>
        <w:jc w:val="both"/>
      </w:pPr>
      <w:r>
        <w:rPr/>
        <w:t>Much of the credit of the success of the conference is due to topic coordinators who have devoted their expertise and experience</w:t>
      </w:r>
      <w:r>
        <w:rPr>
          <w:spacing w:val="-2"/>
        </w:rPr>
        <w:t> </w:t>
      </w:r>
      <w:r>
        <w:rPr/>
        <w:t>in promoting</w:t>
      </w:r>
      <w:r>
        <w:rPr>
          <w:spacing w:val="-2"/>
        </w:rPr>
        <w:t> </w:t>
      </w:r>
      <w:r>
        <w:rPr/>
        <w:t>and in general co-ordination of</w:t>
      </w:r>
      <w:r>
        <w:rPr>
          <w:spacing w:val="-3"/>
        </w:rPr>
        <w:t> </w:t>
      </w:r>
      <w:r>
        <w:rPr/>
        <w:t>the</w:t>
      </w:r>
      <w:r>
        <w:rPr>
          <w:spacing w:val="-2"/>
        </w:rPr>
        <w:t> </w:t>
      </w:r>
      <w:r>
        <w:rPr/>
        <w:t>activities for</w:t>
      </w:r>
      <w:r>
        <w:rPr>
          <w:spacing w:val="-1"/>
        </w:rPr>
        <w:t> </w:t>
      </w:r>
      <w:r>
        <w:rPr/>
        <w:t>the</w:t>
      </w:r>
      <w:r>
        <w:rPr>
          <w:spacing w:val="-2"/>
        </w:rPr>
        <w:t> </w:t>
      </w:r>
      <w:r>
        <w:rPr/>
        <w:t>organization and operation</w:t>
      </w:r>
      <w:r>
        <w:rPr>
          <w:spacing w:val="-2"/>
        </w:rPr>
        <w:t> </w:t>
      </w:r>
      <w:r>
        <w:rPr/>
        <w:t>of</w:t>
      </w:r>
      <w:r>
        <w:rPr>
          <w:spacing w:val="-3"/>
        </w:rPr>
        <w:t> </w:t>
      </w:r>
      <w:r>
        <w:rPr/>
        <w:t>the</w:t>
      </w:r>
      <w:r>
        <w:rPr>
          <w:spacing w:val="-2"/>
        </w:rPr>
        <w:t> </w:t>
      </w:r>
      <w:r>
        <w:rPr/>
        <w:t>conference. The coordinators of various session topics have devoted a considerable time and energy in soliciting papers from relevant researchers for presentation at the conference. The Chairs of the different session played important role in conducting the proceedings of the session in a timely and efficient manner and the Committee expresses sincere appreciation for their </w:t>
      </w:r>
      <w:r>
        <w:rPr>
          <w:spacing w:val="-2"/>
        </w:rPr>
        <w:t>involvement.</w:t>
      </w:r>
    </w:p>
    <w:p>
      <w:pPr>
        <w:pStyle w:val="BodyText"/>
        <w:spacing w:before="17"/>
      </w:pPr>
    </w:p>
    <w:p>
      <w:pPr>
        <w:pStyle w:val="BodyText"/>
        <w:spacing w:line="254" w:lineRule="auto"/>
        <w:ind w:left="222" w:right="353"/>
        <w:jc w:val="both"/>
      </w:pPr>
      <w:r>
        <w:rPr/>
        <w:t>The reviewers of the manuscripts, those by tradition would remain anonymous, have been very helpful in efficiently reviewing the manuscripts, providing valuable comments well within the time allotted to them. The Editors express their sincere and grateful thanks to all reviewers.</w:t>
      </w:r>
    </w:p>
    <w:p>
      <w:pPr>
        <w:pStyle w:val="BodyText"/>
        <w:spacing w:before="13"/>
      </w:pPr>
    </w:p>
    <w:p>
      <w:pPr>
        <w:pStyle w:val="BodyText"/>
        <w:spacing w:line="256" w:lineRule="auto"/>
        <w:ind w:left="222" w:right="353"/>
        <w:jc w:val="both"/>
      </w:pPr>
      <w:r>
        <w:rPr/>
        <w:t>The CIB2012 International Committee is proud to dedicate this conference proceeding to the Prof. Tianbiao Chang from American Applied Sciences Research Institute (USA) and Andrew Hunter from Kuala Lumpur ACM Chapter(Malaysia). Selected as our Conference Chairs, They are not only outstanding and visionary researchers but also humble leaders.</w:t>
      </w:r>
    </w:p>
    <w:p>
      <w:pPr>
        <w:pStyle w:val="BodyText"/>
        <w:spacing w:before="10"/>
      </w:pPr>
    </w:p>
    <w:p>
      <w:pPr>
        <w:pStyle w:val="BodyText"/>
        <w:spacing w:line="254" w:lineRule="auto"/>
        <w:ind w:left="222" w:right="354"/>
        <w:jc w:val="both"/>
      </w:pPr>
      <w:r>
        <w:rPr/>
        <w:t>Finally, our sincere thanks to the support from technology</w:t>
      </w:r>
      <w:r>
        <w:rPr>
          <w:spacing w:val="-1"/>
        </w:rPr>
        <w:t> </w:t>
      </w:r>
      <w:r>
        <w:rPr/>
        <w:t>program committee for designing the conference web page and also spending countless days in preparing the final conference program in time for printing. Many thanks to Miss Han: CIB2012 secretary for arranging to type a large number of the invitation letters and for establishing the vast CIB2012 conference address data base. Sincere thanks to our organization committee for their several months’ hard work in sorting out manuscripts from various authors. Also thanks to other staffs assisting in the various stage of the editorial work, especially the international committees of our conference.</w:t>
      </w:r>
    </w:p>
    <w:p>
      <w:pPr>
        <w:pStyle w:val="BodyText"/>
        <w:spacing w:before="17"/>
      </w:pPr>
    </w:p>
    <w:p>
      <w:pPr>
        <w:pStyle w:val="BodyText"/>
        <w:ind w:left="222"/>
        <w:jc w:val="both"/>
      </w:pPr>
      <w:r>
        <w:rPr/>
        <w:t>Wei</w:t>
      </w:r>
      <w:r>
        <w:rPr>
          <w:spacing w:val="-5"/>
        </w:rPr>
        <w:t> </w:t>
      </w:r>
      <w:r>
        <w:rPr>
          <w:spacing w:val="-4"/>
        </w:rPr>
        <w:t>Deng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2"/>
        <w:rPr>
          <w:sz w:val="16"/>
        </w:rPr>
      </w:pPr>
    </w:p>
    <w:p>
      <w:pPr>
        <w:spacing w:before="1"/>
        <w:ind w:left="103"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9">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doi:10.1016/j.aasri.2012.06.001</w:t>
      </w:r>
    </w:p>
    <w:sectPr>
      <w:type w:val="continuous"/>
      <w:pgSz w:w="10890" w:h="14860"/>
      <w:pgMar w:top="78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4"/>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sciencedirect.com/" TargetMode="External"/><Relationship Id="rId7" Type="http://schemas.openxmlformats.org/officeDocument/2006/relationships/image" Target="media/image2.png"/><Relationship Id="rId8" Type="http://schemas.openxmlformats.org/officeDocument/2006/relationships/hyperlink" Target="http://www.elsevier.com/locate/procedia" TargetMode="External"/><Relationship Id="rId9"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1 (2012) 1. doi:10.1016/j.aasri.2012.06.001</dc:subject>
  <dc:title>Preface</dc:title>
  <dcterms:created xsi:type="dcterms:W3CDTF">2023-11-25T07:08:25Z</dcterms:created>
  <dcterms:modified xsi:type="dcterms:W3CDTF">2023-11-25T07:08:25Z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10.1016/j.aasri.2012.06.001</vt:lpwstr>
  </property>
  <property fmtid="{D5CDD505-2E9C-101B-9397-08002B2CF9AE}" pid="12" name="robots">
    <vt:lpwstr>noindex</vt:lpwstr>
  </property>
</Properties>
</file>