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9"/>
        <w:ind w:left="7" w:right="915"/>
        <w:jc w:val="center"/>
        <w:rPr>
          <w:rFonts w:ascii="Arial"/>
        </w:rPr>
      </w:pPr>
      <w:r>
        <w:rPr/>
        <w:drawing>
          <wp:anchor distT="0" distB="0" distL="0" distR="0" allowOverlap="1" layoutInCell="1" locked="0" behindDoc="0" simplePos="0" relativeHeight="1572864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29152">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307591" cy="847648"/>
                    </a:xfrm>
                    <a:prstGeom prst="rect">
                      <a:avLst/>
                    </a:prstGeom>
                  </pic:spPr>
                </pic:pic>
              </a:graphicData>
            </a:graphic>
          </wp:anchor>
        </w:drawing>
      </w:r>
      <w:r>
        <w:rPr>
          <w:rFonts w:ascii="Arial"/>
          <w:color w:val="231F20"/>
        </w:rPr>
        <w:t>Available</w:t>
      </w:r>
      <w:r>
        <w:rPr>
          <w:rFonts w:ascii="Arial"/>
          <w:color w:val="231F20"/>
          <w:spacing w:val="-11"/>
        </w:rPr>
        <w:t> </w:t>
      </w:r>
      <w:r>
        <w:rPr>
          <w:rFonts w:ascii="Arial"/>
          <w:color w:val="231F20"/>
        </w:rPr>
        <w:t>online</w:t>
      </w:r>
      <w:r>
        <w:rPr>
          <w:rFonts w:ascii="Arial"/>
          <w:color w:val="231F20"/>
          <w:spacing w:val="-9"/>
        </w:rPr>
        <w:t> </w:t>
      </w:r>
      <w:r>
        <w:rPr>
          <w:rFonts w:ascii="Arial"/>
          <w:color w:val="231F20"/>
        </w:rPr>
        <w:t>at</w:t>
      </w:r>
      <w:r>
        <w:rPr>
          <w:rFonts w:ascii="Arial"/>
          <w:color w:val="231F20"/>
          <w:spacing w:val="-9"/>
        </w:rPr>
        <w:t> </w:t>
      </w:r>
      <w:hyperlink r:id="rId7">
        <w:r>
          <w:rPr>
            <w:rFonts w:ascii="Arial"/>
            <w:color w:val="1D2567"/>
            <w:spacing w:val="-2"/>
          </w:rPr>
          <w:t>www.sciencedirect.com</w:t>
        </w:r>
      </w:hyperlink>
    </w:p>
    <w:p>
      <w:pPr>
        <w:pStyle w:val="Title"/>
      </w:pPr>
      <w:r>
        <w:rPr>
          <w:color w:val="231F20"/>
          <w:spacing w:val="-2"/>
        </w:rPr>
        <w:t>ScienceDirect</w:t>
      </w:r>
    </w:p>
    <w:p>
      <w:pPr>
        <w:pStyle w:val="BodyText"/>
        <w:spacing w:before="32"/>
        <w:rPr>
          <w:rFonts w:ascii="Trebuchet MS"/>
          <w:b/>
          <w:sz w:val="33"/>
        </w:rPr>
      </w:pPr>
    </w:p>
    <w:p>
      <w:pPr>
        <w:spacing w:before="0"/>
        <w:ind w:left="6" w:right="915" w:firstLine="0"/>
        <w:jc w:val="center"/>
        <w:rPr>
          <w:sz w:val="16"/>
        </w:rPr>
      </w:pPr>
      <w:r>
        <w:rPr>
          <w:color w:val="231F20"/>
          <w:sz w:val="16"/>
        </w:rPr>
        <w:t>AASRI</w:t>
      </w:r>
      <w:r>
        <w:rPr>
          <w:color w:val="231F20"/>
          <w:spacing w:val="-2"/>
          <w:sz w:val="16"/>
        </w:rPr>
        <w:t> </w:t>
      </w:r>
      <w:r>
        <w:rPr>
          <w:color w:val="231F20"/>
          <w:sz w:val="16"/>
        </w:rPr>
        <w:t>Procedia</w:t>
      </w:r>
      <w:r>
        <w:rPr>
          <w:color w:val="231F20"/>
          <w:spacing w:val="-1"/>
          <w:sz w:val="16"/>
        </w:rPr>
        <w:t> </w:t>
      </w:r>
      <w:r>
        <w:rPr>
          <w:color w:val="231F20"/>
          <w:sz w:val="16"/>
        </w:rPr>
        <w:t>5</w:t>
      </w:r>
      <w:r>
        <w:rPr>
          <w:color w:val="231F20"/>
          <w:spacing w:val="-1"/>
          <w:sz w:val="16"/>
        </w:rPr>
        <w:t> </w:t>
      </w:r>
      <w:r>
        <w:rPr>
          <w:color w:val="231F20"/>
          <w:sz w:val="16"/>
        </w:rPr>
        <w:t>(2013)</w:t>
      </w:r>
      <w:r>
        <w:rPr>
          <w:color w:val="231F20"/>
          <w:spacing w:val="-1"/>
          <w:sz w:val="16"/>
        </w:rPr>
        <w:t> </w:t>
      </w:r>
      <w:r>
        <w:rPr>
          <w:color w:val="231F20"/>
          <w:spacing w:val="-10"/>
          <w:sz w:val="16"/>
        </w:rPr>
        <w:t>1</w:t>
      </w:r>
    </w:p>
    <w:p>
      <w:pPr>
        <w:pStyle w:val="BodyText"/>
        <w:spacing w:before="88"/>
        <w:rPr>
          <w:sz w:val="24"/>
        </w:rPr>
      </w:pPr>
    </w:p>
    <w:p>
      <w:pPr>
        <w:spacing w:line="610" w:lineRule="atLeast" w:before="0"/>
        <w:ind w:left="4606" w:right="1120" w:hanging="3377"/>
        <w:jc w:val="left"/>
        <w:rPr>
          <w:sz w:val="24"/>
        </w:rPr>
      </w:pPr>
      <w:r>
        <w:rPr>
          <w:color w:val="231F20"/>
          <w:sz w:val="24"/>
        </w:rPr>
        <w:t>2013</w:t>
      </w:r>
      <w:r>
        <w:rPr>
          <w:color w:val="231F20"/>
          <w:spacing w:val="-4"/>
          <w:sz w:val="24"/>
        </w:rPr>
        <w:t> </w:t>
      </w:r>
      <w:r>
        <w:rPr>
          <w:color w:val="231F20"/>
          <w:sz w:val="24"/>
        </w:rPr>
        <w:t>AASRI</w:t>
      </w:r>
      <w:r>
        <w:rPr>
          <w:color w:val="231F20"/>
          <w:spacing w:val="-4"/>
          <w:sz w:val="24"/>
        </w:rPr>
        <w:t> </w:t>
      </w:r>
      <w:r>
        <w:rPr>
          <w:color w:val="231F20"/>
          <w:sz w:val="24"/>
        </w:rPr>
        <w:t>Conference</w:t>
      </w:r>
      <w:r>
        <w:rPr>
          <w:color w:val="231F20"/>
          <w:spacing w:val="-3"/>
          <w:sz w:val="24"/>
        </w:rPr>
        <w:t> </w:t>
      </w:r>
      <w:r>
        <w:rPr>
          <w:color w:val="231F20"/>
          <w:sz w:val="24"/>
        </w:rPr>
        <w:t>on</w:t>
      </w:r>
      <w:r>
        <w:rPr>
          <w:color w:val="231F20"/>
          <w:spacing w:val="-4"/>
          <w:sz w:val="24"/>
        </w:rPr>
        <w:t> </w:t>
      </w:r>
      <w:r>
        <w:rPr>
          <w:color w:val="231F20"/>
          <w:sz w:val="24"/>
        </w:rPr>
        <w:t>Parallel</w:t>
      </w:r>
      <w:r>
        <w:rPr>
          <w:color w:val="231F20"/>
          <w:spacing w:val="-3"/>
          <w:sz w:val="24"/>
        </w:rPr>
        <w:t> </w:t>
      </w:r>
      <w:r>
        <w:rPr>
          <w:color w:val="231F20"/>
          <w:sz w:val="24"/>
        </w:rPr>
        <w:t>and</w:t>
      </w:r>
      <w:r>
        <w:rPr>
          <w:color w:val="231F20"/>
          <w:spacing w:val="-4"/>
          <w:sz w:val="24"/>
        </w:rPr>
        <w:t> </w:t>
      </w:r>
      <w:r>
        <w:rPr>
          <w:color w:val="231F20"/>
          <w:sz w:val="24"/>
        </w:rPr>
        <w:t>Distributed</w:t>
      </w:r>
      <w:r>
        <w:rPr>
          <w:color w:val="231F20"/>
          <w:spacing w:val="-4"/>
          <w:sz w:val="24"/>
        </w:rPr>
        <w:t> </w:t>
      </w:r>
      <w:r>
        <w:rPr>
          <w:color w:val="231F20"/>
          <w:sz w:val="24"/>
        </w:rPr>
        <w:t>Computing</w:t>
      </w:r>
      <w:r>
        <w:rPr>
          <w:color w:val="231F20"/>
          <w:spacing w:val="-4"/>
          <w:sz w:val="24"/>
        </w:rPr>
        <w:t> </w:t>
      </w:r>
      <w:r>
        <w:rPr>
          <w:color w:val="231F20"/>
          <w:sz w:val="24"/>
        </w:rPr>
        <w:t>and</w:t>
      </w:r>
      <w:r>
        <w:rPr>
          <w:color w:val="231F20"/>
          <w:spacing w:val="-4"/>
          <w:sz w:val="24"/>
        </w:rPr>
        <w:t> </w:t>
      </w:r>
      <w:r>
        <w:rPr>
          <w:color w:val="231F20"/>
          <w:sz w:val="24"/>
        </w:rPr>
        <w:t>Systems </w:t>
      </w:r>
      <w:r>
        <w:rPr>
          <w:color w:val="231F20"/>
          <w:spacing w:val="-2"/>
          <w:sz w:val="24"/>
        </w:rPr>
        <w:t>Preface</w:t>
      </w:r>
    </w:p>
    <w:p>
      <w:pPr>
        <w:pStyle w:val="BodyText"/>
        <w:spacing w:before="268"/>
        <w:ind w:left="543" w:right="433"/>
        <w:jc w:val="both"/>
      </w:pPr>
      <w:r>
        <w:rPr>
          <w:color w:val="231F20"/>
        </w:rPr>
        <w:t>The 2013 AASRI Conference on Parallel and Distributed Computing and Systems (DCS 2013) will be held on May 1-2, 2013, Singapore. The goal of this conference is to bring together the researchers from academia and industry as well as practitioners to share ideas, problems and solutions relating to the multifaceted aspects of Parallel and Distributed Computing and Systems.</w:t>
      </w:r>
    </w:p>
    <w:p>
      <w:pPr>
        <w:pStyle w:val="BodyText"/>
      </w:pPr>
    </w:p>
    <w:p>
      <w:pPr>
        <w:pStyle w:val="BodyText"/>
        <w:ind w:left="543" w:right="385"/>
        <w:jc w:val="both"/>
      </w:pPr>
      <w:r>
        <w:rPr>
          <w:color w:val="231F20"/>
        </w:rPr>
        <w:t>The</w:t>
      </w:r>
      <w:r>
        <w:rPr>
          <w:color w:val="231F20"/>
          <w:spacing w:val="-1"/>
        </w:rPr>
        <w:t> </w:t>
      </w:r>
      <w:r>
        <w:rPr>
          <w:color w:val="231F20"/>
        </w:rPr>
        <w:t>Conference</w:t>
      </w:r>
      <w:r>
        <w:rPr>
          <w:color w:val="231F20"/>
          <w:spacing w:val="-2"/>
        </w:rPr>
        <w:t> </w:t>
      </w:r>
      <w:r>
        <w:rPr>
          <w:color w:val="231F20"/>
        </w:rPr>
        <w:t>attracted</w:t>
      </w:r>
      <w:r>
        <w:rPr>
          <w:color w:val="231F20"/>
          <w:spacing w:val="-1"/>
        </w:rPr>
        <w:t> </w:t>
      </w:r>
      <w:r>
        <w:rPr>
          <w:color w:val="231F20"/>
        </w:rPr>
        <w:t>more</w:t>
      </w:r>
      <w:r>
        <w:rPr>
          <w:color w:val="231F20"/>
          <w:spacing w:val="-1"/>
        </w:rPr>
        <w:t> </w:t>
      </w:r>
      <w:r>
        <w:rPr>
          <w:color w:val="231F20"/>
        </w:rPr>
        <w:t>than</w:t>
      </w:r>
      <w:r>
        <w:rPr>
          <w:color w:val="231F20"/>
          <w:spacing w:val="-1"/>
        </w:rPr>
        <w:t> </w:t>
      </w:r>
      <w:r>
        <w:rPr>
          <w:color w:val="231F20"/>
        </w:rPr>
        <w:t>90</w:t>
      </w:r>
      <w:r>
        <w:rPr>
          <w:color w:val="231F20"/>
          <w:spacing w:val="40"/>
        </w:rPr>
        <w:t> </w:t>
      </w:r>
      <w:r>
        <w:rPr>
          <w:color w:val="231F20"/>
        </w:rPr>
        <w:t>excellent</w:t>
      </w:r>
      <w:r>
        <w:rPr>
          <w:color w:val="231F20"/>
          <w:spacing w:val="-2"/>
        </w:rPr>
        <w:t> </w:t>
      </w:r>
      <w:r>
        <w:rPr>
          <w:color w:val="231F20"/>
        </w:rPr>
        <w:t>manuscripts</w:t>
      </w:r>
      <w:r>
        <w:rPr>
          <w:color w:val="231F20"/>
          <w:spacing w:val="-1"/>
        </w:rPr>
        <w:t> </w:t>
      </w:r>
      <w:r>
        <w:rPr>
          <w:color w:val="231F20"/>
        </w:rPr>
        <w:t>from</w:t>
      </w:r>
      <w:r>
        <w:rPr>
          <w:color w:val="231F20"/>
          <w:spacing w:val="-3"/>
        </w:rPr>
        <w:t> </w:t>
      </w:r>
      <w:r>
        <w:rPr>
          <w:color w:val="231F20"/>
        </w:rPr>
        <w:t>at</w:t>
      </w:r>
      <w:r>
        <w:rPr>
          <w:color w:val="231F20"/>
          <w:spacing w:val="-1"/>
        </w:rPr>
        <w:t> </w:t>
      </w:r>
      <w:r>
        <w:rPr>
          <w:color w:val="231F20"/>
        </w:rPr>
        <w:t>least</w:t>
      </w:r>
      <w:r>
        <w:rPr>
          <w:color w:val="231F20"/>
          <w:spacing w:val="-1"/>
        </w:rPr>
        <w:t> </w:t>
      </w:r>
      <w:r>
        <w:rPr>
          <w:color w:val="231F20"/>
        </w:rPr>
        <w:t>15</w:t>
      </w:r>
      <w:r>
        <w:rPr>
          <w:color w:val="231F20"/>
          <w:spacing w:val="-1"/>
        </w:rPr>
        <w:t> </w:t>
      </w:r>
      <w:r>
        <w:rPr>
          <w:color w:val="231F20"/>
        </w:rPr>
        <w:t>countries</w:t>
      </w:r>
      <w:r>
        <w:rPr>
          <w:color w:val="231F20"/>
          <w:spacing w:val="-1"/>
        </w:rPr>
        <w:t> </w:t>
      </w:r>
      <w:r>
        <w:rPr>
          <w:color w:val="231F20"/>
        </w:rPr>
        <w:t>and</w:t>
      </w:r>
      <w:r>
        <w:rPr>
          <w:color w:val="231F20"/>
          <w:spacing w:val="-2"/>
        </w:rPr>
        <w:t> </w:t>
      </w:r>
      <w:r>
        <w:rPr>
          <w:color w:val="231F20"/>
        </w:rPr>
        <w:t>areas</w:t>
      </w:r>
      <w:r>
        <w:rPr>
          <w:color w:val="231F20"/>
          <w:spacing w:val="-2"/>
        </w:rPr>
        <w:t> </w:t>
      </w:r>
      <w:r>
        <w:rPr>
          <w:color w:val="231F20"/>
        </w:rPr>
        <w:t>such</w:t>
      </w:r>
      <w:r>
        <w:rPr>
          <w:color w:val="231F20"/>
          <w:spacing w:val="-1"/>
        </w:rPr>
        <w:t> </w:t>
      </w:r>
      <w:r>
        <w:rPr>
          <w:color w:val="231F20"/>
        </w:rPr>
        <w:t>as</w:t>
      </w:r>
      <w:r>
        <w:rPr>
          <w:color w:val="231F20"/>
          <w:spacing w:val="-1"/>
        </w:rPr>
        <w:t> </w:t>
      </w:r>
      <w:r>
        <w:rPr>
          <w:color w:val="231F20"/>
        </w:rPr>
        <w:t>Algeria,</w:t>
      </w:r>
      <w:r>
        <w:rPr>
          <w:color w:val="231F20"/>
          <w:spacing w:val="-2"/>
        </w:rPr>
        <w:t> </w:t>
      </w:r>
      <w:r>
        <w:rPr>
          <w:color w:val="231F20"/>
        </w:rPr>
        <w:t>Austria, Brazil, China, Hong Kong, India, Indonesia, Jordan, Korea, Malaysia, Mexico, Pakistan, Thailand, Tunisia, United Kingdom. For a high quality proceedings, All the papers were evaluated by peer reviewing with minor modifications,</w:t>
      </w:r>
      <w:r>
        <w:rPr>
          <w:color w:val="231F20"/>
          <w:spacing w:val="80"/>
        </w:rPr>
        <w:t> </w:t>
      </w:r>
      <w:r>
        <w:rPr>
          <w:color w:val="231F20"/>
        </w:rPr>
        <w:t>more than 55 papers were accepted partly with modifications and 25 papers were weakly accepted and 10 papers were rejected. At last more than 40 selected</w:t>
      </w:r>
      <w:r>
        <w:rPr>
          <w:color w:val="231F20"/>
          <w:spacing w:val="40"/>
        </w:rPr>
        <w:t> </w:t>
      </w:r>
      <w:r>
        <w:rPr>
          <w:color w:val="231F20"/>
        </w:rPr>
        <w:t>papers in this proceedings provides up-to-date, comprehensive and worldwide</w:t>
      </w:r>
      <w:r>
        <w:rPr>
          <w:color w:val="231F20"/>
          <w:spacing w:val="80"/>
        </w:rPr>
        <w:t> </w:t>
      </w:r>
      <w:r>
        <w:rPr>
          <w:color w:val="231F20"/>
        </w:rPr>
        <w:t>state-of-the technology and knowledge in Parallel and Distributed Computing and Systems.</w:t>
      </w:r>
    </w:p>
    <w:p>
      <w:pPr>
        <w:pStyle w:val="BodyText"/>
      </w:pPr>
    </w:p>
    <w:p>
      <w:pPr>
        <w:pStyle w:val="BodyText"/>
        <w:ind w:left="543" w:right="432"/>
        <w:jc w:val="both"/>
      </w:pPr>
      <w:r>
        <w:rPr>
          <w:color w:val="231F20"/>
        </w:rPr>
        <w:t>After the excellent keynote presentations on May 1st, authors from different countries and areas participated warmly discussions for their viewpoints with dividing into 4 sessions by paper topics: 1) 16 papers stress on the technologies and applications of</w:t>
      </w:r>
      <w:r>
        <w:rPr>
          <w:color w:val="231F20"/>
          <w:spacing w:val="78"/>
        </w:rPr>
        <w:t> </w:t>
      </w:r>
      <w:r>
        <w:rPr>
          <w:color w:val="231F20"/>
        </w:rPr>
        <w:t>Parallel and Distributed Computing and Systems in Communication and sensor network; 2)</w:t>
      </w:r>
      <w:r>
        <w:rPr>
          <w:color w:val="231F20"/>
          <w:spacing w:val="78"/>
        </w:rPr>
        <w:t> </w:t>
      </w:r>
      <w:r>
        <w:rPr>
          <w:color w:val="231F20"/>
        </w:rPr>
        <w:t>12 papers talk about the advanced theories and achievement in “Distributed and Parallel Computing”; 3)</w:t>
      </w:r>
      <w:r>
        <w:rPr>
          <w:color w:val="231F20"/>
          <w:spacing w:val="40"/>
        </w:rPr>
        <w:t> </w:t>
      </w:r>
      <w:r>
        <w:rPr>
          <w:color w:val="231F20"/>
        </w:rPr>
        <w:t>11 papers shared their research about Parallel and Distributed Computing in Computer and Internet Application. 4)</w:t>
      </w:r>
      <w:r>
        <w:rPr>
          <w:color w:val="231F20"/>
          <w:spacing w:val="40"/>
        </w:rPr>
        <w:t> </w:t>
      </w:r>
      <w:r>
        <w:rPr>
          <w:color w:val="231F20"/>
        </w:rPr>
        <w:t>2 papers is about III.Mobile and Embedded Systems.</w:t>
      </w:r>
    </w:p>
    <w:p>
      <w:pPr>
        <w:pStyle w:val="BodyText"/>
      </w:pPr>
    </w:p>
    <w:p>
      <w:pPr>
        <w:pStyle w:val="BodyText"/>
        <w:spacing w:before="1"/>
        <w:ind w:left="543" w:right="431" w:firstLine="45"/>
        <w:jc w:val="both"/>
      </w:pPr>
      <w:r>
        <w:rPr>
          <w:color w:val="231F20"/>
        </w:rPr>
        <w:t>The Conference Committee has decided to publish the American Applied Sciences Research Institute Procedia of</w:t>
      </w:r>
      <w:r>
        <w:rPr>
          <w:color w:val="231F20"/>
          <w:spacing w:val="40"/>
        </w:rPr>
        <w:t> </w:t>
      </w:r>
      <w:r>
        <w:rPr>
          <w:color w:val="231F20"/>
        </w:rPr>
        <w:t>Elsevier Ltd, which will be submitted for indexing of ScienceDirect ,Scopus and others</w:t>
      </w:r>
      <w:r>
        <w:rPr>
          <w:color w:val="231F20"/>
          <w:spacing w:val="40"/>
        </w:rPr>
        <w:t> </w:t>
      </w:r>
      <w:r>
        <w:rPr>
          <w:color w:val="231F20"/>
        </w:rPr>
        <w:t>famous academic databases.</w:t>
      </w:r>
    </w:p>
    <w:p>
      <w:pPr>
        <w:pStyle w:val="BodyText"/>
        <w:spacing w:before="206"/>
        <w:ind w:left="543" w:right="428"/>
        <w:jc w:val="both"/>
      </w:pPr>
      <w:r>
        <w:rPr>
          <w:color w:val="231F20"/>
        </w:rPr>
        <w:t>The committee expresses its entire gratitude to all the authors who presented their works as the Conference DCS2013 and contributed in this way to the success of this event. Special thanks are due to the authors from many countries for</w:t>
      </w:r>
      <w:r>
        <w:rPr>
          <w:color w:val="231F20"/>
          <w:spacing w:val="40"/>
        </w:rPr>
        <w:t> </w:t>
      </w:r>
      <w:r>
        <w:rPr>
          <w:color w:val="231F20"/>
        </w:rPr>
        <w:t>attending the conference and to the reviewers for their support in improving the quality of the papers and finally for the assurance the quality of this volume. The organizing committee also addresses warmest thanks to all the members of the international committee for their support, and too many others for their contribution in organizing DCS2013 .</w:t>
      </w:r>
    </w:p>
    <w:p>
      <w:pPr>
        <w:pStyle w:val="BodyText"/>
      </w:pPr>
    </w:p>
    <w:p>
      <w:pPr>
        <w:pStyle w:val="BodyText"/>
        <w:ind w:left="543" w:right="432"/>
        <w:jc w:val="both"/>
      </w:pPr>
      <w:r>
        <w:rPr>
          <w:color w:val="231F20"/>
        </w:rPr>
        <w:t>We hope that</w:t>
      </w:r>
      <w:r>
        <w:rPr>
          <w:color w:val="231F20"/>
          <w:spacing w:val="-1"/>
        </w:rPr>
        <w:t> </w:t>
      </w:r>
      <w:r>
        <w:rPr>
          <w:color w:val="231F20"/>
        </w:rPr>
        <w:t>the contents of</w:t>
      </w:r>
      <w:r>
        <w:rPr>
          <w:color w:val="231F20"/>
          <w:spacing w:val="-1"/>
        </w:rPr>
        <w:t> </w:t>
      </w:r>
      <w:r>
        <w:rPr>
          <w:color w:val="231F20"/>
        </w:rPr>
        <w:t>this volume will prove useful</w:t>
      </w:r>
      <w:r>
        <w:rPr>
          <w:color w:val="231F20"/>
          <w:spacing w:val="-2"/>
        </w:rPr>
        <w:t> </w:t>
      </w:r>
      <w:r>
        <w:rPr>
          <w:color w:val="231F20"/>
        </w:rPr>
        <w:t>for</w:t>
      </w:r>
      <w:r>
        <w:rPr>
          <w:color w:val="231F20"/>
          <w:spacing w:val="-1"/>
        </w:rPr>
        <w:t> </w:t>
      </w:r>
      <w:r>
        <w:rPr>
          <w:color w:val="231F20"/>
        </w:rPr>
        <w:t>researchers</w:t>
      </w:r>
      <w:r>
        <w:rPr>
          <w:color w:val="231F20"/>
          <w:spacing w:val="-1"/>
        </w:rPr>
        <w:t> </w:t>
      </w:r>
      <w:r>
        <w:rPr>
          <w:color w:val="231F20"/>
        </w:rPr>
        <w:t>in</w:t>
      </w:r>
      <w:r>
        <w:rPr>
          <w:color w:val="231F20"/>
          <w:spacing w:val="-1"/>
        </w:rPr>
        <w:t> </w:t>
      </w:r>
      <w:r>
        <w:rPr>
          <w:color w:val="231F20"/>
        </w:rPr>
        <w:t>Parallel and</w:t>
      </w:r>
      <w:r>
        <w:rPr>
          <w:color w:val="231F20"/>
          <w:spacing w:val="-1"/>
        </w:rPr>
        <w:t> </w:t>
      </w:r>
      <w:r>
        <w:rPr>
          <w:color w:val="231F20"/>
        </w:rPr>
        <w:t>Distributed Computing</w:t>
      </w:r>
      <w:r>
        <w:rPr>
          <w:color w:val="231F20"/>
          <w:spacing w:val="-1"/>
        </w:rPr>
        <w:t> </w:t>
      </w:r>
      <w:r>
        <w:rPr>
          <w:color w:val="231F20"/>
        </w:rPr>
        <w:t>field</w:t>
      </w:r>
      <w:r>
        <w:rPr>
          <w:color w:val="231F20"/>
          <w:spacing w:val="-1"/>
        </w:rPr>
        <w:t> </w:t>
      </w:r>
      <w:r>
        <w:rPr>
          <w:color w:val="231F20"/>
        </w:rPr>
        <w:t>and practitioners in developing and applying new theories and technologies .</w:t>
      </w:r>
    </w:p>
    <w:p>
      <w:pPr>
        <w:pStyle w:val="BodyText"/>
        <w:spacing w:before="207"/>
        <w:ind w:left="543"/>
        <w:jc w:val="both"/>
      </w:pPr>
      <w:r>
        <w:rPr>
          <w:color w:val="231F20"/>
        </w:rPr>
        <w:t>Wei </w:t>
      </w:r>
      <w:r>
        <w:rPr>
          <w:color w:val="231F20"/>
          <w:spacing w:val="-4"/>
        </w:rPr>
        <w:t>Deng</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9"/>
        <w:rPr>
          <w:sz w:val="16"/>
        </w:rPr>
      </w:pPr>
    </w:p>
    <w:p>
      <w:pPr>
        <w:spacing w:line="259" w:lineRule="auto" w:before="0"/>
        <w:ind w:left="103" w:right="2485"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 </w:t>
      </w:r>
      <w:r>
        <w:rPr>
          <w:sz w:val="16"/>
        </w:rPr>
        <w:t>Open access under</w:t>
      </w:r>
      <w:r>
        <w:rPr>
          <w:spacing w:val="-1"/>
          <w:sz w:val="16"/>
        </w:rPr>
        <w:t> </w:t>
      </w:r>
      <w:hyperlink r:id="rId8">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doi:10.1016/j.aasri.2013.10.050</w:t>
      </w:r>
    </w:p>
    <w:sectPr>
      <w:type w:val="continuous"/>
      <w:pgSz w:w="10890" w:h="14860"/>
      <w:pgMar w:top="78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spacing w:before="70"/>
      <w:ind w:right="915"/>
      <w:jc w:val="center"/>
    </w:pPr>
    <w:rPr>
      <w:rFonts w:ascii="Trebuchet MS" w:hAnsi="Trebuchet MS" w:eastAsia="Trebuchet MS" w:cs="Trebuchet MS"/>
      <w:b/>
      <w:bCs/>
      <w:sz w:val="33"/>
      <w:szCs w:val="33"/>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sciencedirect.com/" TargetMode="External"/><Relationship Id="rId8" Type="http://schemas.openxmlformats.org/officeDocument/2006/relationships/hyperlink" Target="http://creativecommons.org/licenses/by-nc-nd/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Deng</dc:creator>
  <dc:subject>AASRI Procedia, 5 (2013) 1. doi:10.1016/j.aasri.2013.10.050</dc:subject>
  <dc:title>Preface</dc:title>
  <dcterms:created xsi:type="dcterms:W3CDTF">2023-11-25T07:08:45Z</dcterms:created>
  <dcterms:modified xsi:type="dcterms:W3CDTF">2023-11-25T07:08:45Z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10.1016/j.aasri.2013.10.050</vt:lpwstr>
  </property>
  <property fmtid="{D5CDD505-2E9C-101B-9397-08002B2CF9AE}" pid="8" name="robots">
    <vt:lpwstr>noindex</vt:lpwstr>
  </property>
</Properties>
</file>