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Abstract Interpretation Based Verification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Logic</w:t>
      </w:r>
      <w:r>
        <w:rPr>
          <w:spacing w:val="-5"/>
        </w:rPr>
        <w:t> </w:t>
      </w:r>
      <w:r>
        <w:rPr>
          <w:spacing w:val="-2"/>
        </w:rPr>
        <w:t>Programs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4" w:right="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Giorgio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4"/>
          <w:sz w:val="24"/>
        </w:rPr>
        <w:t>Levi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4"/>
        <w:jc w:val="both"/>
      </w:pPr>
      <w:r>
        <w:rPr/>
        <w:t>The talk is an overview of our results on the application of abstract interpretation concepts to various</w:t>
      </w:r>
      <w:r>
        <w:rPr>
          <w:spacing w:val="-15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logic</w:t>
      </w:r>
      <w:r>
        <w:rPr>
          <w:spacing w:val="-14"/>
        </w:rPr>
        <w:t> </w:t>
      </w:r>
      <w:r>
        <w:rPr/>
        <w:t>programs.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systematic</w:t>
      </w:r>
      <w:r>
        <w:rPr>
          <w:spacing w:val="-15"/>
        </w:rPr>
        <w:t> </w:t>
      </w:r>
      <w:r>
        <w:rPr/>
        <w:t>design of semantics modeling various proof methods and the characterization of assertions as abstract </w:t>
      </w:r>
      <w:r>
        <w:rPr>
          <w:spacing w:val="-2"/>
        </w:rPr>
        <w:t>domains.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82717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13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4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10.1016/S1571-0661(05)80052-</w:t>
      </w:r>
      <w:r>
        <w:rPr>
          <w:spacing w:val="-10"/>
        </w:rPr>
        <w:t>0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3" w:right="1104" w:hanging="1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2023-12-10T12:09:02Z</dcterms:created>
  <dcterms:modified xsi:type="dcterms:W3CDTF">2023-12-10T12:09:02Z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