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Default Extension="jpeg" ContentType="image/jpe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7"/>
        <w:rPr>
          <w:rFonts w:ascii="Times New Roman"/>
          <w:sz w:val="20"/>
        </w:rPr>
      </w:pPr>
    </w:p>
    <w:p>
      <w:pPr>
        <w:pStyle w:val="BodyText"/>
        <w:spacing w:line="20" w:lineRule="exact"/>
        <w:ind w:left="237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5220335" cy="3810"/>
                <wp:effectExtent l="9525" t="0" r="0" b="5715"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5220335" cy="3810"/>
                          <a:chExt cx="5220335" cy="381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1765"/>
                            <a:ext cx="5220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0335" h="0">
                                <a:moveTo>
                                  <a:pt x="0" y="0"/>
                                </a:moveTo>
                                <a:lnTo>
                                  <a:pt x="5220004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1.05pt;height:.3pt;mso-position-horizontal-relative:char;mso-position-vertical-relative:line" id="docshapegroup4" coordorigin="0,0" coordsize="8221,6">
                <v:line style="position:absolute" from="0,3" to="8220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before="91"/>
        <w:ind w:left="241" w:right="0" w:firstLine="0"/>
        <w:jc w:val="left"/>
        <w:rPr>
          <w:rFonts w:ascii="Umpush"/>
          <w:b w:val="0"/>
          <w:sz w:val="14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658622</wp:posOffset>
            </wp:positionH>
            <wp:positionV relativeFrom="paragraph">
              <wp:posOffset>246532</wp:posOffset>
            </wp:positionV>
            <wp:extent cx="719990" cy="795337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90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658622</wp:posOffset>
                </wp:positionH>
                <wp:positionV relativeFrom="paragraph">
                  <wp:posOffset>1205477</wp:posOffset>
                </wp:positionV>
                <wp:extent cx="6311265" cy="60960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631126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60960">
                              <a:moveTo>
                                <a:pt x="6310655" y="0"/>
                              </a:moveTo>
                              <a:lnTo>
                                <a:pt x="0" y="0"/>
                              </a:lnTo>
                              <a:lnTo>
                                <a:pt x="0" y="60839"/>
                              </a:lnTo>
                              <a:lnTo>
                                <a:pt x="6310655" y="60839"/>
                              </a:lnTo>
                              <a:lnTo>
                                <a:pt x="63106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60001pt;margin-top:94.919502pt;width:496.902pt;height:4.7905pt;mso-position-horizontal-relative:page;mso-position-vertical-relative:paragraph;z-index:-15727616;mso-wrap-distance-left:0;mso-wrap-distance-right:0" id="docshape5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6073305</wp:posOffset>
            </wp:positionH>
            <wp:positionV relativeFrom="paragraph">
              <wp:posOffset>-24282</wp:posOffset>
            </wp:positionV>
            <wp:extent cx="899160" cy="1133855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1783258</wp:posOffset>
                </wp:positionH>
                <wp:positionV relativeFrom="paragraph">
                  <wp:posOffset>89477</wp:posOffset>
                </wp:positionV>
                <wp:extent cx="4104004" cy="1026160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4104004" cy="102616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53"/>
                              <w:ind w:left="20" w:right="20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699D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24"/>
                              <w:ind w:left="20" w:right="26" w:firstLine="0"/>
                              <w:jc w:val="center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E9900"/>
                                <w:spacing w:val="-4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184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6" w:right="6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hyperlink r:id="rId10">
                              <w:r>
                                <w:rPr>
                                  <w:rFonts w:ascii="Verdana"/>
                                  <w:color w:val="00699D"/>
                                  <w:spacing w:val="10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414017pt;margin-top:7.0455pt;width:323.150pt;height:80.8pt;mso-position-horizontal-relative:page;mso-position-vertical-relative:paragraph;z-index:15733760" type="#_x0000_t202" id="docshape6" filled="true" fillcolor="#e6e7e8" stroked="false">
                <v:textbox inset="0,0,0,0">
                  <w:txbxContent>
                    <w:p>
                      <w:pPr>
                        <w:spacing w:before="53"/>
                        <w:ind w:left="20" w:right="20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231F2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5"/>
                          <w:sz w:val="18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699D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24"/>
                        <w:ind w:left="20" w:right="26" w:firstLine="0"/>
                        <w:jc w:val="center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b/>
                          <w:color w:val="0E9900"/>
                          <w:spacing w:val="-4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184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26" w:right="6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journal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homepage: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hyperlink r:id="rId10">
                        <w:r>
                          <w:rPr>
                            <w:rFonts w:ascii="Verdana"/>
                            <w:color w:val="00699D"/>
                            <w:spacing w:val="10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Umpush"/>
          <w:b w:val="0"/>
          <w:color w:val="FFFFFF"/>
          <w:spacing w:val="37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3B3D40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3B3D40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3B3D40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3B3D40" w:color="auto" w:val="clear"/>
        </w:rPr>
        <w:t> </w:t>
      </w:r>
    </w:p>
    <w:p>
      <w:pPr>
        <w:pStyle w:val="BodyText"/>
        <w:spacing w:before="8"/>
        <w:rPr>
          <w:rFonts w:ascii="Umpush"/>
          <w:b w:val="0"/>
          <w:sz w:val="12"/>
        </w:rPr>
      </w:pPr>
    </w:p>
    <w:p>
      <w:pPr>
        <w:spacing w:before="160"/>
        <w:ind w:left="237" w:right="0" w:firstLine="0"/>
        <w:jc w:val="left"/>
        <w:rPr>
          <w:b/>
          <w:sz w:val="24"/>
        </w:rPr>
      </w:pPr>
      <w:bookmarkStart w:name=" Effects of two weeks  administration of" w:id="1"/>
      <w:bookmarkEnd w:id="1"/>
      <w:r>
        <w:rPr/>
      </w:r>
      <w:r>
        <w:rPr>
          <w:b/>
          <w:color w:val="231F20"/>
          <w:spacing w:val="-4"/>
          <w:sz w:val="24"/>
        </w:rPr>
        <w:t>Full</w:t>
      </w:r>
      <w:r>
        <w:rPr>
          <w:b/>
          <w:color w:val="231F20"/>
          <w:spacing w:val="3"/>
          <w:sz w:val="24"/>
        </w:rPr>
        <w:t> </w:t>
      </w:r>
      <w:r>
        <w:rPr>
          <w:b/>
          <w:color w:val="231F20"/>
          <w:spacing w:val="-4"/>
          <w:sz w:val="24"/>
        </w:rPr>
        <w:t>Length</w:t>
      </w:r>
      <w:r>
        <w:rPr>
          <w:b/>
          <w:color w:val="231F20"/>
          <w:spacing w:val="-1"/>
          <w:sz w:val="24"/>
        </w:rPr>
        <w:t> </w:t>
      </w:r>
      <w:r>
        <w:rPr>
          <w:b/>
          <w:color w:val="231F20"/>
          <w:spacing w:val="-4"/>
          <w:sz w:val="24"/>
        </w:rPr>
        <w:t>Article</w:t>
      </w:r>
    </w:p>
    <w:p>
      <w:pPr>
        <w:spacing w:line="290" w:lineRule="auto" w:before="213"/>
        <w:ind w:left="237" w:right="2272" w:firstLine="0"/>
        <w:jc w:val="left"/>
        <w:rPr>
          <w:b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6147485</wp:posOffset>
                </wp:positionH>
                <wp:positionV relativeFrom="paragraph">
                  <wp:posOffset>125517</wp:posOffset>
                </wp:positionV>
                <wp:extent cx="840105" cy="361315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840105" cy="361315"/>
                          <a:chExt cx="840105" cy="361315"/>
                        </a:xfrm>
                      </wpg:grpSpPr>
                      <pic:pic>
                        <pic:nvPicPr>
                          <pic:cNvPr id="12" name="Image 12">
                            <a:hlinkClick r:id="rId12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7" cy="361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>
                            <a:hlinkClick r:id="rId12"/>
                          </pic:cNvPr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79" y="146532"/>
                            <a:ext cx="473849" cy="81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4.053986pt;margin-top:9.883234pt;width:66.150pt;height:28.45pt;mso-position-horizontal-relative:page;mso-position-vertical-relative:paragraph;z-index:15732736" id="docshapegroup7" coordorigin="9681,198" coordsize="1323,569">
                <v:shape style="position:absolute;left:9681;top:197;width:560;height:569" type="#_x0000_t75" id="docshape8" href="http://crossmark.crossref.org/dialog/?doi=10.1016/j.ejbas.2016.07.002&amp;domain=pdf" stroked="false">
                  <v:imagedata r:id="rId11" o:title=""/>
                </v:shape>
                <v:shape style="position:absolute;left:10257;top:428;width:747;height:128" type="#_x0000_t75" id="docshape9" href="http://crossmark.crossref.org/dialog/?doi=10.1016/j.ejbas.2016.07.002&amp;domain=pdf" stroked="false">
                  <v:imagedata r:id="rId13" o:title=""/>
                </v:shape>
                <w10:wrap type="none"/>
              </v:group>
            </w:pict>
          </mc:Fallback>
        </mc:AlternateContent>
      </w:r>
      <w:r>
        <w:rPr>
          <w:b/>
          <w:color w:val="231F20"/>
          <w:sz w:val="32"/>
        </w:rPr>
        <w:t>Effects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of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two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weeks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administration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of</w:t>
      </w:r>
      <w:r>
        <w:rPr>
          <w:b/>
          <w:color w:val="231F20"/>
          <w:spacing w:val="-20"/>
          <w:sz w:val="32"/>
        </w:rPr>
        <w:t> </w:t>
      </w:r>
      <w:r>
        <w:rPr>
          <w:b/>
          <w:i/>
          <w:color w:val="231F20"/>
          <w:sz w:val="32"/>
        </w:rPr>
        <w:t>Ocimum</w:t>
      </w:r>
      <w:r>
        <w:rPr>
          <w:b/>
          <w:i/>
          <w:color w:val="231F20"/>
          <w:sz w:val="32"/>
        </w:rPr>
        <w:t> </w:t>
      </w:r>
      <w:r>
        <w:rPr>
          <w:b/>
          <w:i/>
          <w:color w:val="231F20"/>
          <w:spacing w:val="-8"/>
          <w:sz w:val="32"/>
        </w:rPr>
        <w:t>gratissimum</w:t>
      </w:r>
      <w:r>
        <w:rPr>
          <w:b/>
          <w:i/>
          <w:color w:val="231F20"/>
          <w:spacing w:val="-9"/>
          <w:sz w:val="32"/>
        </w:rPr>
        <w:t> </w:t>
      </w:r>
      <w:r>
        <w:rPr>
          <w:b/>
          <w:color w:val="231F20"/>
          <w:spacing w:val="-8"/>
          <w:sz w:val="32"/>
        </w:rPr>
        <w:t>leaf</w:t>
      </w:r>
      <w:r>
        <w:rPr>
          <w:b/>
          <w:color w:val="231F20"/>
          <w:spacing w:val="-9"/>
          <w:sz w:val="32"/>
        </w:rPr>
        <w:t> </w:t>
      </w:r>
      <w:r>
        <w:rPr>
          <w:b/>
          <w:color w:val="231F20"/>
          <w:spacing w:val="-8"/>
          <w:sz w:val="32"/>
        </w:rPr>
        <w:t>on</w:t>
      </w:r>
      <w:r>
        <w:rPr>
          <w:b/>
          <w:color w:val="231F20"/>
          <w:spacing w:val="-9"/>
          <w:sz w:val="32"/>
        </w:rPr>
        <w:t> </w:t>
      </w:r>
      <w:r>
        <w:rPr>
          <w:b/>
          <w:color w:val="231F20"/>
          <w:spacing w:val="-8"/>
          <w:sz w:val="32"/>
        </w:rPr>
        <w:t>feeding</w:t>
      </w:r>
      <w:r>
        <w:rPr>
          <w:b/>
          <w:color w:val="231F20"/>
          <w:spacing w:val="-9"/>
          <w:sz w:val="32"/>
        </w:rPr>
        <w:t> </w:t>
      </w:r>
      <w:r>
        <w:rPr>
          <w:b/>
          <w:color w:val="231F20"/>
          <w:spacing w:val="-8"/>
          <w:sz w:val="32"/>
        </w:rPr>
        <w:t>pattern</w:t>
      </w:r>
      <w:r>
        <w:rPr>
          <w:b/>
          <w:color w:val="231F20"/>
          <w:spacing w:val="-9"/>
          <w:sz w:val="32"/>
        </w:rPr>
        <w:t> </w:t>
      </w:r>
      <w:r>
        <w:rPr>
          <w:b/>
          <w:color w:val="231F20"/>
          <w:spacing w:val="-8"/>
          <w:sz w:val="32"/>
        </w:rPr>
        <w:t>and</w:t>
      </w:r>
      <w:r>
        <w:rPr>
          <w:b/>
          <w:color w:val="231F20"/>
          <w:spacing w:val="-9"/>
          <w:sz w:val="32"/>
        </w:rPr>
        <w:t> </w:t>
      </w:r>
      <w:r>
        <w:rPr>
          <w:b/>
          <w:color w:val="231F20"/>
          <w:spacing w:val="-8"/>
          <w:sz w:val="32"/>
        </w:rPr>
        <w:t>markers </w:t>
      </w:r>
      <w:r>
        <w:rPr>
          <w:b/>
          <w:color w:val="231F20"/>
          <w:sz w:val="32"/>
        </w:rPr>
        <w:t>of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renal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function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in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rats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treated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with</w:t>
      </w:r>
      <w:r>
        <w:rPr>
          <w:b/>
          <w:color w:val="231F20"/>
          <w:spacing w:val="-20"/>
          <w:sz w:val="32"/>
        </w:rPr>
        <w:t> </w:t>
      </w:r>
      <w:r>
        <w:rPr>
          <w:b/>
          <w:color w:val="231F20"/>
          <w:sz w:val="32"/>
        </w:rPr>
        <w:t>gentamicin</w:t>
      </w:r>
    </w:p>
    <w:p>
      <w:pPr>
        <w:spacing w:before="310"/>
        <w:ind w:left="237" w:right="0" w:firstLine="0"/>
        <w:jc w:val="left"/>
        <w:rPr>
          <w:b/>
          <w:i/>
          <w:sz w:val="24"/>
        </w:rPr>
      </w:pPr>
      <w:r>
        <w:rPr>
          <w:b/>
          <w:i/>
          <w:color w:val="231F20"/>
          <w:w w:val="85"/>
          <w:sz w:val="24"/>
        </w:rPr>
        <w:t>Dare</w:t>
      </w:r>
      <w:r>
        <w:rPr>
          <w:b/>
          <w:i/>
          <w:color w:val="231F20"/>
          <w:spacing w:val="9"/>
          <w:sz w:val="24"/>
        </w:rPr>
        <w:t> </w:t>
      </w:r>
      <w:r>
        <w:rPr>
          <w:b/>
          <w:i/>
          <w:color w:val="231F20"/>
          <w:w w:val="85"/>
          <w:sz w:val="24"/>
        </w:rPr>
        <w:t>J.</w:t>
      </w:r>
      <w:r>
        <w:rPr>
          <w:b/>
          <w:i/>
          <w:color w:val="231F20"/>
          <w:spacing w:val="10"/>
          <w:sz w:val="24"/>
        </w:rPr>
        <w:t> </w:t>
      </w:r>
      <w:r>
        <w:rPr>
          <w:b/>
          <w:i/>
          <w:color w:val="231F20"/>
          <w:w w:val="85"/>
          <w:sz w:val="24"/>
        </w:rPr>
        <w:t>Ogundipe</w:t>
      </w:r>
      <w:r>
        <w:rPr>
          <w:b/>
          <w:i/>
          <w:color w:val="231F20"/>
          <w:spacing w:val="10"/>
          <w:sz w:val="24"/>
        </w:rPr>
        <w:t> </w:t>
      </w:r>
      <w:hyperlink w:history="true" w:anchor="_bookmark0">
        <w:r>
          <w:rPr>
            <w:b/>
            <w:i/>
            <w:color w:val="00699D"/>
            <w:w w:val="85"/>
            <w:sz w:val="24"/>
            <w:vertAlign w:val="superscript"/>
          </w:rPr>
          <w:t>a</w:t>
        </w:r>
      </w:hyperlink>
      <w:r>
        <w:rPr>
          <w:b/>
          <w:i/>
          <w:color w:val="231F20"/>
          <w:w w:val="85"/>
          <w:sz w:val="24"/>
          <w:vertAlign w:val="superscript"/>
        </w:rPr>
        <w:t>,</w:t>
      </w:r>
      <w:hyperlink w:history="true" w:anchor="_bookmark3">
        <w:r>
          <w:rPr>
            <w:b/>
            <w:i/>
            <w:color w:val="00699D"/>
            <w:w w:val="85"/>
            <w:sz w:val="24"/>
            <w:vertAlign w:val="baseline"/>
          </w:rPr>
          <w:t>*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pacing w:val="2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Rufus</w:t>
      </w:r>
      <w:r>
        <w:rPr>
          <w:b/>
          <w:i/>
          <w:color w:val="231F20"/>
          <w:spacing w:val="10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O.</w:t>
      </w:r>
      <w:r>
        <w:rPr>
          <w:b/>
          <w:i/>
          <w:color w:val="231F20"/>
          <w:spacing w:val="9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Akomolafe</w:t>
      </w:r>
      <w:r>
        <w:rPr>
          <w:b/>
          <w:i/>
          <w:color w:val="231F20"/>
          <w:spacing w:val="10"/>
          <w:sz w:val="24"/>
          <w:vertAlign w:val="baseline"/>
        </w:rPr>
        <w:t> </w:t>
      </w:r>
      <w:hyperlink w:history="true" w:anchor="_bookmark0">
        <w:r>
          <w:rPr>
            <w:b/>
            <w:i/>
            <w:color w:val="00699D"/>
            <w:w w:val="85"/>
            <w:sz w:val="24"/>
            <w:vertAlign w:val="superscript"/>
          </w:rPr>
          <w:t>a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pacing w:val="2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Abubarkar</w:t>
      </w:r>
      <w:r>
        <w:rPr>
          <w:b/>
          <w:i/>
          <w:color w:val="231F20"/>
          <w:spacing w:val="2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A.</w:t>
      </w:r>
      <w:r>
        <w:rPr>
          <w:b/>
          <w:i/>
          <w:color w:val="231F20"/>
          <w:spacing w:val="10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Sanusi</w:t>
      </w:r>
      <w:r>
        <w:rPr>
          <w:b/>
          <w:i/>
          <w:color w:val="231F20"/>
          <w:spacing w:val="9"/>
          <w:sz w:val="24"/>
          <w:vertAlign w:val="baseline"/>
        </w:rPr>
        <w:t> </w:t>
      </w:r>
      <w:hyperlink w:history="true" w:anchor="_bookmark1">
        <w:r>
          <w:rPr>
            <w:b/>
            <w:i/>
            <w:color w:val="00699D"/>
            <w:spacing w:val="-5"/>
            <w:w w:val="85"/>
            <w:sz w:val="24"/>
            <w:vertAlign w:val="superscript"/>
          </w:rPr>
          <w:t>b</w:t>
        </w:r>
      </w:hyperlink>
      <w:r>
        <w:rPr>
          <w:b/>
          <w:i/>
          <w:color w:val="231F20"/>
          <w:spacing w:val="-5"/>
          <w:w w:val="85"/>
          <w:sz w:val="24"/>
          <w:vertAlign w:val="baseline"/>
        </w:rPr>
        <w:t>,</w:t>
      </w:r>
    </w:p>
    <w:p>
      <w:pPr>
        <w:spacing w:before="27"/>
        <w:ind w:left="237" w:right="0" w:firstLine="0"/>
        <w:jc w:val="left"/>
        <w:rPr>
          <w:b/>
          <w:i/>
          <w:sz w:val="24"/>
        </w:rPr>
      </w:pPr>
      <w:r>
        <w:rPr>
          <w:b/>
          <w:i/>
          <w:color w:val="231F20"/>
          <w:w w:val="85"/>
          <w:sz w:val="24"/>
        </w:rPr>
        <w:t>Christian</w:t>
      </w:r>
      <w:r>
        <w:rPr>
          <w:b/>
          <w:i/>
          <w:color w:val="231F20"/>
          <w:spacing w:val="7"/>
          <w:sz w:val="24"/>
        </w:rPr>
        <w:t> </w:t>
      </w:r>
      <w:r>
        <w:rPr>
          <w:b/>
          <w:i/>
          <w:color w:val="231F20"/>
          <w:w w:val="85"/>
          <w:sz w:val="24"/>
        </w:rPr>
        <w:t>E.</w:t>
      </w:r>
      <w:r>
        <w:rPr>
          <w:b/>
          <w:i/>
          <w:color w:val="231F20"/>
          <w:spacing w:val="8"/>
          <w:sz w:val="24"/>
        </w:rPr>
        <w:t> </w:t>
      </w:r>
      <w:r>
        <w:rPr>
          <w:b/>
          <w:i/>
          <w:color w:val="231F20"/>
          <w:w w:val="85"/>
          <w:sz w:val="24"/>
        </w:rPr>
        <w:t>Imafidon</w:t>
      </w:r>
      <w:r>
        <w:rPr>
          <w:b/>
          <w:i/>
          <w:color w:val="231F20"/>
          <w:spacing w:val="7"/>
          <w:sz w:val="24"/>
        </w:rPr>
        <w:t> </w:t>
      </w:r>
      <w:hyperlink w:history="true" w:anchor="_bookmark0">
        <w:r>
          <w:rPr>
            <w:b/>
            <w:i/>
            <w:color w:val="00699D"/>
            <w:w w:val="85"/>
            <w:sz w:val="24"/>
            <w:vertAlign w:val="superscript"/>
          </w:rPr>
          <w:t>a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Olaoluwa</w:t>
      </w:r>
      <w:r>
        <w:rPr>
          <w:b/>
          <w:i/>
          <w:color w:val="231F20"/>
          <w:spacing w:val="7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S.</w:t>
      </w:r>
      <w:r>
        <w:rPr>
          <w:b/>
          <w:i/>
          <w:color w:val="231F20"/>
          <w:spacing w:val="8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Olukiran</w:t>
      </w:r>
      <w:r>
        <w:rPr>
          <w:b/>
          <w:i/>
          <w:color w:val="231F20"/>
          <w:spacing w:val="7"/>
          <w:sz w:val="24"/>
          <w:vertAlign w:val="baseline"/>
        </w:rPr>
        <w:t> </w:t>
      </w:r>
      <w:hyperlink w:history="true" w:anchor="_bookmark0">
        <w:r>
          <w:rPr>
            <w:b/>
            <w:i/>
            <w:color w:val="00699D"/>
            <w:w w:val="85"/>
            <w:sz w:val="24"/>
            <w:vertAlign w:val="superscript"/>
          </w:rPr>
          <w:t>a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Ayowole</w:t>
      </w:r>
      <w:r>
        <w:rPr>
          <w:b/>
          <w:i/>
          <w:color w:val="231F20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A.</w:t>
      </w:r>
      <w:r>
        <w:rPr>
          <w:b/>
          <w:i/>
          <w:color w:val="231F20"/>
          <w:spacing w:val="7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Oladele</w:t>
      </w:r>
      <w:r>
        <w:rPr>
          <w:b/>
          <w:i/>
          <w:color w:val="231F20"/>
          <w:spacing w:val="8"/>
          <w:sz w:val="24"/>
          <w:vertAlign w:val="baseline"/>
        </w:rPr>
        <w:t> </w:t>
      </w:r>
      <w:hyperlink w:history="true" w:anchor="_bookmark2">
        <w:r>
          <w:rPr>
            <w:b/>
            <w:i/>
            <w:color w:val="00699D"/>
            <w:spacing w:val="-10"/>
            <w:w w:val="85"/>
            <w:sz w:val="24"/>
            <w:vertAlign w:val="superscript"/>
          </w:rPr>
          <w:t>c</w:t>
        </w:r>
      </w:hyperlink>
    </w:p>
    <w:p>
      <w:pPr>
        <w:spacing w:before="159"/>
        <w:ind w:left="237" w:right="0" w:firstLine="0"/>
        <w:jc w:val="left"/>
        <w:rPr>
          <w:i/>
          <w:sz w:val="16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6"/>
          <w:vertAlign w:val="superscript"/>
        </w:rPr>
        <w:t>a</w:t>
      </w:r>
      <w:r>
        <w:rPr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Department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Physiological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Sciences,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Faculty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Basic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Medical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Sciences,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Obafemi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Awolowo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University,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Ile-</w:t>
      </w:r>
      <w:r>
        <w:rPr>
          <w:i/>
          <w:color w:val="231F20"/>
          <w:spacing w:val="-4"/>
          <w:sz w:val="16"/>
          <w:vertAlign w:val="baseline"/>
        </w:rPr>
        <w:t>Ife,</w:t>
      </w:r>
    </w:p>
    <w:p>
      <w:pPr>
        <w:spacing w:before="48"/>
        <w:ind w:left="237" w:right="0" w:firstLine="0"/>
        <w:jc w:val="left"/>
        <w:rPr>
          <w:i/>
          <w:sz w:val="16"/>
        </w:rPr>
      </w:pPr>
      <w:bookmarkStart w:name="_bookmark1" w:id="3"/>
      <w:bookmarkEnd w:id="3"/>
      <w:r>
        <w:rPr/>
      </w:r>
      <w:r>
        <w:rPr>
          <w:i/>
          <w:color w:val="231F20"/>
          <w:sz w:val="16"/>
        </w:rPr>
        <w:t>Osun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State,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2"/>
          <w:sz w:val="16"/>
        </w:rPr>
        <w:t>Nigeria</w:t>
      </w:r>
    </w:p>
    <w:p>
      <w:pPr>
        <w:spacing w:before="48"/>
        <w:ind w:left="237" w:right="0" w:firstLine="0"/>
        <w:jc w:val="left"/>
        <w:rPr>
          <w:i/>
          <w:sz w:val="16"/>
        </w:rPr>
      </w:pPr>
      <w:r>
        <w:rPr>
          <w:color w:val="231F20"/>
          <w:spacing w:val="-2"/>
          <w:sz w:val="16"/>
          <w:vertAlign w:val="superscript"/>
        </w:rPr>
        <w:t>b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Department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Medicine,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Faculty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Clinical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Sciences,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Obafemi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Awolowo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University,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Ile-Ife,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Osun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State,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Nigeria</w:t>
      </w:r>
    </w:p>
    <w:p>
      <w:pPr>
        <w:spacing w:line="302" w:lineRule="auto" w:before="47"/>
        <w:ind w:left="237" w:right="2272" w:firstLine="0"/>
        <w:jc w:val="left"/>
        <w:rPr>
          <w:i/>
          <w:sz w:val="16"/>
        </w:rPr>
      </w:pPr>
      <w:bookmarkStart w:name="_bookmark2" w:id="4"/>
      <w:bookmarkEnd w:id="4"/>
      <w:r>
        <w:rPr/>
      </w:r>
      <w:r>
        <w:rPr>
          <w:color w:val="231F20"/>
          <w:spacing w:val="-2"/>
          <w:sz w:val="16"/>
          <w:vertAlign w:val="superscript"/>
        </w:rPr>
        <w:t>c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Department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Medical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Laboratory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Sciences,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College of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Medicine,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Afe Babalola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University,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Ado Ekiti,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Ekiti</w:t>
      </w:r>
      <w:r>
        <w:rPr>
          <w:i/>
          <w:color w:val="231F20"/>
          <w:spacing w:val="40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State,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Nigeria</w:t>
      </w:r>
    </w:p>
    <w:p>
      <w:pPr>
        <w:pStyle w:val="BodyText"/>
        <w:spacing w:before="8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658622</wp:posOffset>
                </wp:positionH>
                <wp:positionV relativeFrom="paragraph">
                  <wp:posOffset>85744</wp:posOffset>
                </wp:positionV>
                <wp:extent cx="6318250" cy="127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6.7515pt;width:497.5pt;height:.1pt;mso-position-horizontal-relative:page;mso-position-vertical-relative:paragraph;z-index:-15727104;mso-wrap-distance-left:0;mso-wrap-distance-right:0" id="docshape10" coordorigin="1037,135" coordsize="9950,0" path="m1037,135l10987,135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5"/>
        <w:rPr>
          <w:i/>
          <w:sz w:val="15"/>
        </w:rPr>
      </w:pPr>
    </w:p>
    <w:p>
      <w:pPr>
        <w:tabs>
          <w:tab w:pos="1645" w:val="left" w:leader="none"/>
          <w:tab w:pos="3553" w:val="left" w:leader="none"/>
        </w:tabs>
        <w:spacing w:before="0"/>
        <w:ind w:left="237" w:right="0" w:firstLine="0"/>
        <w:jc w:val="left"/>
        <w:rPr>
          <w:sz w:val="15"/>
        </w:rPr>
      </w:pPr>
      <w:r>
        <w:rPr>
          <w:color w:val="231F20"/>
          <w:spacing w:val="20"/>
          <w:sz w:val="15"/>
        </w:rPr>
        <w:t>A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R</w:t>
      </w:r>
      <w:r>
        <w:rPr>
          <w:color w:val="231F20"/>
          <w:spacing w:val="47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L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-10"/>
          <w:sz w:val="15"/>
        </w:rPr>
        <w:t>E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20"/>
          <w:sz w:val="15"/>
        </w:rPr>
        <w:t>N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F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-10"/>
          <w:sz w:val="15"/>
        </w:rPr>
        <w:t>O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A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B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S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R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A</w:t>
      </w:r>
      <w:r>
        <w:rPr>
          <w:color w:val="231F20"/>
          <w:spacing w:val="5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-10"/>
          <w:sz w:val="15"/>
        </w:rPr>
        <w:t>T</w:t>
      </w:r>
      <w:r>
        <w:rPr>
          <w:color w:val="231F20"/>
          <w:spacing w:val="40"/>
          <w:sz w:val="15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658622</wp:posOffset>
                </wp:positionH>
                <wp:positionV relativeFrom="paragraph">
                  <wp:posOffset>104661</wp:posOffset>
                </wp:positionV>
                <wp:extent cx="1692275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241043pt;width:133.25pt;height:.1pt;mso-position-horizontal-relative:page;mso-position-vertical-relative:paragraph;z-index:-15726592;mso-wrap-distance-left:0;mso-wrap-distance-right:0" id="docshape11" coordorigin="1037,165" coordsize="2665,0" path="m1037,165l3702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2764624</wp:posOffset>
                </wp:positionH>
                <wp:positionV relativeFrom="paragraph">
                  <wp:posOffset>104661</wp:posOffset>
                </wp:positionV>
                <wp:extent cx="4212590" cy="1270"/>
                <wp:effectExtent l="0" t="0" r="0" b="0"/>
                <wp:wrapTopAndBottom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4212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0">
                              <a:moveTo>
                                <a:pt x="0" y="0"/>
                              </a:moveTo>
                              <a:lnTo>
                                <a:pt x="421200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7.686996pt;margin-top:8.241043pt;width:331.7pt;height:.1pt;mso-position-horizontal-relative:page;mso-position-vertical-relative:paragraph;z-index:-15726080;mso-wrap-distance-left:0;mso-wrap-distance-right:0" id="docshape12" coordorigin="4354,165" coordsize="6634,0" path="m4354,165l10987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headerReference w:type="default" r:id="rId5"/>
          <w:headerReference w:type="even" r:id="rId6"/>
          <w:type w:val="continuous"/>
          <w:pgSz w:w="11910" w:h="15880"/>
          <w:pgMar w:header="622" w:footer="0" w:top="820" w:bottom="280" w:left="800" w:right="800"/>
          <w:pgNumType w:start="219"/>
        </w:sectPr>
      </w:pPr>
    </w:p>
    <w:p>
      <w:pPr>
        <w:spacing w:before="32"/>
        <w:ind w:left="237" w:right="0" w:firstLine="0"/>
        <w:jc w:val="left"/>
        <w:rPr>
          <w:i/>
          <w:sz w:val="15"/>
        </w:rPr>
      </w:pPr>
      <w:r>
        <w:rPr>
          <w:i/>
          <w:color w:val="231F20"/>
          <w:sz w:val="15"/>
        </w:rPr>
        <w:t>Article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history:</w:t>
      </w:r>
    </w:p>
    <w:p>
      <w:pPr>
        <w:spacing w:line="324" w:lineRule="auto" w:before="60"/>
        <w:ind w:left="237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Received 20 November 2015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Received in revised form 12 </w:t>
      </w:r>
      <w:r>
        <w:rPr>
          <w:color w:val="231F20"/>
          <w:w w:val="105"/>
          <w:sz w:val="15"/>
        </w:rPr>
        <w:t>July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spacing w:val="-4"/>
          <w:w w:val="105"/>
          <w:sz w:val="15"/>
        </w:rPr>
        <w:t>2016</w:t>
      </w:r>
    </w:p>
    <w:p>
      <w:pPr>
        <w:spacing w:line="169" w:lineRule="exact" w:before="0"/>
        <w:ind w:left="237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Accepted 12 July </w:t>
      </w:r>
      <w:r>
        <w:rPr>
          <w:color w:val="231F20"/>
          <w:spacing w:val="-4"/>
          <w:w w:val="110"/>
          <w:sz w:val="15"/>
        </w:rPr>
        <w:t>2016</w:t>
      </w:r>
    </w:p>
    <w:p>
      <w:pPr>
        <w:spacing w:before="59"/>
        <w:ind w:left="237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Available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online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19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July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pStyle w:val="BodyText"/>
        <w:spacing w:before="21"/>
        <w:rPr>
          <w:sz w:val="20"/>
        </w:rPr>
      </w:pPr>
    </w:p>
    <w:p>
      <w:pPr>
        <w:pStyle w:val="BodyText"/>
        <w:spacing w:line="20" w:lineRule="exact"/>
        <w:ind w:left="237" w:right="-36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9525" t="0" r="0" b="635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158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3" coordorigin="0,0" coordsize="2665,5">
                <v:line style="position:absolute" from="0,2" to="2665,2" stroked="true" strokeweight=".24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84"/>
        <w:ind w:left="237" w:right="0" w:firstLine="0"/>
        <w:jc w:val="left"/>
        <w:rPr>
          <w:i/>
          <w:sz w:val="15"/>
        </w:rPr>
      </w:pPr>
      <w:r>
        <w:rPr>
          <w:i/>
          <w:color w:val="231F20"/>
          <w:spacing w:val="-2"/>
          <w:sz w:val="15"/>
        </w:rPr>
        <w:t>Keywords:</w:t>
      </w:r>
    </w:p>
    <w:p>
      <w:pPr>
        <w:spacing w:line="324" w:lineRule="auto" w:before="59"/>
        <w:ind w:left="237" w:right="919" w:firstLine="0"/>
        <w:jc w:val="left"/>
        <w:rPr>
          <w:sz w:val="15"/>
        </w:rPr>
      </w:pPr>
      <w:r>
        <w:rPr>
          <w:i/>
          <w:color w:val="231F20"/>
          <w:spacing w:val="-2"/>
          <w:sz w:val="15"/>
        </w:rPr>
        <w:t>Ocimum</w:t>
      </w:r>
      <w:r>
        <w:rPr>
          <w:i/>
          <w:color w:val="231F20"/>
          <w:spacing w:val="-8"/>
          <w:sz w:val="15"/>
        </w:rPr>
        <w:t> </w:t>
      </w:r>
      <w:r>
        <w:rPr>
          <w:i/>
          <w:color w:val="231F20"/>
          <w:spacing w:val="-2"/>
          <w:sz w:val="15"/>
        </w:rPr>
        <w:t>gratissimum</w:t>
      </w:r>
      <w:r>
        <w:rPr>
          <w:i/>
          <w:color w:val="231F20"/>
          <w:spacing w:val="40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Gentamicin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Creatinine</w:t>
      </w:r>
    </w:p>
    <w:p>
      <w:pPr>
        <w:spacing w:line="324" w:lineRule="auto" w:before="0"/>
        <w:ind w:left="237" w:right="1673" w:firstLine="0"/>
        <w:jc w:val="left"/>
        <w:rPr>
          <w:sz w:val="15"/>
        </w:rPr>
      </w:pPr>
      <w:r>
        <w:rPr>
          <w:color w:val="231F20"/>
          <w:spacing w:val="-4"/>
          <w:w w:val="105"/>
          <w:sz w:val="15"/>
        </w:rPr>
        <w:t>Urea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Kidney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spacing w:val="-4"/>
          <w:w w:val="105"/>
          <w:sz w:val="15"/>
        </w:rPr>
        <w:t>Rat</w:t>
      </w:r>
    </w:p>
    <w:p>
      <w:pPr>
        <w:spacing w:line="324" w:lineRule="auto" w:before="32"/>
        <w:ind w:left="237" w:right="109" w:firstLine="0"/>
        <w:jc w:val="both"/>
        <w:rPr>
          <w:sz w:val="15"/>
        </w:rPr>
      </w:pPr>
      <w:r>
        <w:rPr/>
        <w:br w:type="column"/>
      </w:r>
      <w:r>
        <w:rPr>
          <w:color w:val="231F20"/>
          <w:w w:val="110"/>
          <w:sz w:val="15"/>
        </w:rPr>
        <w:t>This</w:t>
      </w:r>
      <w:r>
        <w:rPr>
          <w:color w:val="231F20"/>
          <w:w w:val="110"/>
          <w:sz w:val="15"/>
        </w:rPr>
        <w:t> study</w:t>
      </w:r>
      <w:r>
        <w:rPr>
          <w:color w:val="231F20"/>
          <w:w w:val="110"/>
          <w:sz w:val="15"/>
        </w:rPr>
        <w:t> investigated</w:t>
      </w:r>
      <w:r>
        <w:rPr>
          <w:color w:val="231F20"/>
          <w:w w:val="110"/>
          <w:sz w:val="15"/>
        </w:rPr>
        <w:t> the</w:t>
      </w:r>
      <w:r>
        <w:rPr>
          <w:color w:val="231F20"/>
          <w:w w:val="110"/>
          <w:sz w:val="15"/>
        </w:rPr>
        <w:t> effects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aqueous</w:t>
      </w:r>
      <w:r>
        <w:rPr>
          <w:color w:val="231F20"/>
          <w:w w:val="110"/>
          <w:sz w:val="15"/>
        </w:rPr>
        <w:t> extract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</w:t>
      </w:r>
      <w:r>
        <w:rPr>
          <w:i/>
          <w:color w:val="231F20"/>
          <w:w w:val="110"/>
          <w:sz w:val="15"/>
        </w:rPr>
        <w:t>Ocimum</w:t>
      </w:r>
      <w:r>
        <w:rPr>
          <w:i/>
          <w:color w:val="231F20"/>
          <w:w w:val="110"/>
          <w:sz w:val="15"/>
        </w:rPr>
        <w:t> gratissimum</w:t>
      </w:r>
      <w:r>
        <w:rPr>
          <w:i/>
          <w:color w:val="231F20"/>
          <w:w w:val="110"/>
          <w:sz w:val="15"/>
        </w:rPr>
        <w:t> </w:t>
      </w:r>
      <w:r>
        <w:rPr>
          <w:color w:val="231F20"/>
          <w:w w:val="110"/>
          <w:sz w:val="15"/>
        </w:rPr>
        <w:t>leaf</w:t>
      </w:r>
      <w:r>
        <w:rPr>
          <w:color w:val="231F20"/>
          <w:w w:val="110"/>
          <w:sz w:val="15"/>
        </w:rPr>
        <w:t> (AOGL)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on</w:t>
      </w:r>
      <w:r>
        <w:rPr>
          <w:color w:val="231F20"/>
          <w:w w:val="110"/>
          <w:sz w:val="15"/>
        </w:rPr>
        <w:t> some</w:t>
      </w:r>
      <w:r>
        <w:rPr>
          <w:color w:val="231F20"/>
          <w:w w:val="110"/>
          <w:sz w:val="15"/>
        </w:rPr>
        <w:t> markers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renal</w:t>
      </w:r>
      <w:r>
        <w:rPr>
          <w:color w:val="231F20"/>
          <w:w w:val="110"/>
          <w:sz w:val="15"/>
        </w:rPr>
        <w:t> function</w:t>
      </w:r>
      <w:r>
        <w:rPr>
          <w:color w:val="231F20"/>
          <w:w w:val="110"/>
          <w:sz w:val="15"/>
        </w:rPr>
        <w:t> in</w:t>
      </w:r>
      <w:r>
        <w:rPr>
          <w:color w:val="231F20"/>
          <w:w w:val="110"/>
          <w:sz w:val="15"/>
        </w:rPr>
        <w:t> rats</w:t>
      </w:r>
      <w:r>
        <w:rPr>
          <w:color w:val="231F20"/>
          <w:w w:val="110"/>
          <w:sz w:val="15"/>
        </w:rPr>
        <w:t> with</w:t>
      </w:r>
      <w:r>
        <w:rPr>
          <w:color w:val="231F20"/>
          <w:w w:val="110"/>
          <w:sz w:val="15"/>
        </w:rPr>
        <w:t> gentamicin-induced</w:t>
      </w:r>
      <w:r>
        <w:rPr>
          <w:color w:val="231F20"/>
          <w:w w:val="110"/>
          <w:sz w:val="15"/>
        </w:rPr>
        <w:t> nephropathy. Thirty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adult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male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Wistar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rats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were used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for this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study.</w:t>
      </w:r>
      <w:r>
        <w:rPr>
          <w:color w:val="231F20"/>
          <w:spacing w:val="-15"/>
          <w:w w:val="110"/>
          <w:sz w:val="15"/>
        </w:rPr>
        <w:t> </w:t>
      </w:r>
      <w:r>
        <w:rPr>
          <w:color w:val="231F20"/>
          <w:w w:val="110"/>
          <w:sz w:val="15"/>
        </w:rPr>
        <w:t>They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were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divided into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5 groups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as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follows:</w:t>
      </w:r>
    </w:p>
    <w:p>
      <w:pPr>
        <w:spacing w:line="203" w:lineRule="exact" w:before="0"/>
        <w:ind w:left="237" w:right="0" w:firstLine="0"/>
        <w:jc w:val="both"/>
        <w:rPr>
          <w:sz w:val="15"/>
        </w:rPr>
      </w:pPr>
      <w:r>
        <w:rPr>
          <w:color w:val="231F20"/>
          <w:w w:val="110"/>
          <w:sz w:val="15"/>
        </w:rPr>
        <w:t>Group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1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(the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control)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(n</w:t>
      </w:r>
      <w:r>
        <w:rPr>
          <w:color w:val="231F20"/>
          <w:spacing w:val="-5"/>
          <w:w w:val="110"/>
          <w:sz w:val="15"/>
        </w:rPr>
        <w:t> </w:t>
      </w:r>
      <w:r>
        <w:rPr>
          <w:rFonts w:ascii="UKIJ CJK"/>
          <w:color w:val="231F20"/>
          <w:w w:val="110"/>
          <w:sz w:val="15"/>
        </w:rPr>
        <w:t>=</w:t>
      </w:r>
      <w:r>
        <w:rPr>
          <w:rFonts w:ascii="UKIJ CJK"/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5)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received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distilled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water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daily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by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oral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route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for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whole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period</w:t>
      </w:r>
    </w:p>
    <w:p>
      <w:pPr>
        <w:spacing w:line="232" w:lineRule="auto" w:before="0"/>
        <w:ind w:left="237" w:right="113" w:firstLine="0"/>
        <w:jc w:val="both"/>
        <w:rPr>
          <w:sz w:val="15"/>
        </w:rPr>
      </w:pPr>
      <w:r>
        <w:rPr>
          <w:color w:val="231F20"/>
          <w:w w:val="110"/>
          <w:sz w:val="15"/>
        </w:rPr>
        <w:t>of the study.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Group 2 (the toxic control) (n</w:t>
      </w:r>
      <w:r>
        <w:rPr>
          <w:color w:val="231F20"/>
          <w:spacing w:val="-7"/>
          <w:w w:val="110"/>
          <w:sz w:val="15"/>
        </w:rPr>
        <w:t> </w:t>
      </w:r>
      <w:r>
        <w:rPr>
          <w:rFonts w:ascii="UKIJ CJK"/>
          <w:color w:val="231F20"/>
          <w:w w:val="110"/>
          <w:sz w:val="15"/>
        </w:rPr>
        <w:t>=</w:t>
      </w:r>
      <w:r>
        <w:rPr>
          <w:rFonts w:ascii="UKIJ CJK"/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10) received 100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mg/kg/day of gentamicin i.p.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for a week.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Groups 3,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4,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and 5 (n</w:t>
      </w:r>
      <w:r>
        <w:rPr>
          <w:color w:val="231F20"/>
          <w:spacing w:val="-2"/>
          <w:w w:val="110"/>
          <w:sz w:val="15"/>
        </w:rPr>
        <w:t> </w:t>
      </w:r>
      <w:r>
        <w:rPr>
          <w:rFonts w:ascii="UKIJ CJK"/>
          <w:color w:val="231F20"/>
          <w:w w:val="110"/>
          <w:sz w:val="15"/>
        </w:rPr>
        <w:t>=</w:t>
      </w:r>
      <w:r>
        <w:rPr>
          <w:rFonts w:ascii="UKIJ CJK"/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5) were pre-treated with gentamicin as the Group 2 rats,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z w:val="15"/>
        </w:rPr>
        <w:t>after</w:t>
      </w:r>
      <w:r>
        <w:rPr>
          <w:color w:val="231F20"/>
          <w:spacing w:val="27"/>
          <w:sz w:val="15"/>
        </w:rPr>
        <w:t> </w:t>
      </w:r>
      <w:r>
        <w:rPr>
          <w:color w:val="231F20"/>
          <w:sz w:val="15"/>
        </w:rPr>
        <w:t>which</w:t>
      </w:r>
      <w:r>
        <w:rPr>
          <w:color w:val="231F20"/>
          <w:spacing w:val="27"/>
          <w:sz w:val="15"/>
        </w:rPr>
        <w:t> </w:t>
      </w:r>
      <w:r>
        <w:rPr>
          <w:color w:val="231F20"/>
          <w:sz w:val="15"/>
        </w:rPr>
        <w:t>they</w:t>
      </w:r>
      <w:r>
        <w:rPr>
          <w:color w:val="231F20"/>
          <w:spacing w:val="28"/>
          <w:sz w:val="15"/>
        </w:rPr>
        <w:t> </w:t>
      </w:r>
      <w:r>
        <w:rPr>
          <w:color w:val="231F20"/>
          <w:sz w:val="15"/>
        </w:rPr>
        <w:t>received</w:t>
      </w:r>
      <w:r>
        <w:rPr>
          <w:color w:val="231F20"/>
          <w:spacing w:val="27"/>
          <w:sz w:val="15"/>
        </w:rPr>
        <w:t> </w:t>
      </w:r>
      <w:r>
        <w:rPr>
          <w:color w:val="231F20"/>
          <w:sz w:val="15"/>
        </w:rPr>
        <w:t>100,</w:t>
      </w:r>
      <w:r>
        <w:rPr>
          <w:color w:val="231F20"/>
          <w:spacing w:val="19"/>
          <w:sz w:val="15"/>
        </w:rPr>
        <w:t> </w:t>
      </w:r>
      <w:r>
        <w:rPr>
          <w:color w:val="231F20"/>
          <w:sz w:val="15"/>
        </w:rPr>
        <w:t>200</w:t>
      </w:r>
      <w:r>
        <w:rPr>
          <w:color w:val="231F20"/>
          <w:spacing w:val="27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28"/>
          <w:sz w:val="15"/>
        </w:rPr>
        <w:t> </w:t>
      </w:r>
      <w:r>
        <w:rPr>
          <w:color w:val="231F20"/>
          <w:sz w:val="15"/>
        </w:rPr>
        <w:t>400</w:t>
      </w:r>
      <w:r>
        <w:rPr>
          <w:color w:val="231F20"/>
          <w:spacing w:val="27"/>
          <w:sz w:val="15"/>
        </w:rPr>
        <w:t> </w:t>
      </w:r>
      <w:r>
        <w:rPr>
          <w:color w:val="231F20"/>
          <w:sz w:val="15"/>
        </w:rPr>
        <w:t>mg/kg/day</w:t>
      </w:r>
      <w:r>
        <w:rPr>
          <w:color w:val="231F20"/>
          <w:spacing w:val="27"/>
          <w:sz w:val="15"/>
        </w:rPr>
        <w:t> </w:t>
      </w:r>
      <w:r>
        <w:rPr>
          <w:color w:val="231F20"/>
          <w:sz w:val="15"/>
        </w:rPr>
        <w:t>each</w:t>
      </w:r>
      <w:r>
        <w:rPr>
          <w:color w:val="231F20"/>
          <w:spacing w:val="28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18"/>
          <w:sz w:val="15"/>
        </w:rPr>
        <w:t> </w:t>
      </w:r>
      <w:r>
        <w:rPr>
          <w:color w:val="231F20"/>
          <w:sz w:val="15"/>
        </w:rPr>
        <w:t>AOGL</w:t>
      </w:r>
      <w:r>
        <w:rPr>
          <w:color w:val="231F20"/>
          <w:spacing w:val="28"/>
          <w:sz w:val="15"/>
        </w:rPr>
        <w:t> </w:t>
      </w:r>
      <w:r>
        <w:rPr>
          <w:i/>
          <w:color w:val="231F20"/>
          <w:sz w:val="15"/>
        </w:rPr>
        <w:t>p.o.</w:t>
      </w:r>
      <w:r>
        <w:rPr>
          <w:color w:val="231F20"/>
          <w:sz w:val="15"/>
        </w:rPr>
        <w:t>,</w:t>
      </w:r>
      <w:r>
        <w:rPr>
          <w:color w:val="231F20"/>
          <w:spacing w:val="18"/>
          <w:sz w:val="15"/>
        </w:rPr>
        <w:t> </w:t>
      </w:r>
      <w:r>
        <w:rPr>
          <w:color w:val="231F20"/>
          <w:sz w:val="15"/>
        </w:rPr>
        <w:t>respectively,</w:t>
      </w:r>
      <w:r>
        <w:rPr>
          <w:color w:val="231F20"/>
          <w:spacing w:val="18"/>
          <w:sz w:val="15"/>
        </w:rPr>
        <w:t> </w:t>
      </w:r>
      <w:r>
        <w:rPr>
          <w:color w:val="231F20"/>
          <w:sz w:val="15"/>
        </w:rPr>
        <w:t>for</w:t>
      </w:r>
      <w:r>
        <w:rPr>
          <w:color w:val="231F20"/>
          <w:spacing w:val="27"/>
          <w:sz w:val="15"/>
        </w:rPr>
        <w:t> </w:t>
      </w:r>
      <w:r>
        <w:rPr>
          <w:color w:val="231F20"/>
          <w:spacing w:val="-5"/>
          <w:sz w:val="15"/>
        </w:rPr>
        <w:t>14</w:t>
      </w:r>
    </w:p>
    <w:p>
      <w:pPr>
        <w:spacing w:line="230" w:lineRule="exact" w:before="7"/>
        <w:ind w:left="237" w:right="110" w:firstLine="0"/>
        <w:jc w:val="both"/>
        <w:rPr>
          <w:sz w:val="15"/>
        </w:rPr>
      </w:pPr>
      <w:r>
        <w:rPr>
          <w:color w:val="231F20"/>
          <w:w w:val="110"/>
          <w:sz w:val="15"/>
        </w:rPr>
        <w:t>days. Rats in each groups were placed inside separate metabolic cages to obtain their food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consumption,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water intake and urine output for 24 hours after the last administration.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Markers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w w:val="110"/>
          <w:sz w:val="15"/>
        </w:rPr>
        <w:t> renal</w:t>
      </w:r>
      <w:r>
        <w:rPr>
          <w:color w:val="231F20"/>
          <w:w w:val="110"/>
          <w:sz w:val="15"/>
        </w:rPr>
        <w:t> function</w:t>
      </w:r>
      <w:r>
        <w:rPr>
          <w:color w:val="231F20"/>
          <w:w w:val="110"/>
          <w:sz w:val="15"/>
        </w:rPr>
        <w:t> such</w:t>
      </w:r>
      <w:r>
        <w:rPr>
          <w:color w:val="231F20"/>
          <w:w w:val="110"/>
          <w:sz w:val="15"/>
        </w:rPr>
        <w:t> as</w:t>
      </w:r>
      <w:r>
        <w:rPr>
          <w:color w:val="231F20"/>
          <w:w w:val="110"/>
          <w:sz w:val="15"/>
        </w:rPr>
        <w:t> creatinine, urea</w:t>
      </w:r>
      <w:r>
        <w:rPr>
          <w:color w:val="231F20"/>
          <w:w w:val="110"/>
          <w:sz w:val="15"/>
        </w:rPr>
        <w:t> and</w:t>
      </w:r>
      <w:r>
        <w:rPr>
          <w:color w:val="231F20"/>
          <w:w w:val="110"/>
          <w:sz w:val="15"/>
        </w:rPr>
        <w:t> total</w:t>
      </w:r>
      <w:r>
        <w:rPr>
          <w:color w:val="231F20"/>
          <w:w w:val="110"/>
          <w:sz w:val="15"/>
        </w:rPr>
        <w:t> protein</w:t>
      </w:r>
      <w:r>
        <w:rPr>
          <w:color w:val="231F20"/>
          <w:w w:val="110"/>
          <w:sz w:val="15"/>
        </w:rPr>
        <w:t> were</w:t>
      </w:r>
      <w:r>
        <w:rPr>
          <w:color w:val="231F20"/>
          <w:w w:val="110"/>
          <w:sz w:val="15"/>
        </w:rPr>
        <w:t> determined</w:t>
      </w:r>
      <w:r>
        <w:rPr>
          <w:color w:val="231F20"/>
          <w:w w:val="110"/>
          <w:sz w:val="15"/>
        </w:rPr>
        <w:t> both</w:t>
      </w:r>
      <w:r>
        <w:rPr>
          <w:color w:val="231F20"/>
          <w:w w:val="110"/>
          <w:sz w:val="15"/>
        </w:rPr>
        <w:t> in</w:t>
      </w:r>
      <w:r>
        <w:rPr>
          <w:color w:val="231F20"/>
          <w:w w:val="110"/>
          <w:sz w:val="15"/>
        </w:rPr>
        <w:t> the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plasma and urine. Oxidative stress markers such as TBARS and GSH were assayed in the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tissue homogenate. Creatinine clearance was calculated using a standard formula. Genta-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6"/>
          <w:w w:val="110"/>
          <w:sz w:val="15"/>
        </w:rPr>
        <w:t>micin</w:t>
      </w:r>
      <w:r>
        <w:rPr>
          <w:color w:val="231F20"/>
          <w:spacing w:val="5"/>
          <w:w w:val="110"/>
          <w:sz w:val="15"/>
        </w:rPr>
        <w:t> </w:t>
      </w:r>
      <w:r>
        <w:rPr>
          <w:color w:val="231F20"/>
          <w:spacing w:val="-6"/>
          <w:w w:val="110"/>
          <w:sz w:val="15"/>
        </w:rPr>
        <w:t>treatment</w:t>
      </w:r>
      <w:r>
        <w:rPr>
          <w:color w:val="231F20"/>
          <w:spacing w:val="5"/>
          <w:w w:val="110"/>
          <w:sz w:val="15"/>
        </w:rPr>
        <w:t> </w:t>
      </w:r>
      <w:r>
        <w:rPr>
          <w:color w:val="231F20"/>
          <w:spacing w:val="-6"/>
          <w:w w:val="110"/>
          <w:sz w:val="15"/>
        </w:rPr>
        <w:t>induced</w:t>
      </w:r>
      <w:r>
        <w:rPr>
          <w:color w:val="231F20"/>
          <w:spacing w:val="5"/>
          <w:w w:val="110"/>
          <w:sz w:val="15"/>
        </w:rPr>
        <w:t> </w:t>
      </w:r>
      <w:r>
        <w:rPr>
          <w:color w:val="231F20"/>
          <w:spacing w:val="-6"/>
          <w:w w:val="110"/>
          <w:sz w:val="15"/>
        </w:rPr>
        <w:t>significant</w:t>
      </w:r>
      <w:r>
        <w:rPr>
          <w:color w:val="231F20"/>
          <w:spacing w:val="5"/>
          <w:w w:val="110"/>
          <w:sz w:val="15"/>
        </w:rPr>
        <w:t> </w:t>
      </w:r>
      <w:r>
        <w:rPr>
          <w:color w:val="231F20"/>
          <w:spacing w:val="-6"/>
          <w:w w:val="110"/>
          <w:sz w:val="15"/>
        </w:rPr>
        <w:t>(p</w:t>
      </w:r>
      <w:r>
        <w:rPr>
          <w:color w:val="231F20"/>
          <w:spacing w:val="5"/>
          <w:w w:val="110"/>
          <w:sz w:val="15"/>
        </w:rPr>
        <w:t> </w:t>
      </w:r>
      <w:r>
        <w:rPr>
          <w:rFonts w:ascii="UKIJ CJK"/>
          <w:color w:val="231F20"/>
          <w:spacing w:val="-6"/>
          <w:w w:val="110"/>
          <w:sz w:val="15"/>
        </w:rPr>
        <w:t>&lt;</w:t>
      </w:r>
      <w:r>
        <w:rPr>
          <w:rFonts w:ascii="UKIJ CJK"/>
          <w:color w:val="231F20"/>
          <w:sz w:val="15"/>
        </w:rPr>
        <w:t> </w:t>
      </w:r>
      <w:r>
        <w:rPr>
          <w:color w:val="231F20"/>
          <w:spacing w:val="-6"/>
          <w:w w:val="110"/>
          <w:sz w:val="15"/>
        </w:rPr>
        <w:t>0.05)</w:t>
      </w:r>
      <w:r>
        <w:rPr>
          <w:color w:val="231F20"/>
          <w:spacing w:val="5"/>
          <w:w w:val="110"/>
          <w:sz w:val="15"/>
        </w:rPr>
        <w:t> </w:t>
      </w:r>
      <w:r>
        <w:rPr>
          <w:color w:val="231F20"/>
          <w:spacing w:val="-6"/>
          <w:w w:val="110"/>
          <w:sz w:val="15"/>
        </w:rPr>
        <w:t>increases</w:t>
      </w:r>
      <w:r>
        <w:rPr>
          <w:color w:val="231F20"/>
          <w:spacing w:val="5"/>
          <w:w w:val="110"/>
          <w:sz w:val="15"/>
        </w:rPr>
        <w:t> </w:t>
      </w:r>
      <w:r>
        <w:rPr>
          <w:color w:val="231F20"/>
          <w:spacing w:val="-6"/>
          <w:w w:val="110"/>
          <w:sz w:val="15"/>
        </w:rPr>
        <w:t>in</w:t>
      </w:r>
      <w:r>
        <w:rPr>
          <w:color w:val="231F20"/>
          <w:spacing w:val="5"/>
          <w:w w:val="110"/>
          <w:sz w:val="15"/>
        </w:rPr>
        <w:t> </w:t>
      </w:r>
      <w:r>
        <w:rPr>
          <w:color w:val="231F20"/>
          <w:spacing w:val="-6"/>
          <w:w w:val="110"/>
          <w:sz w:val="15"/>
        </w:rPr>
        <w:t>urine</w:t>
      </w:r>
      <w:r>
        <w:rPr>
          <w:color w:val="231F20"/>
          <w:spacing w:val="5"/>
          <w:w w:val="110"/>
          <w:sz w:val="15"/>
        </w:rPr>
        <w:t> </w:t>
      </w:r>
      <w:r>
        <w:rPr>
          <w:color w:val="231F20"/>
          <w:spacing w:val="-6"/>
          <w:w w:val="110"/>
          <w:sz w:val="15"/>
        </w:rPr>
        <w:t>output,</w:t>
      </w:r>
      <w:r>
        <w:rPr>
          <w:color w:val="231F20"/>
          <w:sz w:val="15"/>
        </w:rPr>
        <w:t> </w:t>
      </w:r>
      <w:r>
        <w:rPr>
          <w:color w:val="231F20"/>
          <w:spacing w:val="-6"/>
          <w:w w:val="110"/>
          <w:sz w:val="15"/>
        </w:rPr>
        <w:t>plasma</w:t>
      </w:r>
      <w:r>
        <w:rPr>
          <w:color w:val="231F20"/>
          <w:spacing w:val="5"/>
          <w:w w:val="110"/>
          <w:sz w:val="15"/>
        </w:rPr>
        <w:t> </w:t>
      </w:r>
      <w:r>
        <w:rPr>
          <w:color w:val="231F20"/>
          <w:spacing w:val="-6"/>
          <w:w w:val="110"/>
          <w:sz w:val="15"/>
        </w:rPr>
        <w:t>urea,</w:t>
      </w:r>
      <w:r>
        <w:rPr>
          <w:color w:val="231F20"/>
          <w:sz w:val="15"/>
        </w:rPr>
        <w:t> </w:t>
      </w:r>
      <w:r>
        <w:rPr>
          <w:color w:val="231F20"/>
          <w:spacing w:val="-6"/>
          <w:w w:val="110"/>
          <w:sz w:val="15"/>
        </w:rPr>
        <w:t>creatinine,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urinary protein, relative kidney weight and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TBARS in the toxic control when compared to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control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group.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Significant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decreases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(p</w:t>
      </w:r>
      <w:r>
        <w:rPr>
          <w:color w:val="231F20"/>
          <w:spacing w:val="-7"/>
          <w:w w:val="110"/>
          <w:sz w:val="15"/>
        </w:rPr>
        <w:t> </w:t>
      </w:r>
      <w:r>
        <w:rPr>
          <w:rFonts w:ascii="UKIJ CJK"/>
          <w:color w:val="231F20"/>
          <w:w w:val="110"/>
          <w:sz w:val="15"/>
        </w:rPr>
        <w:t>&lt;</w:t>
      </w:r>
      <w:r>
        <w:rPr>
          <w:rFonts w:ascii="UKIJ CJK"/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0.05)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urine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creatinine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GSH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were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also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as-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sociated</w:t>
      </w:r>
      <w:r>
        <w:rPr>
          <w:color w:val="231F20"/>
          <w:w w:val="110"/>
          <w:sz w:val="15"/>
        </w:rPr>
        <w:t> with</w:t>
      </w:r>
      <w:r>
        <w:rPr>
          <w:color w:val="231F20"/>
          <w:w w:val="110"/>
          <w:sz w:val="15"/>
        </w:rPr>
        <w:t> gentamicin</w:t>
      </w:r>
      <w:r>
        <w:rPr>
          <w:color w:val="231F20"/>
          <w:w w:val="110"/>
          <w:sz w:val="15"/>
        </w:rPr>
        <w:t> administration.</w:t>
      </w:r>
      <w:r>
        <w:rPr>
          <w:color w:val="231F20"/>
          <w:w w:val="110"/>
          <w:sz w:val="15"/>
        </w:rPr>
        <w:t> Post-treatment</w:t>
      </w:r>
      <w:r>
        <w:rPr>
          <w:color w:val="231F20"/>
          <w:w w:val="110"/>
          <w:sz w:val="15"/>
        </w:rPr>
        <w:t> with</w:t>
      </w:r>
      <w:r>
        <w:rPr>
          <w:color w:val="231F20"/>
          <w:w w:val="110"/>
          <w:sz w:val="15"/>
        </w:rPr>
        <w:t> AOGL</w:t>
      </w:r>
      <w:r>
        <w:rPr>
          <w:color w:val="231F20"/>
          <w:w w:val="110"/>
          <w:sz w:val="15"/>
        </w:rPr>
        <w:t> caused</w:t>
      </w:r>
      <w:r>
        <w:rPr>
          <w:color w:val="231F20"/>
          <w:w w:val="110"/>
          <w:sz w:val="15"/>
        </w:rPr>
        <w:t> significant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increases in food consumption, body weight, water intake, urine creatinine, and GSH, and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significant</w:t>
      </w:r>
      <w:r>
        <w:rPr>
          <w:color w:val="231F20"/>
          <w:w w:val="110"/>
          <w:sz w:val="15"/>
        </w:rPr>
        <w:t> (p</w:t>
      </w:r>
      <w:r>
        <w:rPr>
          <w:color w:val="231F20"/>
          <w:spacing w:val="-5"/>
          <w:w w:val="110"/>
          <w:sz w:val="15"/>
        </w:rPr>
        <w:t> </w:t>
      </w:r>
      <w:r>
        <w:rPr>
          <w:rFonts w:ascii="UKIJ CJK"/>
          <w:color w:val="231F20"/>
          <w:w w:val="110"/>
          <w:sz w:val="15"/>
        </w:rPr>
        <w:t>&lt;</w:t>
      </w:r>
      <w:r>
        <w:rPr>
          <w:rFonts w:ascii="UKIJ CJK"/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0.05)</w:t>
      </w:r>
      <w:r>
        <w:rPr>
          <w:color w:val="231F20"/>
          <w:w w:val="110"/>
          <w:sz w:val="15"/>
        </w:rPr>
        <w:t> decreases</w:t>
      </w:r>
      <w:r>
        <w:rPr>
          <w:color w:val="231F20"/>
          <w:w w:val="110"/>
          <w:sz w:val="15"/>
        </w:rPr>
        <w:t> in</w:t>
      </w:r>
      <w:r>
        <w:rPr>
          <w:color w:val="231F20"/>
          <w:w w:val="110"/>
          <w:sz w:val="15"/>
        </w:rPr>
        <w:t> urine</w:t>
      </w:r>
      <w:r>
        <w:rPr>
          <w:color w:val="231F20"/>
          <w:w w:val="110"/>
          <w:sz w:val="15"/>
        </w:rPr>
        <w:t> output, plasma</w:t>
      </w:r>
      <w:r>
        <w:rPr>
          <w:color w:val="231F20"/>
          <w:w w:val="110"/>
          <w:sz w:val="15"/>
        </w:rPr>
        <w:t> creatinine, urea,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TBARS</w:t>
      </w:r>
      <w:r>
        <w:rPr>
          <w:color w:val="231F20"/>
          <w:w w:val="110"/>
          <w:sz w:val="15"/>
        </w:rPr>
        <w:t> and</w:t>
      </w:r>
      <w:r>
        <w:rPr>
          <w:color w:val="231F20"/>
          <w:w w:val="110"/>
          <w:sz w:val="15"/>
        </w:rPr>
        <w:t> urine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total</w:t>
      </w:r>
      <w:r>
        <w:rPr>
          <w:color w:val="231F20"/>
          <w:spacing w:val="11"/>
          <w:w w:val="110"/>
          <w:sz w:val="15"/>
        </w:rPr>
        <w:t> </w:t>
      </w:r>
      <w:r>
        <w:rPr>
          <w:color w:val="231F20"/>
          <w:w w:val="110"/>
          <w:sz w:val="15"/>
        </w:rPr>
        <w:t>protein</w:t>
      </w:r>
      <w:r>
        <w:rPr>
          <w:color w:val="231F20"/>
          <w:spacing w:val="11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11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11"/>
          <w:w w:val="110"/>
          <w:sz w:val="15"/>
        </w:rPr>
        <w:t> </w:t>
      </w:r>
      <w:r>
        <w:rPr>
          <w:color w:val="231F20"/>
          <w:w w:val="110"/>
          <w:sz w:val="15"/>
        </w:rPr>
        <w:t>treated</w:t>
      </w:r>
      <w:r>
        <w:rPr>
          <w:color w:val="231F20"/>
          <w:spacing w:val="11"/>
          <w:w w:val="110"/>
          <w:sz w:val="15"/>
        </w:rPr>
        <w:t> </w:t>
      </w:r>
      <w:r>
        <w:rPr>
          <w:color w:val="231F20"/>
          <w:w w:val="110"/>
          <w:sz w:val="15"/>
        </w:rPr>
        <w:t>groups</w:t>
      </w:r>
      <w:r>
        <w:rPr>
          <w:color w:val="231F20"/>
          <w:spacing w:val="12"/>
          <w:w w:val="110"/>
          <w:sz w:val="15"/>
        </w:rPr>
        <w:t> </w:t>
      </w:r>
      <w:r>
        <w:rPr>
          <w:color w:val="231F20"/>
          <w:w w:val="110"/>
          <w:sz w:val="15"/>
        </w:rPr>
        <w:t>when</w:t>
      </w:r>
      <w:r>
        <w:rPr>
          <w:color w:val="231F20"/>
          <w:spacing w:val="11"/>
          <w:w w:val="110"/>
          <w:sz w:val="15"/>
        </w:rPr>
        <w:t> </w:t>
      </w:r>
      <w:r>
        <w:rPr>
          <w:color w:val="231F20"/>
          <w:w w:val="110"/>
          <w:sz w:val="15"/>
        </w:rPr>
        <w:t>compared</w:t>
      </w:r>
      <w:r>
        <w:rPr>
          <w:color w:val="231F20"/>
          <w:spacing w:val="11"/>
          <w:w w:val="110"/>
          <w:sz w:val="15"/>
        </w:rPr>
        <w:t> </w:t>
      </w:r>
      <w:r>
        <w:rPr>
          <w:color w:val="231F20"/>
          <w:w w:val="110"/>
          <w:sz w:val="15"/>
        </w:rPr>
        <w:t>with</w:t>
      </w:r>
      <w:r>
        <w:rPr>
          <w:color w:val="231F20"/>
          <w:spacing w:val="11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11"/>
          <w:w w:val="110"/>
          <w:sz w:val="15"/>
        </w:rPr>
        <w:t> </w:t>
      </w:r>
      <w:r>
        <w:rPr>
          <w:color w:val="231F20"/>
          <w:w w:val="110"/>
          <w:sz w:val="15"/>
        </w:rPr>
        <w:t>toxic</w:t>
      </w:r>
      <w:r>
        <w:rPr>
          <w:color w:val="231F20"/>
          <w:spacing w:val="11"/>
          <w:w w:val="110"/>
          <w:sz w:val="15"/>
        </w:rPr>
        <w:t> </w:t>
      </w:r>
      <w:r>
        <w:rPr>
          <w:color w:val="231F20"/>
          <w:w w:val="110"/>
          <w:sz w:val="15"/>
        </w:rPr>
        <w:t>control</w:t>
      </w:r>
      <w:r>
        <w:rPr>
          <w:color w:val="231F20"/>
          <w:spacing w:val="12"/>
          <w:w w:val="110"/>
          <w:sz w:val="15"/>
        </w:rPr>
        <w:t> </w:t>
      </w:r>
      <w:r>
        <w:rPr>
          <w:color w:val="231F20"/>
          <w:w w:val="110"/>
          <w:sz w:val="15"/>
        </w:rPr>
        <w:t>group.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This</w:t>
      </w:r>
      <w:r>
        <w:rPr>
          <w:color w:val="231F20"/>
          <w:spacing w:val="11"/>
          <w:w w:val="110"/>
          <w:sz w:val="15"/>
        </w:rPr>
        <w:t> </w:t>
      </w:r>
      <w:r>
        <w:rPr>
          <w:color w:val="231F20"/>
          <w:spacing w:val="-5"/>
          <w:w w:val="110"/>
          <w:sz w:val="15"/>
        </w:rPr>
        <w:t>was</w:t>
      </w:r>
    </w:p>
    <w:p>
      <w:pPr>
        <w:spacing w:after="0" w:line="230" w:lineRule="exact"/>
        <w:jc w:val="both"/>
        <w:rPr>
          <w:sz w:val="15"/>
        </w:rPr>
        <w:sectPr>
          <w:type w:val="continuous"/>
          <w:pgSz w:w="11910" w:h="15880"/>
          <w:pgMar w:header="622" w:footer="0" w:top="820" w:bottom="280" w:left="800" w:right="800"/>
          <w:cols w:num="2" w:equalWidth="0">
            <w:col w:w="2603" w:space="713"/>
            <w:col w:w="699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1"/>
        <w:rPr>
          <w:sz w:val="20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6565" cy="6350"/>
                <wp:effectExtent l="9525" t="0" r="634" b="3175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456565" cy="6350"/>
                          <a:chExt cx="456565" cy="635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3168"/>
                            <a:ext cx="456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0">
                                <a:moveTo>
                                  <a:pt x="0" y="0"/>
                                </a:moveTo>
                                <a:lnTo>
                                  <a:pt x="456196" y="0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50pt;height:.5pt;mso-position-horizontal-relative:char;mso-position-vertical-relative:line" id="docshapegroup14" coordorigin="0,0" coordsize="719,10">
                <v:line style="position:absolute" from="0,5" to="718,5" stroked="true" strokeweight=".49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53"/>
        <w:ind w:left="349" w:right="0" w:firstLine="0"/>
        <w:jc w:val="left"/>
        <w:rPr>
          <w:i/>
          <w:sz w:val="15"/>
        </w:rPr>
      </w:pPr>
      <w:bookmarkStart w:name="_bookmark3" w:id="5"/>
      <w:bookmarkEnd w:id="5"/>
      <w:r>
        <w:rPr/>
      </w:r>
      <w:r>
        <w:rPr>
          <w:color w:val="231F20"/>
          <w:spacing w:val="-4"/>
          <w:sz w:val="15"/>
        </w:rPr>
        <w:t>*</w:t>
      </w:r>
      <w:r>
        <w:rPr>
          <w:color w:val="231F20"/>
          <w:spacing w:val="28"/>
          <w:sz w:val="15"/>
        </w:rPr>
        <w:t> </w:t>
      </w:r>
      <w:r>
        <w:rPr>
          <w:i/>
          <w:color w:val="231F20"/>
          <w:spacing w:val="-4"/>
          <w:sz w:val="15"/>
        </w:rPr>
        <w:t>Corresponding</w:t>
      </w:r>
      <w:r>
        <w:rPr>
          <w:i/>
          <w:color w:val="231F20"/>
          <w:spacing w:val="7"/>
          <w:sz w:val="15"/>
        </w:rPr>
        <w:t> </w:t>
      </w:r>
      <w:r>
        <w:rPr>
          <w:i/>
          <w:color w:val="231F20"/>
          <w:spacing w:val="-4"/>
          <w:sz w:val="15"/>
        </w:rPr>
        <w:t>author.</w:t>
      </w:r>
    </w:p>
    <w:p>
      <w:pPr>
        <w:spacing w:line="280" w:lineRule="auto" w:before="29"/>
        <w:ind w:left="237" w:right="2866" w:firstLine="239"/>
        <w:jc w:val="left"/>
        <w:rPr>
          <w:sz w:val="15"/>
        </w:rPr>
      </w:pPr>
      <w:r>
        <w:rPr>
          <w:i/>
          <w:color w:val="231F20"/>
          <w:sz w:val="15"/>
        </w:rPr>
        <w:t>E-mail address: </w:t>
      </w:r>
      <w:hyperlink r:id="rId14">
        <w:r>
          <w:rPr>
            <w:color w:val="00699D"/>
            <w:sz w:val="15"/>
          </w:rPr>
          <w:t>darejoshua97@gmail.com</w:t>
        </w:r>
      </w:hyperlink>
      <w:r>
        <w:rPr>
          <w:color w:val="00699D"/>
          <w:sz w:val="15"/>
        </w:rPr>
        <w:t> </w:t>
      </w:r>
      <w:r>
        <w:rPr>
          <w:color w:val="231F20"/>
          <w:sz w:val="15"/>
        </w:rPr>
        <w:t>(D.J. </w:t>
      </w:r>
      <w:r>
        <w:rPr>
          <w:color w:val="231F20"/>
          <w:sz w:val="15"/>
        </w:rPr>
        <w:t>Ogundipe).</w:t>
      </w:r>
      <w:r>
        <w:rPr>
          <w:color w:val="231F20"/>
          <w:spacing w:val="40"/>
          <w:sz w:val="15"/>
        </w:rPr>
        <w:t> </w:t>
      </w:r>
      <w:hyperlink r:id="rId15">
        <w:r>
          <w:rPr>
            <w:color w:val="00699D"/>
            <w:spacing w:val="-2"/>
            <w:sz w:val="15"/>
          </w:rPr>
          <w:t>http://dx.doi.org/10.1016/j.ejbas.2016.07.002</w:t>
        </w:r>
      </w:hyperlink>
    </w:p>
    <w:p>
      <w:pPr>
        <w:spacing w:line="280" w:lineRule="auto" w:before="0"/>
        <w:ind w:left="237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2314-808X/©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University.</w:t>
      </w:r>
      <w:r>
        <w:rPr>
          <w:color w:val="231F20"/>
          <w:spacing w:val="12"/>
          <w:w w:val="105"/>
          <w:sz w:val="15"/>
        </w:rPr>
        <w:t> </w:t>
      </w:r>
      <w:r>
        <w:rPr>
          <w:color w:val="231F20"/>
          <w:w w:val="105"/>
          <w:sz w:val="15"/>
        </w:rPr>
        <w:t>Production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license (</w:t>
      </w:r>
      <w:hyperlink r:id="rId16">
        <w:r>
          <w:rPr>
            <w:color w:val="00699D"/>
            <w:w w:val="105"/>
            <w:sz w:val="15"/>
          </w:rPr>
          <w:t>http://creativecommons.org/licenses/by-nc-nd/4.0/</w:t>
        </w:r>
        <w:r>
          <w:rPr>
            <w:color w:val="231F20"/>
            <w:w w:val="105"/>
            <w:sz w:val="15"/>
          </w:rPr>
          <w:t>).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header="622" w:footer="0" w:top="820" w:bottom="280" w:left="800" w:right="800"/>
        </w:sectPr>
      </w:pPr>
    </w:p>
    <w:p>
      <w:pPr>
        <w:pStyle w:val="BodyText"/>
        <w:spacing w:before="107"/>
        <w:rPr>
          <w:sz w:val="15"/>
        </w:rPr>
      </w:pPr>
    </w:p>
    <w:p>
      <w:pPr>
        <w:spacing w:line="324" w:lineRule="auto" w:before="0"/>
        <w:ind w:left="3432" w:right="231" w:firstLine="0"/>
        <w:jc w:val="both"/>
        <w:rPr>
          <w:sz w:val="15"/>
        </w:rPr>
      </w:pPr>
      <w:r>
        <w:rPr>
          <w:color w:val="231F20"/>
          <w:w w:val="110"/>
          <w:sz w:val="15"/>
        </w:rPr>
        <w:t>further</w:t>
      </w:r>
      <w:r>
        <w:rPr>
          <w:color w:val="231F20"/>
          <w:w w:val="110"/>
          <w:sz w:val="15"/>
        </w:rPr>
        <w:t> evident</w:t>
      </w:r>
      <w:r>
        <w:rPr>
          <w:color w:val="231F20"/>
          <w:w w:val="110"/>
          <w:sz w:val="15"/>
        </w:rPr>
        <w:t> by</w:t>
      </w:r>
      <w:r>
        <w:rPr>
          <w:color w:val="231F20"/>
          <w:w w:val="110"/>
          <w:sz w:val="15"/>
        </w:rPr>
        <w:t> a</w:t>
      </w:r>
      <w:r>
        <w:rPr>
          <w:color w:val="231F20"/>
          <w:w w:val="110"/>
          <w:sz w:val="15"/>
        </w:rPr>
        <w:t> significant</w:t>
      </w:r>
      <w:r>
        <w:rPr>
          <w:color w:val="231F20"/>
          <w:w w:val="110"/>
          <w:sz w:val="15"/>
        </w:rPr>
        <w:t> improvement</w:t>
      </w:r>
      <w:r>
        <w:rPr>
          <w:color w:val="231F20"/>
          <w:w w:val="110"/>
          <w:sz w:val="15"/>
        </w:rPr>
        <w:t> or</w:t>
      </w:r>
      <w:r>
        <w:rPr>
          <w:color w:val="231F20"/>
          <w:w w:val="110"/>
          <w:sz w:val="15"/>
        </w:rPr>
        <w:t> reversal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the</w:t>
      </w:r>
      <w:r>
        <w:rPr>
          <w:color w:val="231F20"/>
          <w:w w:val="110"/>
          <w:sz w:val="15"/>
        </w:rPr>
        <w:t> histopathological</w:t>
      </w:r>
      <w:r>
        <w:rPr>
          <w:color w:val="231F20"/>
          <w:spacing w:val="80"/>
          <w:w w:val="110"/>
          <w:sz w:val="15"/>
        </w:rPr>
        <w:t> </w:t>
      </w:r>
      <w:r>
        <w:rPr>
          <w:color w:val="231F20"/>
          <w:w w:val="110"/>
          <w:sz w:val="15"/>
        </w:rPr>
        <w:t>alterations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kidney</w:t>
      </w:r>
      <w:r>
        <w:rPr>
          <w:color w:val="231F20"/>
          <w:w w:val="110"/>
          <w:sz w:val="15"/>
        </w:rPr>
        <w:t> tissues</w:t>
      </w:r>
      <w:r>
        <w:rPr>
          <w:color w:val="231F20"/>
          <w:w w:val="110"/>
          <w:sz w:val="15"/>
        </w:rPr>
        <w:t> in</w:t>
      </w:r>
      <w:r>
        <w:rPr>
          <w:color w:val="231F20"/>
          <w:w w:val="110"/>
          <w:sz w:val="15"/>
        </w:rPr>
        <w:t> the</w:t>
      </w:r>
      <w:r>
        <w:rPr>
          <w:color w:val="231F20"/>
          <w:w w:val="110"/>
          <w:sz w:val="15"/>
        </w:rPr>
        <w:t> groups</w:t>
      </w:r>
      <w:r>
        <w:rPr>
          <w:color w:val="231F20"/>
          <w:w w:val="110"/>
          <w:sz w:val="15"/>
        </w:rPr>
        <w:t> treated</w:t>
      </w:r>
      <w:r>
        <w:rPr>
          <w:color w:val="231F20"/>
          <w:w w:val="110"/>
          <w:sz w:val="15"/>
        </w:rPr>
        <w:t> with</w:t>
      </w:r>
      <w:r>
        <w:rPr>
          <w:color w:val="231F20"/>
          <w:w w:val="110"/>
          <w:sz w:val="15"/>
        </w:rPr>
        <w:t> AOGL. The</w:t>
      </w:r>
      <w:r>
        <w:rPr>
          <w:color w:val="231F20"/>
          <w:w w:val="110"/>
          <w:sz w:val="15"/>
        </w:rPr>
        <w:t> results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this</w:t>
      </w:r>
      <w:r>
        <w:rPr>
          <w:color w:val="231F20"/>
          <w:w w:val="110"/>
          <w:sz w:val="15"/>
        </w:rPr>
        <w:t> study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indicated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that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AOGL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ameliorated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kidney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injury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caused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by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gentamicin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rats.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Hence,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extracts</w:t>
      </w:r>
      <w:r>
        <w:rPr>
          <w:color w:val="231F20"/>
          <w:w w:val="110"/>
          <w:sz w:val="15"/>
        </w:rPr>
        <w:t> have</w:t>
      </w:r>
      <w:r>
        <w:rPr>
          <w:color w:val="231F20"/>
          <w:w w:val="110"/>
          <w:sz w:val="15"/>
        </w:rPr>
        <w:t> the</w:t>
      </w:r>
      <w:r>
        <w:rPr>
          <w:color w:val="231F20"/>
          <w:w w:val="110"/>
          <w:sz w:val="15"/>
        </w:rPr>
        <w:t> potential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being</w:t>
      </w:r>
      <w:r>
        <w:rPr>
          <w:color w:val="231F20"/>
          <w:w w:val="110"/>
          <w:sz w:val="15"/>
        </w:rPr>
        <w:t> used</w:t>
      </w:r>
      <w:r>
        <w:rPr>
          <w:color w:val="231F20"/>
          <w:w w:val="110"/>
          <w:sz w:val="15"/>
        </w:rPr>
        <w:t> for</w:t>
      </w:r>
      <w:r>
        <w:rPr>
          <w:color w:val="231F20"/>
          <w:w w:val="110"/>
          <w:sz w:val="15"/>
        </w:rPr>
        <w:t> the</w:t>
      </w:r>
      <w:r>
        <w:rPr>
          <w:color w:val="231F20"/>
          <w:w w:val="110"/>
          <w:sz w:val="15"/>
        </w:rPr>
        <w:t> management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gentamicin-induced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nephropathies.</w:t>
      </w:r>
    </w:p>
    <w:p>
      <w:pPr>
        <w:spacing w:line="324" w:lineRule="auto" w:before="0"/>
        <w:ind w:left="3689" w:right="234" w:hanging="251"/>
        <w:jc w:val="right"/>
        <w:rPr>
          <w:sz w:val="15"/>
        </w:rPr>
      </w:pPr>
      <w:r>
        <w:rPr>
          <w:color w:val="231F20"/>
          <w:w w:val="105"/>
          <w:sz w:val="15"/>
        </w:rPr>
        <w:t>© 2016 Mansoura University. Production and hosting by Elsevier B.V.</w:t>
      </w:r>
      <w:r>
        <w:rPr>
          <w:color w:val="231F20"/>
          <w:spacing w:val="-8"/>
          <w:w w:val="105"/>
          <w:sz w:val="15"/>
        </w:rPr>
        <w:t> </w:t>
      </w:r>
      <w:r>
        <w:rPr>
          <w:color w:val="231F20"/>
          <w:w w:val="105"/>
          <w:sz w:val="15"/>
        </w:rPr>
        <w:t>This is an open access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16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16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16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16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16"/>
          <w:w w:val="105"/>
          <w:sz w:val="15"/>
        </w:rPr>
        <w:t> </w:t>
      </w:r>
      <w:r>
        <w:rPr>
          <w:color w:val="231F20"/>
          <w:w w:val="105"/>
          <w:sz w:val="15"/>
        </w:rPr>
        <w:t>license</w:t>
      </w:r>
      <w:r>
        <w:rPr>
          <w:color w:val="231F20"/>
          <w:spacing w:val="17"/>
          <w:w w:val="105"/>
          <w:sz w:val="15"/>
        </w:rPr>
        <w:t> </w:t>
      </w:r>
      <w:r>
        <w:rPr>
          <w:color w:val="231F20"/>
          <w:w w:val="105"/>
          <w:sz w:val="15"/>
        </w:rPr>
        <w:t>(</w:t>
      </w:r>
      <w:hyperlink r:id="rId17">
        <w:r>
          <w:rPr>
            <w:color w:val="00699D"/>
            <w:w w:val="105"/>
            <w:sz w:val="15"/>
          </w:rPr>
          <w:t>http://creativecommons.org/licenses/by-nc-</w:t>
        </w:r>
        <w:r>
          <w:rPr>
            <w:color w:val="00699D"/>
            <w:spacing w:val="-5"/>
            <w:w w:val="105"/>
            <w:sz w:val="15"/>
          </w:rPr>
          <w:t>nd/</w:t>
        </w:r>
      </w:hyperlink>
    </w:p>
    <w:p>
      <w:pPr>
        <w:spacing w:line="169" w:lineRule="exact" w:before="0"/>
        <w:ind w:left="0" w:right="236" w:firstLine="0"/>
        <w:jc w:val="right"/>
        <w:rPr>
          <w:sz w:val="15"/>
        </w:rPr>
      </w:pPr>
      <w:r>
        <w:rPr>
          <w:color w:val="00699D"/>
          <w:spacing w:val="-2"/>
          <w:sz w:val="15"/>
        </w:rPr>
        <w:t>4.0/</w:t>
      </w:r>
      <w:r>
        <w:rPr>
          <w:color w:val="231F20"/>
          <w:spacing w:val="-2"/>
          <w:sz w:val="15"/>
        </w:rPr>
        <w:t>).</w:t>
      </w:r>
    </w:p>
    <w:p>
      <w:pPr>
        <w:pStyle w:val="BodyText"/>
        <w:spacing w:before="5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581939</wp:posOffset>
                </wp:positionH>
                <wp:positionV relativeFrom="paragraph">
                  <wp:posOffset>141679</wp:posOffset>
                </wp:positionV>
                <wp:extent cx="6318250" cy="1270"/>
                <wp:effectExtent l="0" t="0" r="0" b="0"/>
                <wp:wrapTopAndBottom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1.155863pt;width:497.5pt;height:.1pt;mso-position-horizontal-relative:page;mso-position-vertical-relative:paragraph;z-index:-15723008;mso-wrap-distance-left:0;mso-wrap-distance-right:0" id="docshape15" coordorigin="916,223" coordsize="9950,0" path="m916,223l10866,223e" filled="false" stroked="true" strokeweight=".4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1"/>
        <w:rPr>
          <w:sz w:val="20"/>
        </w:rPr>
      </w:pPr>
    </w:p>
    <w:p>
      <w:pPr>
        <w:tabs>
          <w:tab w:pos="5276" w:val="left" w:leader="none"/>
        </w:tabs>
        <w:spacing w:line="20" w:lineRule="exact"/>
        <w:ind w:left="116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6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7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bookmarkStart w:name=" Introduction" w:id="6"/>
      <w:bookmarkEnd w:id="6"/>
      <w:r>
        <w:rPr>
          <w:b w:val="0"/>
        </w:rPr>
      </w:r>
      <w:bookmarkStart w:name=" Materials and methods" w:id="7"/>
      <w:bookmarkEnd w:id="7"/>
      <w:r>
        <w:rPr>
          <w:b w:val="0"/>
        </w:rPr>
      </w:r>
      <w:bookmarkStart w:name=" Drugs and materials" w:id="8"/>
      <w:bookmarkEnd w:id="8"/>
      <w:r>
        <w:rPr>
          <w:b w:val="0"/>
        </w:rPr>
      </w:r>
      <w:r>
        <w:rPr>
          <w:color w:val="231F20"/>
          <w:spacing w:val="-2"/>
        </w:rPr>
        <w:t>Introduction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/>
        <w:ind w:left="116" w:right="38"/>
        <w:jc w:val="both"/>
      </w:pPr>
      <w:r>
        <w:rPr>
          <w:color w:val="231F20"/>
          <w:w w:val="110"/>
        </w:rPr>
        <w:t>Gentamicin (Gen.) is an antibiotic that is widely used against serious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life-threatening</w:t>
      </w:r>
      <w:r>
        <w:rPr>
          <w:color w:val="231F20"/>
          <w:w w:val="110"/>
        </w:rPr>
        <w:t> gram-negative</w:t>
      </w:r>
      <w:r>
        <w:rPr>
          <w:color w:val="231F20"/>
          <w:w w:val="110"/>
        </w:rPr>
        <w:t> bacterial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infec- tion.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However,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 clinical use of gentamicin is limited due to its nephrotoxicity </w:t>
      </w:r>
      <w:hyperlink w:history="true" w:anchor="_bookmark11">
        <w:r>
          <w:rPr>
            <w:color w:val="00699D"/>
            <w:w w:val="110"/>
          </w:rPr>
          <w:t>[1]</w:t>
        </w:r>
      </w:hyperlink>
      <w:r>
        <w:rPr>
          <w:color w:val="231F20"/>
          <w:w w:val="110"/>
        </w:rPr>
        <w:t>. Gentamicin induces nephrotoxicity via oxidative and nitrosative stress </w:t>
      </w:r>
      <w:hyperlink w:history="true" w:anchor="_bookmark12">
        <w:r>
          <w:rPr>
            <w:color w:val="00699D"/>
            <w:w w:val="110"/>
          </w:rPr>
          <w:t>[2]</w:t>
        </w:r>
      </w:hyperlink>
      <w:r>
        <w:rPr>
          <w:color w:val="231F20"/>
          <w:w w:val="110"/>
        </w:rPr>
        <w:t>. It also causes nephrotox- icity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inhibiting</w:t>
      </w:r>
      <w:r>
        <w:rPr>
          <w:color w:val="231F20"/>
          <w:w w:val="110"/>
        </w:rPr>
        <w:t> protein</w:t>
      </w:r>
      <w:r>
        <w:rPr>
          <w:color w:val="231F20"/>
          <w:w w:val="110"/>
        </w:rPr>
        <w:t> synthesis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renal</w:t>
      </w:r>
      <w:r>
        <w:rPr>
          <w:color w:val="231F20"/>
          <w:w w:val="110"/>
        </w:rPr>
        <w:t> cells.</w:t>
      </w:r>
      <w:r>
        <w:rPr>
          <w:color w:val="231F20"/>
          <w:w w:val="110"/>
        </w:rPr>
        <w:t> This mechanism specifically causes necrosis of cells in the proxi- </w:t>
      </w:r>
      <w:bookmarkStart w:name=" Plant extraction" w:id="9"/>
      <w:bookmarkEnd w:id="9"/>
      <w:r>
        <w:rPr>
          <w:color w:val="231F20"/>
          <w:w w:val="110"/>
        </w:rPr>
        <w:t>mal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tubule,</w:t>
      </w:r>
      <w:r>
        <w:rPr>
          <w:color w:val="231F20"/>
          <w:w w:val="110"/>
        </w:rPr>
        <w:t> resulting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acute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tubular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necrosis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can lead to acute renal failure </w:t>
      </w:r>
      <w:hyperlink w:history="true" w:anchor="_bookmark13">
        <w:r>
          <w:rPr>
            <w:color w:val="00699D"/>
            <w:w w:val="110"/>
          </w:rPr>
          <w:t>[3]</w:t>
        </w:r>
      </w:hyperlink>
      <w:r>
        <w:rPr>
          <w:color w:val="231F20"/>
          <w:w w:val="110"/>
        </w:rPr>
        <w:t>. Gentamicin binds to the phos- pholipids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cell</w:t>
      </w:r>
      <w:r>
        <w:rPr>
          <w:color w:val="231F20"/>
          <w:w w:val="110"/>
        </w:rPr>
        <w:t> membrane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renal</w:t>
      </w:r>
      <w:r>
        <w:rPr>
          <w:color w:val="231F20"/>
          <w:w w:val="110"/>
        </w:rPr>
        <w:t> tubules</w:t>
      </w:r>
      <w:r>
        <w:rPr>
          <w:color w:val="231F20"/>
          <w:w w:val="110"/>
        </w:rPr>
        <w:t> and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enters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cells, then</w:t>
      </w:r>
      <w:r>
        <w:rPr>
          <w:color w:val="231F20"/>
          <w:w w:val="110"/>
        </w:rPr>
        <w:t> it</w:t>
      </w:r>
      <w:r>
        <w:rPr>
          <w:color w:val="231F20"/>
          <w:w w:val="110"/>
        </w:rPr>
        <w:t> binds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sub-cellular</w:t>
      </w:r>
      <w:r>
        <w:rPr>
          <w:color w:val="231F20"/>
          <w:w w:val="110"/>
        </w:rPr>
        <w:t> organelles</w:t>
      </w:r>
      <w:r>
        <w:rPr>
          <w:color w:val="231F20"/>
          <w:w w:val="110"/>
        </w:rPr>
        <w:t> and alters</w:t>
      </w:r>
      <w:r>
        <w:rPr>
          <w:color w:val="231F20"/>
          <w:w w:val="110"/>
        </w:rPr>
        <w:t> mitochondrial</w:t>
      </w:r>
      <w:r>
        <w:rPr>
          <w:color w:val="231F20"/>
          <w:w w:val="110"/>
        </w:rPr>
        <w:t> respiration,</w:t>
      </w:r>
      <w:r>
        <w:rPr>
          <w:color w:val="231F20"/>
          <w:w w:val="110"/>
        </w:rPr>
        <w:t> while</w:t>
      </w:r>
      <w:r>
        <w:rPr>
          <w:color w:val="231F20"/>
          <w:w w:val="110"/>
        </w:rPr>
        <w:t> small</w:t>
      </w:r>
      <w:r>
        <w:rPr>
          <w:color w:val="231F20"/>
          <w:w w:val="110"/>
        </w:rPr>
        <w:t> amounts</w:t>
      </w:r>
      <w:r>
        <w:rPr>
          <w:color w:val="231F20"/>
          <w:w w:val="110"/>
        </w:rPr>
        <w:t> may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be taken up by lysosomes </w:t>
      </w:r>
      <w:hyperlink w:history="true" w:anchor="_bookmark14">
        <w:r>
          <w:rPr>
            <w:color w:val="00699D"/>
            <w:w w:val="110"/>
          </w:rPr>
          <w:t>[4]</w:t>
        </w:r>
      </w:hyperlink>
      <w:r>
        <w:rPr>
          <w:color w:val="231F20"/>
          <w:w w:val="110"/>
        </w:rPr>
        <w:t>. In addition, induction of acute tubular necrosis,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glomerular damage and renal inflammation are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major</w:t>
      </w:r>
      <w:r>
        <w:rPr>
          <w:color w:val="231F20"/>
          <w:w w:val="110"/>
        </w:rPr>
        <w:t> events</w:t>
      </w:r>
      <w:r>
        <w:rPr>
          <w:color w:val="231F20"/>
          <w:w w:val="110"/>
        </w:rPr>
        <w:t> implicated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gentamicin</w:t>
      </w:r>
      <w:r>
        <w:rPr>
          <w:color w:val="231F20"/>
          <w:w w:val="110"/>
        </w:rPr>
        <w:t> nephrotoxic-</w:t>
      </w:r>
      <w:r>
        <w:rPr>
          <w:color w:val="231F20"/>
          <w:spacing w:val="40"/>
          <w:w w:val="110"/>
        </w:rPr>
        <w:t> </w:t>
      </w:r>
      <w:r>
        <w:rPr>
          <w:color w:val="231F20"/>
        </w:rPr>
        <w:t>ity </w:t>
      </w:r>
      <w:hyperlink w:history="true" w:anchor="_bookmark15">
        <w:r>
          <w:rPr>
            <w:color w:val="00699D"/>
          </w:rPr>
          <w:t>[5,6]</w:t>
        </w:r>
      </w:hyperlink>
      <w:r>
        <w:rPr>
          <w:color w:val="231F20"/>
        </w:rPr>
        <w:t>. </w:t>
      </w:r>
      <w:r>
        <w:rPr>
          <w:i/>
          <w:color w:val="231F20"/>
        </w:rPr>
        <w:t>Ocimum gratissimum </w:t>
      </w:r>
      <w:r>
        <w:rPr>
          <w:color w:val="231F20"/>
        </w:rPr>
        <w:t>(OG) is an herbaceous plant that</w:t>
      </w:r>
      <w:r>
        <w:rPr>
          <w:color w:val="231F20"/>
          <w:w w:val="110"/>
        </w:rPr>
        <w:t> belongs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Labiatae</w:t>
      </w:r>
      <w:r>
        <w:rPr>
          <w:color w:val="231F20"/>
          <w:w w:val="110"/>
        </w:rPr>
        <w:t> family.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plant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indigenous</w:t>
      </w:r>
      <w:r>
        <w:rPr>
          <w:color w:val="231F20"/>
          <w:w w:val="110"/>
        </w:rPr>
        <w:t> to tropical</w:t>
      </w:r>
      <w:r>
        <w:rPr>
          <w:color w:val="231F20"/>
          <w:w w:val="110"/>
        </w:rPr>
        <w:t> areas</w:t>
      </w:r>
      <w:r>
        <w:rPr>
          <w:color w:val="231F20"/>
          <w:w w:val="110"/>
        </w:rPr>
        <w:t> especially</w:t>
      </w:r>
      <w:r>
        <w:rPr>
          <w:color w:val="231F20"/>
          <w:w w:val="110"/>
        </w:rPr>
        <w:t> India</w:t>
      </w:r>
      <w:r>
        <w:rPr>
          <w:color w:val="231F20"/>
          <w:w w:val="110"/>
        </w:rPr>
        <w:t> and West Africa. In</w:t>
      </w:r>
      <w:r>
        <w:rPr>
          <w:color w:val="231F20"/>
          <w:w w:val="110"/>
        </w:rPr>
        <w:t> Nigeria, it is found in the savannah and coastal areas. It is cultivated in Sri</w:t>
      </w:r>
      <w:r>
        <w:rPr>
          <w:color w:val="231F20"/>
          <w:w w:val="110"/>
        </w:rPr>
        <w:t> Lanka, South</w:t>
      </w:r>
      <w:r>
        <w:rPr>
          <w:color w:val="231F20"/>
          <w:w w:val="110"/>
        </w:rPr>
        <w:t> Sea</w:t>
      </w:r>
      <w:r>
        <w:rPr>
          <w:color w:val="231F20"/>
          <w:w w:val="110"/>
        </w:rPr>
        <w:t> Islands, and</w:t>
      </w:r>
      <w:r>
        <w:rPr>
          <w:color w:val="231F20"/>
          <w:w w:val="110"/>
        </w:rPr>
        <w:t> also</w:t>
      </w:r>
      <w:r>
        <w:rPr>
          <w:color w:val="231F20"/>
          <w:w w:val="110"/>
        </w:rPr>
        <w:t> within</w:t>
      </w:r>
      <w:r>
        <w:rPr>
          <w:color w:val="231F20"/>
          <w:w w:val="110"/>
        </w:rPr>
        <w:t> Nepal, Bengal, Chittagong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Deccan</w:t>
      </w:r>
      <w:r>
        <w:rPr>
          <w:color w:val="231F20"/>
          <w:w w:val="110"/>
        </w:rPr>
        <w:t> </w:t>
      </w:r>
      <w:hyperlink w:history="true" w:anchor="_bookmark16">
        <w:r>
          <w:rPr>
            <w:color w:val="00699D"/>
            <w:w w:val="110"/>
          </w:rPr>
          <w:t>[7]</w:t>
        </w:r>
      </w:hyperlink>
      <w:r>
        <w:rPr>
          <w:color w:val="231F20"/>
          <w:w w:val="110"/>
        </w:rPr>
        <w:t>. It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known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various</w:t>
      </w:r>
      <w:r>
        <w:rPr>
          <w:color w:val="231F20"/>
          <w:w w:val="110"/>
        </w:rPr>
        <w:t> names</w:t>
      </w:r>
      <w:r>
        <w:rPr>
          <w:color w:val="231F20"/>
          <w:w w:val="110"/>
        </w:rPr>
        <w:t> in different parts of the world.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 India it is known by its several vernacular</w:t>
      </w:r>
      <w:r>
        <w:rPr>
          <w:color w:val="231F20"/>
          <w:w w:val="110"/>
        </w:rPr>
        <w:t> names,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most</w:t>
      </w:r>
      <w:r>
        <w:rPr>
          <w:color w:val="231F20"/>
          <w:w w:val="110"/>
        </w:rPr>
        <w:t> commonly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ones</w:t>
      </w:r>
      <w:r>
        <w:rPr>
          <w:color w:val="231F20"/>
          <w:w w:val="110"/>
        </w:rPr>
        <w:t> being </w:t>
      </w:r>
      <w:bookmarkStart w:name=" Animal care and management" w:id="10"/>
      <w:bookmarkEnd w:id="10"/>
      <w:r>
        <w:rPr>
          <w:color w:val="231F20"/>
          <w:w w:val="110"/>
        </w:rPr>
        <w:t>Vriddhutulsi</w:t>
      </w:r>
      <w:r>
        <w:rPr>
          <w:color w:val="231F20"/>
          <w:w w:val="110"/>
        </w:rPr>
        <w:t> (Sanskrit),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Ram</w:t>
      </w:r>
      <w:r>
        <w:rPr>
          <w:color w:val="231F20"/>
          <w:w w:val="110"/>
        </w:rPr>
        <w:t> tulsi</w:t>
      </w:r>
      <w:r>
        <w:rPr>
          <w:color w:val="231F20"/>
          <w:w w:val="110"/>
        </w:rPr>
        <w:t> (Hindi),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Nimma</w:t>
      </w:r>
      <w:r>
        <w:rPr>
          <w:color w:val="231F20"/>
          <w:w w:val="110"/>
        </w:rPr>
        <w:t> tulasi (Kannada).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 the southern part of Nigeria,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 plant is called “effinrin-nla”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Yoruba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speaking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tribe.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called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“Ahuji” by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Igbos,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while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Northern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part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Nigeria,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Hausas call</w:t>
      </w:r>
      <w:r>
        <w:rPr>
          <w:color w:val="231F20"/>
          <w:w w:val="110"/>
        </w:rPr>
        <w:t> it</w:t>
      </w:r>
      <w:r>
        <w:rPr>
          <w:color w:val="231F20"/>
          <w:w w:val="110"/>
        </w:rPr>
        <w:t> “Daidoya”</w:t>
      </w:r>
      <w:r>
        <w:rPr>
          <w:color w:val="231F20"/>
          <w:w w:val="110"/>
        </w:rPr>
        <w:t> </w:t>
      </w:r>
      <w:hyperlink w:history="true" w:anchor="_bookmark17">
        <w:r>
          <w:rPr>
            <w:color w:val="00699D"/>
            <w:w w:val="110"/>
          </w:rPr>
          <w:t>[8]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OG</w:t>
      </w:r>
      <w:r>
        <w:rPr>
          <w:color w:val="231F20"/>
          <w:w w:val="110"/>
        </w:rPr>
        <w:t> has</w:t>
      </w:r>
      <w:r>
        <w:rPr>
          <w:color w:val="231F20"/>
          <w:w w:val="110"/>
        </w:rPr>
        <w:t> been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extensively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 traditional</w:t>
      </w:r>
      <w:r>
        <w:rPr>
          <w:color w:val="231F20"/>
          <w:w w:val="110"/>
        </w:rPr>
        <w:t> system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medicine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many</w:t>
      </w:r>
      <w:r>
        <w:rPr>
          <w:color w:val="231F20"/>
          <w:w w:val="110"/>
        </w:rPr>
        <w:t> countries.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north</w:t>
      </w:r>
      <w:r>
        <w:rPr>
          <w:color w:val="231F20"/>
          <w:w w:val="110"/>
        </w:rPr>
        <w:t> east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Brazil, it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medicinal, condiment</w:t>
      </w:r>
      <w:r>
        <w:rPr>
          <w:color w:val="231F20"/>
          <w:w w:val="110"/>
        </w:rPr>
        <w:t> and culinary</w:t>
      </w:r>
      <w:r>
        <w:rPr>
          <w:color w:val="231F20"/>
          <w:w w:val="110"/>
        </w:rPr>
        <w:t> purposes. The</w:t>
      </w:r>
      <w:r>
        <w:rPr>
          <w:color w:val="231F20"/>
          <w:w w:val="110"/>
        </w:rPr>
        <w:t> flowers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leaves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plant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w w:val="110"/>
        </w:rPr>
        <w:t> rich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essential</w:t>
      </w:r>
      <w:r>
        <w:rPr>
          <w:color w:val="231F20"/>
          <w:w w:val="110"/>
        </w:rPr>
        <w:t> oils</w:t>
      </w:r>
      <w:r>
        <w:rPr>
          <w:color w:val="231F20"/>
          <w:w w:val="110"/>
        </w:rPr>
        <w:t> so</w:t>
      </w:r>
      <w:r>
        <w:rPr>
          <w:color w:val="231F20"/>
          <w:w w:val="110"/>
        </w:rPr>
        <w:t> it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preparation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teas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infusion</w:t>
      </w:r>
      <w:r>
        <w:rPr>
          <w:color w:val="231F20"/>
          <w:w w:val="110"/>
        </w:rPr>
        <w:t> </w:t>
      </w:r>
      <w:hyperlink w:history="true" w:anchor="_bookmark18">
        <w:r>
          <w:rPr>
            <w:color w:val="00699D"/>
            <w:w w:val="110"/>
          </w:rPr>
          <w:t>[9]</w:t>
        </w:r>
      </w:hyperlink>
      <w:r>
        <w:rPr>
          <w:color w:val="231F20"/>
          <w:w w:val="110"/>
        </w:rPr>
        <w:t>.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coastal</w:t>
      </w:r>
      <w:r>
        <w:rPr>
          <w:color w:val="231F20"/>
          <w:w w:val="110"/>
        </w:rPr>
        <w:t> areas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Nigeria, the</w:t>
      </w:r>
      <w:r>
        <w:rPr>
          <w:color w:val="231F20"/>
          <w:w w:val="110"/>
        </w:rPr>
        <w:t> plant</w:t>
      </w:r>
      <w:r>
        <w:rPr>
          <w:color w:val="231F20"/>
          <w:w w:val="110"/>
        </w:rPr>
        <w:t> is used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treatment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epilepsy,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high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fever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diarrhea</w:t>
      </w:r>
      <w:r>
        <w:rPr>
          <w:color w:val="231F20"/>
          <w:spacing w:val="-1"/>
          <w:w w:val="110"/>
        </w:rPr>
        <w:t> </w:t>
      </w:r>
      <w:hyperlink w:history="true" w:anchor="_bookmark17">
        <w:r>
          <w:rPr>
            <w:color w:val="00699D"/>
            <w:w w:val="110"/>
          </w:rPr>
          <w:t>[8]</w:t>
        </w:r>
      </w:hyperlink>
      <w:r>
        <w:rPr>
          <w:color w:val="231F20"/>
          <w:w w:val="110"/>
        </w:rPr>
        <w:t>.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savannah</w:t>
      </w:r>
      <w:r>
        <w:rPr>
          <w:color w:val="231F20"/>
          <w:w w:val="110"/>
        </w:rPr>
        <w:t> areas</w:t>
      </w:r>
      <w:r>
        <w:rPr>
          <w:color w:val="231F20"/>
          <w:w w:val="110"/>
        </w:rPr>
        <w:t> decoctions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leaves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to treat mental illness </w:t>
      </w:r>
      <w:hyperlink w:history="true" w:anchor="_bookmark19">
        <w:r>
          <w:rPr>
            <w:color w:val="00699D"/>
            <w:w w:val="110"/>
          </w:rPr>
          <w:t>[10]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OG is used by the Ibos of Southeast- ern</w:t>
      </w:r>
      <w:r>
        <w:rPr>
          <w:color w:val="231F20"/>
          <w:w w:val="110"/>
        </w:rPr>
        <w:t> Nigeria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management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baby’s</w:t>
      </w:r>
      <w:r>
        <w:rPr>
          <w:color w:val="231F20"/>
          <w:w w:val="110"/>
        </w:rPr>
        <w:t> cord,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keep</w:t>
      </w:r>
      <w:r>
        <w:rPr>
          <w:color w:val="231F20"/>
          <w:w w:val="110"/>
        </w:rPr>
        <w:t> the wound</w:t>
      </w:r>
      <w:r>
        <w:rPr>
          <w:color w:val="231F20"/>
          <w:w w:val="110"/>
        </w:rPr>
        <w:t> surfaces</w:t>
      </w:r>
      <w:r>
        <w:rPr>
          <w:color w:val="231F20"/>
          <w:w w:val="110"/>
        </w:rPr>
        <w:t> sterile.</w:t>
      </w:r>
      <w:r>
        <w:rPr>
          <w:color w:val="231F20"/>
          <w:w w:val="110"/>
        </w:rPr>
        <w:t> It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also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treatment</w:t>
      </w:r>
      <w:r>
        <w:rPr>
          <w:color w:val="231F20"/>
          <w:w w:val="110"/>
        </w:rPr>
        <w:t> of fungal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infections,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fever,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cold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catarrh</w:t>
      </w:r>
      <w:r>
        <w:rPr>
          <w:color w:val="231F20"/>
          <w:spacing w:val="-6"/>
          <w:w w:val="110"/>
        </w:rPr>
        <w:t> </w:t>
      </w:r>
      <w:hyperlink w:history="true" w:anchor="_bookmark20">
        <w:r>
          <w:rPr>
            <w:color w:val="00699D"/>
            <w:w w:val="110"/>
          </w:rPr>
          <w:t>[11]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Despite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all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these </w:t>
      </w:r>
      <w:bookmarkStart w:name=" Experimental design" w:id="11"/>
      <w:bookmarkEnd w:id="11"/>
      <w:r>
        <w:rPr>
          <w:color w:val="231F20"/>
          <w:w w:val="110"/>
        </w:rPr>
        <w:t>medicina</w:t>
      </w:r>
      <w:r>
        <w:rPr>
          <w:color w:val="231F20"/>
          <w:w w:val="110"/>
        </w:rPr>
        <w:t>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values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i/>
          <w:color w:val="231F20"/>
          <w:w w:val="110"/>
        </w:rPr>
        <w:t>O.</w:t>
      </w:r>
      <w:r>
        <w:rPr>
          <w:i/>
          <w:color w:val="231F20"/>
          <w:spacing w:val="-11"/>
          <w:w w:val="110"/>
        </w:rPr>
        <w:t> </w:t>
      </w:r>
      <w:r>
        <w:rPr>
          <w:i/>
          <w:color w:val="231F20"/>
          <w:w w:val="110"/>
        </w:rPr>
        <w:t>gratissimum</w:t>
      </w:r>
      <w:r>
        <w:rPr>
          <w:color w:val="231F20"/>
          <w:w w:val="110"/>
        </w:rPr>
        <w:t>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there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paucity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litera- ture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use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plant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treatment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drug-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induced</w:t>
      </w:r>
      <w:r>
        <w:rPr>
          <w:color w:val="231F20"/>
          <w:w w:val="110"/>
        </w:rPr>
        <w:t> kidney</w:t>
      </w:r>
      <w:r>
        <w:rPr>
          <w:color w:val="231F20"/>
          <w:w w:val="110"/>
        </w:rPr>
        <w:t> injury.</w:t>
      </w:r>
      <w:r>
        <w:rPr>
          <w:color w:val="231F20"/>
          <w:w w:val="110"/>
        </w:rPr>
        <w:t> Therefore,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study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aimed</w:t>
      </w:r>
      <w:r>
        <w:rPr>
          <w:color w:val="231F20"/>
          <w:w w:val="110"/>
        </w:rPr>
        <w:t> at </w:t>
      </w:r>
      <w:r>
        <w:rPr>
          <w:color w:val="231F20"/>
        </w:rPr>
        <w:t>investigating the effect of aqueous extract of </w:t>
      </w:r>
      <w:r>
        <w:rPr>
          <w:i/>
          <w:color w:val="231F20"/>
        </w:rPr>
        <w:t>Ocimum gratissimum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(AOGL) on markers of renal function in rats following genta- micin administration.</w:t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r>
        <w:rPr>
          <w:b w:val="0"/>
        </w:rPr>
        <w:br w:type="column"/>
      </w:r>
      <w:r>
        <w:rPr>
          <w:color w:val="231F20"/>
          <w:spacing w:val="-2"/>
        </w:rPr>
        <w:t>Materials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methods</w:t>
      </w:r>
    </w:p>
    <w:p>
      <w:pPr>
        <w:pStyle w:val="BodyText"/>
        <w:spacing w:before="25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" w:after="0"/>
        <w:ind w:left="754" w:right="0" w:hanging="638"/>
        <w:jc w:val="left"/>
        <w:rPr>
          <w:i/>
        </w:rPr>
      </w:pPr>
      <w:r>
        <w:rPr>
          <w:i/>
          <w:color w:val="231F20"/>
          <w:w w:val="90"/>
        </w:rPr>
        <w:t>Drugs</w:t>
      </w:r>
      <w:r>
        <w:rPr>
          <w:i/>
          <w:color w:val="231F20"/>
          <w:spacing w:val="-3"/>
          <w:w w:val="90"/>
        </w:rPr>
        <w:t> </w:t>
      </w:r>
      <w:r>
        <w:rPr>
          <w:i/>
          <w:color w:val="231F20"/>
          <w:w w:val="90"/>
        </w:rPr>
        <w:t>and</w:t>
      </w:r>
      <w:r>
        <w:rPr>
          <w:i/>
          <w:color w:val="231F20"/>
          <w:spacing w:val="-2"/>
          <w:w w:val="90"/>
        </w:rPr>
        <w:t> materials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/>
        <w:ind w:left="116" w:right="235"/>
        <w:jc w:val="both"/>
      </w:pPr>
      <w:r>
        <w:rPr>
          <w:color w:val="231F20"/>
          <w:w w:val="110"/>
        </w:rPr>
        <w:t>Gentamicin</w:t>
      </w:r>
      <w:r>
        <w:rPr>
          <w:color w:val="231F20"/>
          <w:w w:val="110"/>
        </w:rPr>
        <w:t> injection</w:t>
      </w:r>
      <w:r>
        <w:rPr>
          <w:color w:val="231F20"/>
          <w:w w:val="110"/>
        </w:rPr>
        <w:t> 80 mg/2 ml</w:t>
      </w:r>
      <w:r>
        <w:rPr>
          <w:color w:val="231F20"/>
          <w:w w:val="110"/>
        </w:rPr>
        <w:t> (manufactured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Shanxi Shuguang Pharmaceutical Co.,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limited) is marketed as an </w:t>
      </w:r>
      <w:r>
        <w:rPr>
          <w:color w:val="231F20"/>
          <w:w w:val="110"/>
        </w:rPr>
        <w:t>an- </w:t>
      </w:r>
      <w:r>
        <w:rPr>
          <w:color w:val="231F20"/>
          <w:spacing w:val="-2"/>
          <w:w w:val="110"/>
        </w:rPr>
        <w:t>tibiotic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drug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against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wide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variety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pathogenic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gram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negative </w:t>
      </w:r>
      <w:r>
        <w:rPr>
          <w:color w:val="231F20"/>
          <w:w w:val="110"/>
        </w:rPr>
        <w:t>and positive bacteria.</w:t>
      </w:r>
    </w:p>
    <w:p>
      <w:pPr>
        <w:pStyle w:val="BodyText"/>
        <w:spacing w:line="302" w:lineRule="auto" w:before="2"/>
        <w:ind w:left="116" w:right="234" w:firstLine="239"/>
        <w:jc w:val="both"/>
      </w:pPr>
      <w:r>
        <w:rPr>
          <w:color w:val="231F20"/>
          <w:w w:val="110"/>
        </w:rPr>
        <w:t>Metabolic</w:t>
      </w:r>
      <w:r>
        <w:rPr>
          <w:color w:val="231F20"/>
          <w:w w:val="110"/>
        </w:rPr>
        <w:t> cages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study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fabricated</w:t>
      </w:r>
      <w:r>
        <w:rPr>
          <w:color w:val="231F20"/>
          <w:w w:val="110"/>
        </w:rPr>
        <w:t> by </w:t>
      </w:r>
      <w:r>
        <w:rPr>
          <w:color w:val="231F20"/>
        </w:rPr>
        <w:t>Central Technological Laboratory and Workshops (CTLW), OAU,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Ile-Ife.</w:t>
      </w:r>
    </w:p>
    <w:p>
      <w:pPr>
        <w:pStyle w:val="BodyText"/>
        <w:spacing w:before="59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Plant</w:t>
      </w:r>
      <w:r>
        <w:rPr>
          <w:i/>
          <w:color w:val="231F20"/>
          <w:spacing w:val="2"/>
        </w:rPr>
        <w:t> </w:t>
      </w:r>
      <w:r>
        <w:rPr>
          <w:i/>
          <w:color w:val="231F20"/>
          <w:spacing w:val="-2"/>
          <w:w w:val="95"/>
        </w:rPr>
        <w:t>extraction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 w:before="1"/>
        <w:ind w:left="116" w:right="234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plant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leaves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collected,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washed,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air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dried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under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shade and</w:t>
      </w:r>
      <w:r>
        <w:rPr>
          <w:color w:val="231F20"/>
          <w:w w:val="110"/>
        </w:rPr>
        <w:t> ground</w:t>
      </w:r>
      <w:r>
        <w:rPr>
          <w:color w:val="231F20"/>
          <w:w w:val="110"/>
        </w:rPr>
        <w:t> into</w:t>
      </w:r>
      <w:r>
        <w:rPr>
          <w:color w:val="231F20"/>
          <w:w w:val="110"/>
        </w:rPr>
        <w:t> fine</w:t>
      </w:r>
      <w:r>
        <w:rPr>
          <w:color w:val="231F20"/>
          <w:w w:val="110"/>
        </w:rPr>
        <w:t> powder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blender. The</w:t>
      </w:r>
      <w:r>
        <w:rPr>
          <w:color w:val="231F20"/>
          <w:w w:val="110"/>
        </w:rPr>
        <w:t> aqueous extract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obtained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extracting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powdered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leaves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(323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g)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3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liters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distilled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water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electric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shaker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48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hours.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extract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filtered</w:t>
      </w:r>
      <w:r>
        <w:rPr>
          <w:color w:val="231F20"/>
          <w:w w:val="110"/>
        </w:rPr>
        <w:t> through Whatman</w:t>
      </w:r>
      <w:r>
        <w:rPr>
          <w:color w:val="231F20"/>
          <w:w w:val="110"/>
        </w:rPr>
        <w:t> No. 1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(Whatman </w:t>
      </w:r>
      <w:r>
        <w:rPr>
          <w:color w:val="231F20"/>
          <w:spacing w:val="-2"/>
          <w:w w:val="110"/>
        </w:rPr>
        <w:t>International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Ltd,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Maidstone,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UK)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paper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evaporated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under </w:t>
      </w:r>
      <w:r>
        <w:rPr>
          <w:color w:val="231F20"/>
        </w:rPr>
        <w:t>reduced pressure using a rotary evaporator.</w:t>
      </w:r>
      <w:r>
        <w:rPr>
          <w:color w:val="231F20"/>
          <w:spacing w:val="-10"/>
        </w:rPr>
        <w:t> </w:t>
      </w:r>
      <w:r>
        <w:rPr>
          <w:color w:val="231F20"/>
        </w:rPr>
        <w:t>The residue (33.60 g)</w:t>
      </w:r>
      <w:r>
        <w:rPr>
          <w:color w:val="231F20"/>
          <w:w w:val="110"/>
        </w:rPr>
        <w:t> 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kept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bottle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tight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fitting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cover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until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needed for the study.</w:t>
      </w:r>
    </w:p>
    <w:p>
      <w:pPr>
        <w:pStyle w:val="BodyText"/>
        <w:spacing w:before="44"/>
      </w:pPr>
    </w:p>
    <w:p>
      <w:pPr>
        <w:spacing w:before="0"/>
        <w:ind w:left="118" w:right="0" w:firstLine="0"/>
        <w:jc w:val="both"/>
        <w:rPr>
          <w:sz w:val="16"/>
        </w:rPr>
      </w:pPr>
      <w:r>
        <w:rPr>
          <w:b/>
          <w:spacing w:val="-4"/>
          <w:sz w:val="16"/>
        </w:rPr>
        <w:t>Extraction</w:t>
      </w:r>
      <w:r>
        <w:rPr>
          <w:b/>
          <w:spacing w:val="3"/>
          <w:sz w:val="16"/>
        </w:rPr>
        <w:t> </w:t>
      </w:r>
      <w:r>
        <w:rPr>
          <w:b/>
          <w:spacing w:val="-4"/>
          <w:sz w:val="16"/>
        </w:rPr>
        <w:t>yield</w:t>
      </w:r>
      <w:r>
        <w:rPr>
          <w:b/>
          <w:spacing w:val="-3"/>
          <w:sz w:val="16"/>
        </w:rPr>
        <w:t> </w:t>
      </w:r>
      <w:r>
        <w:rPr>
          <w:b/>
          <w:spacing w:val="-4"/>
          <w:sz w:val="16"/>
        </w:rPr>
        <w:t>in %</w:t>
      </w:r>
      <w:r>
        <w:rPr>
          <w:b/>
          <w:spacing w:val="-2"/>
          <w:sz w:val="16"/>
        </w:rPr>
        <w:t> </w:t>
      </w:r>
      <w:r>
        <w:rPr>
          <w:rFonts w:ascii="Symbol" w:hAnsi="Symbol"/>
          <w:spacing w:val="-4"/>
          <w:sz w:val="16"/>
        </w:rPr>
        <w:t></w:t>
      </w:r>
      <w:r>
        <w:rPr>
          <w:rFonts w:ascii="Times New Roman" w:hAnsi="Times New Roman"/>
          <w:spacing w:val="-5"/>
          <w:sz w:val="16"/>
        </w:rPr>
        <w:t> </w:t>
      </w:r>
      <w:r>
        <w:rPr>
          <w:spacing w:val="-4"/>
          <w:sz w:val="16"/>
        </w:rPr>
        <w:t>33.60</w:t>
      </w:r>
      <w:r>
        <w:rPr>
          <w:spacing w:val="-8"/>
          <w:position w:val="-3"/>
          <w:sz w:val="16"/>
        </w:rPr>
        <w:drawing>
          <wp:inline distT="0" distB="0" distL="0" distR="0">
            <wp:extent cx="37299" cy="103187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9" cy="1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position w:val="-3"/>
          <w:sz w:val="16"/>
        </w:rPr>
      </w:r>
      <w:r>
        <w:rPr>
          <w:spacing w:val="-4"/>
          <w:sz w:val="16"/>
        </w:rPr>
        <w:t>323</w:t>
      </w:r>
      <w:r>
        <w:rPr>
          <w:spacing w:val="-9"/>
          <w:sz w:val="16"/>
        </w:rPr>
        <w:t> </w:t>
      </w:r>
      <w:r>
        <w:rPr>
          <w:rFonts w:ascii="Symbol" w:hAnsi="Symbol"/>
          <w:spacing w:val="-4"/>
          <w:sz w:val="16"/>
        </w:rPr>
        <w:t></w:t>
      </w:r>
      <w:r>
        <w:rPr>
          <w:rFonts w:ascii="Times New Roman" w:hAnsi="Times New Roman"/>
          <w:spacing w:val="-11"/>
          <w:sz w:val="16"/>
        </w:rPr>
        <w:t> </w:t>
      </w:r>
      <w:r>
        <w:rPr>
          <w:spacing w:val="-5"/>
          <w:sz w:val="16"/>
        </w:rPr>
        <w:t>100</w:t>
      </w:r>
    </w:p>
    <w:p>
      <w:pPr>
        <w:spacing w:before="29"/>
        <w:ind w:left="0" w:right="984" w:firstLine="0"/>
        <w:jc w:val="center"/>
        <w:rPr>
          <w:sz w:val="16"/>
        </w:rPr>
      </w:pP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-2"/>
          <w:sz w:val="16"/>
        </w:rPr>
        <w:t> </w:t>
      </w:r>
      <w:r>
        <w:rPr>
          <w:b/>
          <w:spacing w:val="-2"/>
          <w:sz w:val="16"/>
        </w:rPr>
        <w:t>10.4%</w:t>
      </w:r>
      <w:r>
        <w:rPr>
          <w:spacing w:val="-2"/>
          <w:sz w:val="16"/>
        </w:rPr>
        <w:t>.</w:t>
      </w:r>
    </w:p>
    <w:p>
      <w:pPr>
        <w:pStyle w:val="BodyText"/>
        <w:spacing w:before="165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Animal</w:t>
      </w:r>
      <w:r>
        <w:rPr>
          <w:i/>
          <w:color w:val="231F20"/>
          <w:spacing w:val="11"/>
        </w:rPr>
        <w:t> </w:t>
      </w:r>
      <w:r>
        <w:rPr>
          <w:i/>
          <w:color w:val="231F20"/>
          <w:w w:val="85"/>
        </w:rPr>
        <w:t>care</w:t>
      </w:r>
      <w:r>
        <w:rPr>
          <w:i/>
          <w:color w:val="231F20"/>
          <w:spacing w:val="11"/>
        </w:rPr>
        <w:t> </w:t>
      </w:r>
      <w:r>
        <w:rPr>
          <w:i/>
          <w:color w:val="231F20"/>
          <w:w w:val="85"/>
        </w:rPr>
        <w:t>and</w:t>
      </w:r>
      <w:r>
        <w:rPr>
          <w:i/>
          <w:color w:val="231F20"/>
          <w:spacing w:val="11"/>
        </w:rPr>
        <w:t> </w:t>
      </w:r>
      <w:r>
        <w:rPr>
          <w:i/>
          <w:color w:val="231F20"/>
          <w:spacing w:val="-2"/>
          <w:w w:val="85"/>
        </w:rPr>
        <w:t>management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116" w:right="232"/>
        <w:jc w:val="both"/>
      </w:pPr>
      <w:r>
        <w:rPr>
          <w:color w:val="231F20"/>
          <w:spacing w:val="-6"/>
          <w:w w:val="110"/>
        </w:rPr>
        <w:t>Sixty-five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6"/>
          <w:w w:val="110"/>
        </w:rPr>
        <w:t>adult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6"/>
          <w:w w:val="110"/>
        </w:rPr>
        <w:t>male</w:t>
      </w:r>
      <w:r>
        <w:rPr>
          <w:color w:val="231F20"/>
          <w:spacing w:val="-1"/>
        </w:rPr>
        <w:t> </w:t>
      </w:r>
      <w:r>
        <w:rPr>
          <w:color w:val="231F20"/>
          <w:spacing w:val="-6"/>
          <w:w w:val="110"/>
        </w:rPr>
        <w:t>Wistar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6"/>
          <w:w w:val="110"/>
        </w:rPr>
        <w:t>rats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6"/>
          <w:w w:val="110"/>
        </w:rPr>
        <w:t>weighing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6"/>
          <w:w w:val="110"/>
        </w:rPr>
        <w:t>150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6"/>
          <w:w w:val="110"/>
        </w:rPr>
        <w:t>g–200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6"/>
          <w:w w:val="110"/>
        </w:rPr>
        <w:t>g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6"/>
          <w:w w:val="110"/>
        </w:rPr>
        <w:t>were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6"/>
          <w:w w:val="110"/>
        </w:rPr>
        <w:t>used</w:t>
      </w:r>
      <w:r>
        <w:rPr>
          <w:color w:val="231F20"/>
          <w:w w:val="110"/>
        </w:rPr>
        <w:t> for this study; they were obtained from the Animal House </w:t>
      </w:r>
      <w:r>
        <w:rPr>
          <w:color w:val="231F20"/>
          <w:w w:val="110"/>
        </w:rPr>
        <w:t>of the College of Health Sciences,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Obafemi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Awolowo University, Ile-Ife, and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housed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plastic</w:t>
      </w:r>
      <w:r>
        <w:rPr>
          <w:color w:val="231F20"/>
          <w:w w:val="110"/>
        </w:rPr>
        <w:t> cage. The</w:t>
      </w:r>
      <w:r>
        <w:rPr>
          <w:color w:val="231F20"/>
          <w:w w:val="110"/>
        </w:rPr>
        <w:t> animals</w:t>
      </w:r>
      <w:r>
        <w:rPr>
          <w:color w:val="231F20"/>
          <w:w w:val="110"/>
        </w:rPr>
        <w:t> were kept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inside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metabolic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cages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under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normal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environmental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con- </w:t>
      </w:r>
      <w:r>
        <w:rPr>
          <w:color w:val="231F20"/>
          <w:spacing w:val="-4"/>
          <w:w w:val="110"/>
        </w:rPr>
        <w:t>ditions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light/dark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cycle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had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free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access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to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standard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rodent</w:t>
      </w:r>
      <w:r>
        <w:rPr>
          <w:color w:val="231F20"/>
          <w:w w:val="110"/>
        </w:rPr>
        <w:t> </w:t>
      </w:r>
      <w:r>
        <w:rPr>
          <w:color w:val="231F20"/>
        </w:rPr>
        <w:t>pellet diet (Caps Feed PLC Osogbo, Nigeria) and water.</w:t>
      </w:r>
      <w:r>
        <w:rPr>
          <w:color w:val="231F20"/>
          <w:spacing w:val="-10"/>
        </w:rPr>
        <w:t> </w:t>
      </w:r>
      <w:r>
        <w:rPr>
          <w:color w:val="231F20"/>
        </w:rPr>
        <w:t>They were</w:t>
      </w:r>
      <w:r>
        <w:rPr>
          <w:color w:val="231F20"/>
          <w:w w:val="110"/>
        </w:rPr>
        <w:t> allowed to acclimatize in the laboratory for two weeks before the</w:t>
      </w:r>
      <w:r>
        <w:rPr>
          <w:color w:val="231F20"/>
          <w:w w:val="110"/>
        </w:rPr>
        <w:t> commencement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study. The</w:t>
      </w:r>
      <w:r>
        <w:rPr>
          <w:color w:val="231F20"/>
          <w:w w:val="110"/>
        </w:rPr>
        <w:t> experimental</w:t>
      </w:r>
      <w:r>
        <w:rPr>
          <w:color w:val="231F20"/>
          <w:w w:val="110"/>
        </w:rPr>
        <w:t> proce- dures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adopted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study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strict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compliance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 Experimental Animal Care and Use of Laboratory Animals in Biomedical</w:t>
      </w:r>
      <w:r>
        <w:rPr>
          <w:color w:val="231F20"/>
          <w:w w:val="110"/>
        </w:rPr>
        <w:t> Research,</w:t>
      </w:r>
      <w:r>
        <w:rPr>
          <w:color w:val="231F20"/>
          <w:w w:val="110"/>
        </w:rPr>
        <w:t> College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Health</w:t>
      </w:r>
      <w:r>
        <w:rPr>
          <w:color w:val="231F20"/>
          <w:w w:val="110"/>
        </w:rPr>
        <w:t> Sciences,</w:t>
      </w:r>
      <w:r>
        <w:rPr>
          <w:color w:val="231F20"/>
          <w:w w:val="110"/>
        </w:rPr>
        <w:t> Obafemi Awolowo University, Ile-Ife.</w:t>
      </w:r>
    </w:p>
    <w:p>
      <w:pPr>
        <w:pStyle w:val="BodyText"/>
        <w:spacing w:before="63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Experimental</w:t>
      </w:r>
      <w:r>
        <w:rPr>
          <w:i/>
          <w:color w:val="231F20"/>
          <w:spacing w:val="7"/>
        </w:rPr>
        <w:t> </w:t>
      </w:r>
      <w:r>
        <w:rPr>
          <w:i/>
          <w:color w:val="231F20"/>
          <w:spacing w:val="-2"/>
          <w:w w:val="95"/>
        </w:rPr>
        <w:t>design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116" w:right="233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rats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divided</w:t>
      </w:r>
      <w:r>
        <w:rPr>
          <w:color w:val="231F20"/>
          <w:w w:val="110"/>
        </w:rPr>
        <w:t> into</w:t>
      </w:r>
      <w:r>
        <w:rPr>
          <w:color w:val="231F20"/>
          <w:w w:val="110"/>
        </w:rPr>
        <w:t> 5</w:t>
      </w:r>
      <w:r>
        <w:rPr>
          <w:color w:val="231F20"/>
          <w:w w:val="110"/>
        </w:rPr>
        <w:t> groups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follows:</w:t>
      </w:r>
      <w:r>
        <w:rPr>
          <w:color w:val="231F20"/>
          <w:w w:val="110"/>
        </w:rPr>
        <w:t> Group</w:t>
      </w:r>
      <w:r>
        <w:rPr>
          <w:color w:val="231F20"/>
          <w:w w:val="110"/>
        </w:rPr>
        <w:t> 1</w:t>
      </w:r>
      <w:r>
        <w:rPr>
          <w:color w:val="231F20"/>
          <w:w w:val="110"/>
        </w:rPr>
        <w:t> (the </w:t>
      </w:r>
      <w:r>
        <w:rPr>
          <w:color w:val="231F20"/>
        </w:rPr>
        <w:t>control)</w:t>
      </w:r>
      <w:r>
        <w:rPr>
          <w:color w:val="231F20"/>
          <w:spacing w:val="15"/>
        </w:rPr>
        <w:t> </w:t>
      </w:r>
      <w:r>
        <w:rPr>
          <w:color w:val="231F20"/>
        </w:rPr>
        <w:t>consisting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5</w:t>
      </w:r>
      <w:r>
        <w:rPr>
          <w:color w:val="231F20"/>
          <w:spacing w:val="16"/>
        </w:rPr>
        <w:t> </w:t>
      </w:r>
      <w:r>
        <w:rPr>
          <w:color w:val="231F20"/>
        </w:rPr>
        <w:t>rats</w:t>
      </w:r>
      <w:r>
        <w:rPr>
          <w:color w:val="231F20"/>
          <w:spacing w:val="15"/>
        </w:rPr>
        <w:t> </w:t>
      </w:r>
      <w:r>
        <w:rPr>
          <w:color w:val="231F20"/>
        </w:rPr>
        <w:t>received</w:t>
      </w:r>
      <w:r>
        <w:rPr>
          <w:color w:val="231F20"/>
          <w:spacing w:val="16"/>
        </w:rPr>
        <w:t> </w:t>
      </w:r>
      <w:r>
        <w:rPr>
          <w:color w:val="231F20"/>
        </w:rPr>
        <w:t>2</w:t>
      </w:r>
      <w:r>
        <w:rPr>
          <w:color w:val="231F20"/>
          <w:spacing w:val="16"/>
        </w:rPr>
        <w:t> </w:t>
      </w:r>
      <w:r>
        <w:rPr>
          <w:color w:val="231F20"/>
        </w:rPr>
        <w:t>ml/kg</w:t>
      </w:r>
      <w:r>
        <w:rPr>
          <w:color w:val="231F20"/>
          <w:spacing w:val="16"/>
        </w:rPr>
        <w:t> </w:t>
      </w:r>
      <w:r>
        <w:rPr>
          <w:color w:val="231F20"/>
        </w:rPr>
        <w:t>distilled</w:t>
      </w:r>
      <w:r>
        <w:rPr>
          <w:color w:val="231F20"/>
          <w:spacing w:val="15"/>
        </w:rPr>
        <w:t> </w:t>
      </w:r>
      <w:r>
        <w:rPr>
          <w:color w:val="231F20"/>
        </w:rPr>
        <w:t>water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daily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1" w:space="209"/>
            <w:col w:w="5150"/>
          </w:cols>
        </w:sectPr>
      </w:pP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19"/>
          <w:headerReference w:type="even" r:id="rId20"/>
          <w:pgSz w:w="11910" w:h="15880"/>
          <w:pgMar w:header="638" w:footer="0" w:top="1060" w:bottom="280" w:left="800" w:right="800"/>
          <w:pgNumType w:start="221"/>
        </w:sectPr>
      </w:pPr>
    </w:p>
    <w:p>
      <w:pPr>
        <w:pStyle w:val="BodyText"/>
        <w:spacing w:line="302" w:lineRule="auto" w:before="101"/>
        <w:ind w:left="237" w:right="38"/>
        <w:jc w:val="both"/>
      </w:pPr>
      <w:bookmarkStart w:name=" Urine creatinine and urea" w:id="12"/>
      <w:bookmarkEnd w:id="12"/>
      <w:r>
        <w:rPr/>
      </w:r>
      <w:r>
        <w:rPr>
          <w:color w:val="231F20"/>
          <w:w w:val="110"/>
        </w:rPr>
        <w:t>by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oral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route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whole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period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study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(2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weeks).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Twenty- four hours after the last administration of distilled water,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 rats were sacrificed by cervical dislocation.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Group 2 (the toxic </w:t>
      </w:r>
      <w:bookmarkStart w:name=" Protein determination" w:id="13"/>
      <w:bookmarkEnd w:id="13"/>
      <w:r>
        <w:rPr>
          <w:color w:val="231F20"/>
          <w:w w:val="110"/>
        </w:rPr>
        <w:t>cont</w:t>
      </w:r>
      <w:r>
        <w:rPr>
          <w:color w:val="231F20"/>
          <w:w w:val="110"/>
        </w:rPr>
        <w:t>rol) consisted of 10 rats, each of which received 100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mg/ kg/day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 gentamicin </w:t>
      </w:r>
      <w:r>
        <w:rPr>
          <w:i/>
          <w:color w:val="231F20"/>
          <w:w w:val="110"/>
        </w:rPr>
        <w:t>i.p. </w:t>
      </w:r>
      <w:r>
        <w:rPr>
          <w:color w:val="231F20"/>
          <w:w w:val="110"/>
        </w:rPr>
        <w:t>for a week.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They were left untreated </w:t>
      </w:r>
      <w:r>
        <w:rPr>
          <w:color w:val="231F20"/>
        </w:rPr>
        <w:t>with aqueous extract of </w:t>
      </w:r>
      <w:r>
        <w:rPr>
          <w:i/>
          <w:color w:val="231F20"/>
        </w:rPr>
        <w:t>Ocimum gratissimum </w:t>
      </w:r>
      <w:r>
        <w:rPr>
          <w:color w:val="231F20"/>
        </w:rPr>
        <w:t>(AOGL) for 2 weeks.</w:t>
      </w:r>
      <w:r>
        <w:rPr>
          <w:color w:val="231F20"/>
          <w:w w:val="110"/>
        </w:rPr>
        <w:t> Five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rats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sacrificed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twenty-four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hours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after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last </w:t>
      </w:r>
      <w:bookmarkStart w:name=" Creatinine clearance" w:id="14"/>
      <w:bookmarkEnd w:id="14"/>
      <w:r>
        <w:rPr>
          <w:color w:val="231F20"/>
          <w:w w:val="110"/>
        </w:rPr>
        <w:t>administ</w:t>
      </w:r>
      <w:r>
        <w:rPr>
          <w:color w:val="231F20"/>
          <w:w w:val="110"/>
        </w:rPr>
        <w:t>ration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gentamicin,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while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remaining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5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rats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were sacrificed on the 14th day of recovery period.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Groups 3,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4 and 5 consist of 5 rats each.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They were pre-treated with gentami- cin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Group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2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rats,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after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received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100,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200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 400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mg/kg/day</w:t>
      </w:r>
      <w:r>
        <w:rPr>
          <w:color w:val="231F20"/>
          <w:w w:val="110"/>
        </w:rPr>
        <w:t> each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AOGL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p.o.</w:t>
      </w:r>
      <w:r>
        <w:rPr>
          <w:color w:val="231F20"/>
          <w:w w:val="110"/>
        </w:rPr>
        <w:t>,</w:t>
      </w:r>
      <w:r>
        <w:rPr>
          <w:color w:val="231F20"/>
          <w:w w:val="110"/>
        </w:rPr>
        <w:t> respectively,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14</w:t>
      </w:r>
      <w:r>
        <w:rPr>
          <w:color w:val="231F20"/>
          <w:w w:val="110"/>
        </w:rPr>
        <w:t> days. Rats</w:t>
      </w:r>
      <w:r>
        <w:rPr>
          <w:color w:val="231F20"/>
          <w:spacing w:val="45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45"/>
          <w:w w:val="110"/>
        </w:rPr>
        <w:t> </w:t>
      </w:r>
      <w:r>
        <w:rPr>
          <w:color w:val="231F20"/>
          <w:w w:val="110"/>
        </w:rPr>
        <w:t>each</w:t>
      </w:r>
      <w:r>
        <w:rPr>
          <w:color w:val="231F20"/>
          <w:spacing w:val="45"/>
          <w:w w:val="110"/>
        </w:rPr>
        <w:t> </w:t>
      </w:r>
      <w:r>
        <w:rPr>
          <w:color w:val="231F20"/>
          <w:w w:val="110"/>
        </w:rPr>
        <w:t>group</w:t>
      </w:r>
      <w:r>
        <w:rPr>
          <w:color w:val="231F20"/>
          <w:spacing w:val="46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45"/>
          <w:w w:val="110"/>
        </w:rPr>
        <w:t> </w:t>
      </w:r>
      <w:r>
        <w:rPr>
          <w:color w:val="231F20"/>
          <w:w w:val="110"/>
        </w:rPr>
        <w:t>sacrificed</w:t>
      </w:r>
      <w:r>
        <w:rPr>
          <w:color w:val="231F20"/>
          <w:spacing w:val="45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4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6"/>
          <w:w w:val="110"/>
        </w:rPr>
        <w:t> </w:t>
      </w:r>
      <w:r>
        <w:rPr>
          <w:color w:val="231F20"/>
          <w:w w:val="110"/>
        </w:rPr>
        <w:t>14th</w:t>
      </w:r>
      <w:r>
        <w:rPr>
          <w:color w:val="231F20"/>
          <w:spacing w:val="45"/>
          <w:w w:val="110"/>
        </w:rPr>
        <w:t> </w:t>
      </w:r>
      <w:r>
        <w:rPr>
          <w:color w:val="231F20"/>
          <w:w w:val="110"/>
        </w:rPr>
        <w:t>day</w:t>
      </w:r>
      <w:r>
        <w:rPr>
          <w:color w:val="231F20"/>
          <w:spacing w:val="45"/>
          <w:w w:val="110"/>
        </w:rPr>
        <w:t> </w:t>
      </w:r>
      <w:r>
        <w:rPr>
          <w:color w:val="231F20"/>
          <w:spacing w:val="-5"/>
          <w:w w:val="110"/>
        </w:rPr>
        <w:t>of</w:t>
      </w:r>
    </w:p>
    <w:p>
      <w:pPr>
        <w:pStyle w:val="Heading3"/>
        <w:numPr>
          <w:ilvl w:val="2"/>
          <w:numId w:val="2"/>
        </w:numPr>
        <w:tabs>
          <w:tab w:pos="875" w:val="left" w:leader="none"/>
        </w:tabs>
        <w:spacing w:line="240" w:lineRule="auto" w:before="102" w:after="0"/>
        <w:ind w:left="875" w:right="0" w:hanging="638"/>
        <w:jc w:val="both"/>
        <w:rPr>
          <w:i/>
        </w:rPr>
      </w:pPr>
      <w:r>
        <w:rPr>
          <w:i w:val="0"/>
        </w:rPr>
        <w:br w:type="column"/>
      </w:r>
      <w:r>
        <w:rPr>
          <w:i/>
          <w:color w:val="231F20"/>
          <w:spacing w:val="-2"/>
        </w:rPr>
        <w:t>Urine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creatinine</w:t>
      </w:r>
      <w:r>
        <w:rPr>
          <w:i/>
          <w:color w:val="231F20"/>
          <w:spacing w:val="-7"/>
        </w:rPr>
        <w:t> </w:t>
      </w:r>
      <w:r>
        <w:rPr>
          <w:i/>
          <w:color w:val="231F20"/>
          <w:spacing w:val="-2"/>
        </w:rPr>
        <w:t>and</w:t>
      </w:r>
      <w:r>
        <w:rPr>
          <w:i/>
          <w:color w:val="231F20"/>
          <w:spacing w:val="-7"/>
        </w:rPr>
        <w:t> </w:t>
      </w:r>
      <w:r>
        <w:rPr>
          <w:i/>
          <w:color w:val="231F20"/>
          <w:spacing w:val="-4"/>
        </w:rPr>
        <w:t>urea</w:t>
      </w:r>
    </w:p>
    <w:p>
      <w:pPr>
        <w:pStyle w:val="BodyText"/>
        <w:spacing w:line="230" w:lineRule="exact" w:before="8"/>
        <w:ind w:left="237" w:right="113"/>
        <w:jc w:val="both"/>
      </w:pPr>
      <w:r>
        <w:rPr>
          <w:color w:val="231F20"/>
          <w:w w:val="110"/>
        </w:rPr>
        <w:t>Urine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samples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obtained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diluted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1</w:t>
      </w:r>
      <w:r>
        <w:rPr>
          <w:color w:val="231F20"/>
          <w:spacing w:val="-10"/>
          <w:w w:val="110"/>
        </w:rPr>
        <w:t> </w:t>
      </w:r>
      <w:r>
        <w:rPr>
          <w:rFonts w:ascii="UKIJ CJK"/>
          <w:color w:val="231F20"/>
          <w:w w:val="110"/>
        </w:rPr>
        <w:t>+</w:t>
      </w:r>
      <w:r>
        <w:rPr>
          <w:rFonts w:ascii="UKIJ CJK"/>
          <w:color w:val="231F20"/>
          <w:spacing w:val="-12"/>
          <w:w w:val="110"/>
        </w:rPr>
        <w:t> </w:t>
      </w:r>
      <w:r>
        <w:rPr>
          <w:color w:val="231F20"/>
          <w:w w:val="110"/>
        </w:rPr>
        <w:t>49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distilled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water before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0.1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diluted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urine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sample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pipetted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into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 test tube for creatinine and urea determination.</w:t>
      </w:r>
    </w:p>
    <w:p>
      <w:pPr>
        <w:pStyle w:val="BodyText"/>
        <w:spacing w:before="74"/>
      </w:pPr>
    </w:p>
    <w:p>
      <w:pPr>
        <w:pStyle w:val="Heading3"/>
        <w:numPr>
          <w:ilvl w:val="2"/>
          <w:numId w:val="2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r>
        <w:rPr>
          <w:i/>
          <w:color w:val="231F20"/>
          <w:spacing w:val="-5"/>
        </w:rPr>
        <w:t>Protein</w:t>
      </w:r>
      <w:r>
        <w:rPr>
          <w:i/>
          <w:color w:val="231F20"/>
          <w:spacing w:val="2"/>
        </w:rPr>
        <w:t> </w:t>
      </w:r>
      <w:r>
        <w:rPr>
          <w:i/>
          <w:color w:val="231F20"/>
          <w:spacing w:val="-2"/>
        </w:rPr>
        <w:t>determination</w:t>
      </w:r>
    </w:p>
    <w:p>
      <w:pPr>
        <w:pStyle w:val="BodyText"/>
        <w:spacing w:line="302" w:lineRule="auto" w:before="46"/>
        <w:ind w:left="237" w:right="115"/>
        <w:jc w:val="both"/>
      </w:pPr>
      <w:r>
        <w:rPr>
          <w:color w:val="231F20"/>
          <w:spacing w:val="-2"/>
          <w:w w:val="110"/>
        </w:rPr>
        <w:t>Protein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determination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carried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out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according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method </w:t>
      </w:r>
      <w:r>
        <w:rPr>
          <w:color w:val="231F20"/>
          <w:w w:val="110"/>
        </w:rPr>
        <w:t>of Lowry et al. </w:t>
      </w:r>
      <w:hyperlink w:history="true" w:anchor="_bookmark22">
        <w:r>
          <w:rPr>
            <w:color w:val="00699D"/>
            <w:w w:val="110"/>
          </w:rPr>
          <w:t>[13]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as described by Holme and Peck </w:t>
      </w:r>
      <w:hyperlink w:history="true" w:anchor="_bookmark23">
        <w:r>
          <w:rPr>
            <w:color w:val="00699D"/>
            <w:w w:val="110"/>
          </w:rPr>
          <w:t>[14]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49"/>
      </w:pPr>
    </w:p>
    <w:p>
      <w:pPr>
        <w:pStyle w:val="Heading2"/>
        <w:numPr>
          <w:ilvl w:val="1"/>
          <w:numId w:val="3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r>
        <w:rPr>
          <w:i/>
          <w:color w:val="231F20"/>
          <w:w w:val="85"/>
        </w:rPr>
        <w:t>Creatinine</w:t>
      </w:r>
      <w:r>
        <w:rPr>
          <w:i/>
          <w:color w:val="231F20"/>
          <w:spacing w:val="2"/>
        </w:rPr>
        <w:t> </w:t>
      </w:r>
      <w:r>
        <w:rPr>
          <w:i/>
          <w:color w:val="231F20"/>
          <w:spacing w:val="-2"/>
          <w:w w:val="95"/>
        </w:rPr>
        <w:t>clearance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ind w:left="237"/>
        <w:jc w:val="both"/>
      </w:pPr>
      <w:r>
        <w:rPr>
          <w:color w:val="231F20"/>
          <w:w w:val="110"/>
        </w:rPr>
        <w:t>This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determined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following</w:t>
      </w:r>
      <w:r>
        <w:rPr>
          <w:color w:val="231F20"/>
          <w:spacing w:val="17"/>
          <w:w w:val="110"/>
        </w:rPr>
        <w:t> </w:t>
      </w:r>
      <w:r>
        <w:rPr>
          <w:color w:val="231F20"/>
          <w:spacing w:val="-2"/>
          <w:w w:val="110"/>
        </w:rPr>
        <w:t>equation:</w:t>
      </w:r>
    </w:p>
    <w:p>
      <w:pPr>
        <w:spacing w:after="0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1" w:space="89"/>
            <w:col w:w="5150"/>
          </w:cols>
        </w:sect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12700"/>
                <wp:effectExtent l="9525" t="0" r="0" b="6350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3041650" cy="12700"/>
                          <a:chExt cx="3041650" cy="1270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6337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126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1pt;mso-position-horizontal-relative:char;mso-position-vertical-relative:line" id="docshapegroup22" coordorigin="0,0" coordsize="4790,20">
                <v:line style="position:absolute" from="0,10" to="4789,10" stroked="true" strokeweight=".99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3"/>
      </w:pPr>
    </w:p>
    <w:p>
      <w:pPr>
        <w:pStyle w:val="BodyText"/>
        <w:spacing w:line="148" w:lineRule="auto"/>
        <w:ind w:left="237"/>
        <w:rPr>
          <w:rFonts w:ascii="Symbol" w:hAnsi="Symbol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1360">
                <wp:simplePos x="0" y="0"/>
                <wp:positionH relativeFrom="page">
                  <wp:posOffset>2924822</wp:posOffset>
                </wp:positionH>
                <wp:positionV relativeFrom="paragraph">
                  <wp:posOffset>15826</wp:posOffset>
                </wp:positionV>
                <wp:extent cx="36195" cy="10668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36195" cy="106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106680">
                              <a:moveTo>
                                <a:pt x="36118" y="0"/>
                              </a:moveTo>
                              <a:lnTo>
                                <a:pt x="33731" y="0"/>
                              </a:lnTo>
                              <a:lnTo>
                                <a:pt x="0" y="106362"/>
                              </a:lnTo>
                              <a:lnTo>
                                <a:pt x="2374" y="106362"/>
                              </a:lnTo>
                              <a:lnTo>
                                <a:pt x="361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0.300995pt;margin-top:1.246156pt;width:2.85pt;height:8.4pt;mso-position-horizontal-relative:page;mso-position-vertical-relative:paragraph;z-index:-16325120" id="docshape23" coordorigin="4606,25" coordsize="57,168" path="m4663,25l4659,25,4606,192,4610,192,4663,2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1872">
                <wp:simplePos x="0" y="0"/>
                <wp:positionH relativeFrom="page">
                  <wp:posOffset>4542485</wp:posOffset>
                </wp:positionH>
                <wp:positionV relativeFrom="paragraph">
                  <wp:posOffset>15419</wp:posOffset>
                </wp:positionV>
                <wp:extent cx="36830" cy="107314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36830" cy="1073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107314">
                              <a:moveTo>
                                <a:pt x="36512" y="0"/>
                              </a:moveTo>
                              <a:lnTo>
                                <a:pt x="34124" y="0"/>
                              </a:lnTo>
                              <a:lnTo>
                                <a:pt x="0" y="106756"/>
                              </a:lnTo>
                              <a:lnTo>
                                <a:pt x="2374" y="106756"/>
                              </a:lnTo>
                              <a:lnTo>
                                <a:pt x="365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675995pt;margin-top:1.214156pt;width:2.9pt;height:8.450pt;mso-position-horizontal-relative:page;mso-position-vertical-relative:paragraph;z-index:-16324608" id="docshape24" coordorigin="7154,24" coordsize="58,169" path="m7211,24l7207,24,7154,192,7157,192,7211,2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05"/>
          <w:position w:val="-9"/>
        </w:rPr>
        <w:t>Creatinine</w:t>
      </w:r>
      <w:r>
        <w:rPr>
          <w:spacing w:val="16"/>
          <w:w w:val="105"/>
          <w:position w:val="-9"/>
        </w:rPr>
        <w:t> </w:t>
      </w:r>
      <w:r>
        <w:rPr>
          <w:w w:val="105"/>
          <w:position w:val="-9"/>
        </w:rPr>
        <w:t>clearance</w:t>
      </w:r>
      <w:r>
        <w:rPr>
          <w:spacing w:val="11"/>
          <w:w w:val="105"/>
          <w:position w:val="-9"/>
        </w:rPr>
        <w:t> </w:t>
      </w:r>
      <w:r>
        <w:rPr>
          <w:rFonts w:ascii="Symbol" w:hAnsi="Symbol"/>
          <w:w w:val="105"/>
          <w:position w:val="-9"/>
        </w:rPr>
        <w:t></w:t>
      </w:r>
      <w:r>
        <w:rPr>
          <w:rFonts w:ascii="Times New Roman" w:hAnsi="Times New Roman"/>
          <w:spacing w:val="29"/>
          <w:w w:val="105"/>
          <w:position w:val="-9"/>
        </w:rPr>
        <w:t> </w:t>
      </w:r>
      <w:r>
        <w:rPr>
          <w:w w:val="105"/>
          <w:u w:val="single"/>
        </w:rPr>
        <w:t>urine</w:t>
      </w:r>
      <w:r>
        <w:rPr>
          <w:spacing w:val="16"/>
          <w:w w:val="105"/>
          <w:u w:val="single"/>
        </w:rPr>
        <w:t> </w:t>
      </w:r>
      <w:r>
        <w:rPr>
          <w:w w:val="105"/>
          <w:u w:val="single"/>
        </w:rPr>
        <w:t>creatinine </w:t>
      </w:r>
      <w:r>
        <w:rPr>
          <w:rFonts w:ascii="Symbol" w:hAnsi="Symbol"/>
          <w:w w:val="105"/>
          <w:sz w:val="19"/>
          <w:u w:val="single"/>
        </w:rPr>
        <w:t></w:t>
      </w:r>
      <w:r>
        <w:rPr>
          <w:rFonts w:ascii="Symbol" w:hAnsi="Symbol"/>
          <w:w w:val="105"/>
          <w:u w:val="single"/>
        </w:rPr>
        <w:t></w:t>
      </w:r>
      <w:r>
        <w:rPr>
          <w:w w:val="105"/>
          <w:u w:val="single"/>
        </w:rPr>
        <w:t>mol</w:t>
      </w:r>
      <w:r>
        <w:rPr>
          <w:spacing w:val="39"/>
          <w:w w:val="105"/>
          <w:u w:val="single"/>
        </w:rPr>
        <w:t> </w:t>
      </w:r>
      <w:r>
        <w:rPr>
          <w:w w:val="105"/>
          <w:u w:val="single"/>
        </w:rPr>
        <w:t>L</w:t>
      </w:r>
      <w:r>
        <w:rPr>
          <w:rFonts w:ascii="Symbol" w:hAnsi="Symbol"/>
          <w:w w:val="105"/>
          <w:sz w:val="19"/>
          <w:u w:val="single"/>
        </w:rPr>
        <w:t></w:t>
      </w:r>
      <w:r>
        <w:rPr>
          <w:rFonts w:ascii="Times New Roman" w:hAnsi="Times New Roman"/>
          <w:spacing w:val="-8"/>
          <w:w w:val="105"/>
          <w:sz w:val="19"/>
          <w:u w:val="single"/>
        </w:rPr>
        <w:t> </w:t>
      </w:r>
      <w:r>
        <w:rPr>
          <w:rFonts w:ascii="Symbol" w:hAnsi="Symbol"/>
          <w:w w:val="105"/>
          <w:u w:val="single"/>
        </w:rPr>
        <w:t></w:t>
      </w:r>
      <w:r>
        <w:rPr>
          <w:rFonts w:ascii="Times New Roman" w:hAnsi="Times New Roman"/>
          <w:spacing w:val="-2"/>
          <w:w w:val="105"/>
          <w:u w:val="single"/>
        </w:rPr>
        <w:t> </w:t>
      </w:r>
      <w:r>
        <w:rPr>
          <w:rFonts w:ascii="Symbol" w:hAnsi="Symbol"/>
          <w:w w:val="105"/>
          <w:sz w:val="19"/>
          <w:u w:val="single"/>
        </w:rPr>
        <w:t></w:t>
      </w:r>
      <w:r>
        <w:rPr>
          <w:w w:val="105"/>
          <w:u w:val="single"/>
        </w:rPr>
        <w:t>volume</w:t>
      </w:r>
      <w:r>
        <w:rPr>
          <w:spacing w:val="16"/>
          <w:w w:val="105"/>
          <w:u w:val="single"/>
        </w:rPr>
        <w:t> </w:t>
      </w:r>
      <w:r>
        <w:rPr>
          <w:w w:val="105"/>
          <w:u w:val="single"/>
        </w:rPr>
        <w:t>of</w:t>
      </w:r>
      <w:r>
        <w:rPr>
          <w:spacing w:val="15"/>
          <w:w w:val="105"/>
          <w:u w:val="single"/>
        </w:rPr>
        <w:t> </w:t>
      </w:r>
      <w:r>
        <w:rPr>
          <w:w w:val="105"/>
          <w:u w:val="single"/>
        </w:rPr>
        <w:t>urine</w:t>
      </w:r>
      <w:r>
        <w:rPr>
          <w:spacing w:val="4"/>
          <w:w w:val="105"/>
          <w:u w:val="single"/>
        </w:rPr>
        <w:t> </w:t>
      </w:r>
      <w:r>
        <w:rPr>
          <w:rFonts w:ascii="Symbol" w:hAnsi="Symbol"/>
          <w:w w:val="105"/>
          <w:sz w:val="19"/>
          <w:u w:val="single"/>
        </w:rPr>
        <w:t></w:t>
      </w:r>
      <w:r>
        <w:rPr>
          <w:w w:val="105"/>
          <w:u w:val="single"/>
        </w:rPr>
        <w:t>ml</w:t>
      </w:r>
      <w:r>
        <w:rPr>
          <w:rFonts w:ascii="Symbol" w:hAnsi="Symbol"/>
          <w:w w:val="105"/>
          <w:sz w:val="19"/>
          <w:u w:val="single"/>
        </w:rPr>
        <w:t></w:t>
      </w:r>
      <w:r>
        <w:rPr>
          <w:rFonts w:ascii="Times New Roman" w:hAnsi="Times New Roman"/>
          <w:spacing w:val="-9"/>
          <w:w w:val="105"/>
          <w:sz w:val="19"/>
          <w:u w:val="single"/>
        </w:rPr>
        <w:t> </w:t>
      </w:r>
      <w:r>
        <w:rPr>
          <w:w w:val="105"/>
          <w:u w:val="single"/>
        </w:rPr>
        <w:t>24</w:t>
      </w:r>
      <w:r>
        <w:rPr>
          <w:spacing w:val="14"/>
          <w:w w:val="105"/>
          <w:u w:val="single"/>
        </w:rPr>
        <w:t> </w:t>
      </w:r>
      <w:r>
        <w:rPr>
          <w:w w:val="105"/>
          <w:u w:val="single"/>
        </w:rPr>
        <w:t>hrs</w:t>
      </w:r>
      <w:r>
        <w:rPr>
          <w:spacing w:val="39"/>
          <w:w w:val="105"/>
          <w:u w:val="single"/>
        </w:rPr>
        <w:t> </w:t>
      </w:r>
      <w:r>
        <w:rPr>
          <w:w w:val="105"/>
          <w:u w:val="single"/>
        </w:rPr>
        <w:t>1440</w:t>
      </w:r>
      <w:r>
        <w:rPr>
          <w:spacing w:val="6"/>
          <w:w w:val="105"/>
          <w:u w:val="single"/>
        </w:rPr>
        <w:t> </w:t>
      </w:r>
      <w:r>
        <w:rPr>
          <w:spacing w:val="-4"/>
          <w:w w:val="105"/>
          <w:u w:val="single"/>
        </w:rPr>
        <w:t>min</w:t>
      </w:r>
      <w:r>
        <w:rPr>
          <w:rFonts w:ascii="Symbol" w:hAnsi="Symbol"/>
          <w:spacing w:val="-4"/>
          <w:w w:val="105"/>
          <w:sz w:val="19"/>
          <w:u w:val="single"/>
        </w:rPr>
        <w:t></w:t>
      </w:r>
    </w:p>
    <w:p>
      <w:pPr>
        <w:pStyle w:val="BodyText"/>
        <w:spacing w:line="182" w:lineRule="exact"/>
        <w:ind w:right="1064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2384">
                <wp:simplePos x="0" y="0"/>
                <wp:positionH relativeFrom="page">
                  <wp:posOffset>3967010</wp:posOffset>
                </wp:positionH>
                <wp:positionV relativeFrom="paragraph">
                  <wp:posOffset>6267</wp:posOffset>
                </wp:positionV>
                <wp:extent cx="36195" cy="106680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36195" cy="106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106680">
                              <a:moveTo>
                                <a:pt x="36118" y="0"/>
                              </a:moveTo>
                              <a:lnTo>
                                <a:pt x="33731" y="0"/>
                              </a:lnTo>
                              <a:lnTo>
                                <a:pt x="0" y="106362"/>
                              </a:lnTo>
                              <a:lnTo>
                                <a:pt x="2374" y="106362"/>
                              </a:lnTo>
                              <a:lnTo>
                                <a:pt x="361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363007pt;margin-top:.493537pt;width:2.85pt;height:8.4pt;mso-position-horizontal-relative:page;mso-position-vertical-relative:paragraph;z-index:-16324096" id="docshape25" coordorigin="6247,10" coordsize="57,168" path="m6304,10l6300,10,6247,177,6251,177,6304,1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05"/>
        </w:rPr>
        <w:t>plasma</w:t>
      </w:r>
      <w:r>
        <w:rPr>
          <w:spacing w:val="31"/>
          <w:w w:val="105"/>
        </w:rPr>
        <w:t> </w:t>
      </w:r>
      <w:r>
        <w:rPr>
          <w:w w:val="105"/>
        </w:rPr>
        <w:t>creatinine</w:t>
      </w:r>
      <w:r>
        <w:rPr>
          <w:spacing w:val="13"/>
          <w:w w:val="105"/>
        </w:rPr>
        <w:t> </w:t>
      </w:r>
      <w:r>
        <w:rPr>
          <w:rFonts w:ascii="Symbol" w:hAnsi="Symbol"/>
          <w:w w:val="105"/>
          <w:sz w:val="19"/>
        </w:rPr>
        <w:t></w:t>
      </w:r>
      <w:r>
        <w:rPr>
          <w:rFonts w:ascii="Symbol" w:hAnsi="Symbol"/>
          <w:w w:val="105"/>
        </w:rPr>
        <w:t></w:t>
      </w:r>
      <w:r>
        <w:rPr>
          <w:w w:val="105"/>
        </w:rPr>
        <w:t>mol</w:t>
      </w:r>
      <w:r>
        <w:rPr>
          <w:spacing w:val="64"/>
          <w:w w:val="105"/>
        </w:rPr>
        <w:t> </w:t>
      </w:r>
      <w:r>
        <w:rPr>
          <w:spacing w:val="-5"/>
          <w:w w:val="105"/>
        </w:rPr>
        <w:t>L</w:t>
      </w:r>
      <w:r>
        <w:rPr>
          <w:rFonts w:ascii="Symbol" w:hAnsi="Symbol"/>
          <w:spacing w:val="-5"/>
          <w:w w:val="105"/>
          <w:sz w:val="19"/>
        </w:rPr>
        <w:t></w:t>
      </w:r>
      <w:r>
        <w:rPr>
          <w:spacing w:val="-5"/>
          <w:w w:val="105"/>
        </w:rPr>
        <w:t>.</w:t>
      </w:r>
    </w:p>
    <w:p>
      <w:pPr>
        <w:pStyle w:val="BodyText"/>
        <w:spacing w:before="8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658622</wp:posOffset>
                </wp:positionH>
                <wp:positionV relativeFrom="paragraph">
                  <wp:posOffset>210433</wp:posOffset>
                </wp:positionV>
                <wp:extent cx="3041650" cy="1270"/>
                <wp:effectExtent l="0" t="0" r="0" b="0"/>
                <wp:wrapTopAndBottom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12674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6.569555pt;width:239.5pt;height:.1pt;mso-position-horizontal-relative:page;mso-position-vertical-relative:paragraph;z-index:-15720960;mso-wrap-distance-left:0;mso-wrap-distance-right:0" id="docshape26" coordorigin="1037,331" coordsize="4790,0" path="m1037,331l5827,331e" filled="false" stroked="true" strokeweight=".99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line="230" w:lineRule="exact" w:before="64"/>
        <w:ind w:left="237" w:right="41"/>
        <w:jc w:val="both"/>
      </w:pPr>
      <w:bookmarkStart w:name=" Measurement of non-enzymatic antioxidan" w:id="15"/>
      <w:bookmarkEnd w:id="15"/>
      <w:r>
        <w:rPr/>
      </w:r>
      <w:r>
        <w:rPr>
          <w:color w:val="231F20"/>
          <w:w w:val="110"/>
        </w:rPr>
        <w:t>treatment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AOGL.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Throughout the study period,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 </w:t>
      </w:r>
      <w:r>
        <w:rPr>
          <w:color w:val="231F20"/>
          <w:w w:val="110"/>
        </w:rPr>
        <w:t>body weights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rats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measured</w:t>
      </w:r>
      <w:r>
        <w:rPr>
          <w:color w:val="231F20"/>
          <w:w w:val="110"/>
        </w:rPr>
        <w:t> once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week. Their</w:t>
      </w:r>
      <w:r>
        <w:rPr>
          <w:color w:val="231F20"/>
          <w:w w:val="110"/>
        </w:rPr>
        <w:t> 24- hour food consumption, water intake and urine output were also</w:t>
      </w:r>
      <w:r>
        <w:rPr>
          <w:color w:val="231F20"/>
          <w:w w:val="110"/>
        </w:rPr>
        <w:t> recorded</w:t>
      </w:r>
      <w:r>
        <w:rPr>
          <w:color w:val="231F20"/>
          <w:w w:val="110"/>
        </w:rPr>
        <w:t> weekly. Renal</w:t>
      </w:r>
      <w:r>
        <w:rPr>
          <w:color w:val="231F20"/>
          <w:w w:val="110"/>
        </w:rPr>
        <w:t> creatinine</w:t>
      </w:r>
      <w:r>
        <w:rPr>
          <w:color w:val="231F20"/>
          <w:w w:val="110"/>
        </w:rPr>
        <w:t> clearance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calcu- lated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all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groups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standard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formula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(C</w:t>
      </w:r>
      <w:r>
        <w:rPr>
          <w:color w:val="231F20"/>
          <w:spacing w:val="-3"/>
          <w:w w:val="110"/>
        </w:rPr>
        <w:t> </w:t>
      </w:r>
      <w:r>
        <w:rPr>
          <w:rFonts w:ascii="UKIJ CJK" w:hAnsi="UKIJ CJK"/>
          <w:color w:val="231F20"/>
          <w:w w:val="110"/>
        </w:rPr>
        <w:t>=</w:t>
      </w:r>
      <w:r>
        <w:rPr>
          <w:rFonts w:ascii="UKIJ CJK" w:hAnsi="UKIJ CJK"/>
          <w:color w:val="231F20"/>
          <w:spacing w:val="-6"/>
          <w:w w:val="110"/>
        </w:rPr>
        <w:t> </w:t>
      </w:r>
      <w:r>
        <w:rPr>
          <w:color w:val="231F20"/>
          <w:w w:val="110"/>
        </w:rPr>
        <w:t>U</w:t>
      </w:r>
      <w:r>
        <w:rPr>
          <w:color w:val="231F20"/>
          <w:spacing w:val="-4"/>
          <w:w w:val="110"/>
        </w:rPr>
        <w:t> </w:t>
      </w:r>
      <w:r>
        <w:rPr>
          <w:rFonts w:ascii="UKIJ CJK" w:hAnsi="UKIJ CJK"/>
          <w:color w:val="231F20"/>
          <w:w w:val="110"/>
        </w:rPr>
        <w:t>×</w:t>
      </w:r>
      <w:r>
        <w:rPr>
          <w:rFonts w:ascii="UKIJ CJK" w:hAnsi="UKIJ CJK"/>
          <w:color w:val="231F20"/>
          <w:spacing w:val="-6"/>
          <w:w w:val="110"/>
        </w:rPr>
        <w:t> </w:t>
      </w:r>
      <w:r>
        <w:rPr>
          <w:color w:val="231F20"/>
          <w:w w:val="110"/>
        </w:rPr>
        <w:t>V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/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7"/>
          <w:w w:val="110"/>
        </w:rPr>
        <w:t>P).</w:t>
      </w:r>
    </w:p>
    <w:p>
      <w:pPr>
        <w:pStyle w:val="BodyText"/>
        <w:spacing w:before="75"/>
      </w:pPr>
    </w:p>
    <w:p>
      <w:pPr>
        <w:spacing w:line="259" w:lineRule="auto" w:before="0"/>
        <w:ind w:left="427" w:right="910" w:hanging="188"/>
        <w:jc w:val="left"/>
        <w:rPr>
          <w:sz w:val="16"/>
        </w:rPr>
      </w:pPr>
      <w:r>
        <w:rPr>
          <w:b/>
          <w:spacing w:val="-4"/>
          <w:sz w:val="16"/>
        </w:rPr>
        <w:t>C</w:t>
      </w:r>
      <w:r>
        <w:rPr>
          <w:b/>
          <w:spacing w:val="-7"/>
          <w:sz w:val="16"/>
        </w:rPr>
        <w:t> </w:t>
      </w:r>
      <w:r>
        <w:rPr>
          <w:rFonts w:ascii="Symbol" w:hAnsi="Symbol"/>
          <w:spacing w:val="-4"/>
          <w:sz w:val="16"/>
        </w:rPr>
        <w:t></w:t>
      </w:r>
      <w:r>
        <w:rPr>
          <w:rFonts w:ascii="Times New Roman" w:hAnsi="Times New Roman"/>
          <w:spacing w:val="-6"/>
          <w:sz w:val="16"/>
        </w:rPr>
        <w:t> </w:t>
      </w:r>
      <w:r>
        <w:rPr>
          <w:b/>
          <w:spacing w:val="-4"/>
          <w:sz w:val="16"/>
        </w:rPr>
        <w:t>clearance</w:t>
      </w:r>
      <w:r>
        <w:rPr>
          <w:spacing w:val="-4"/>
          <w:sz w:val="16"/>
        </w:rPr>
        <w:t>,</w:t>
      </w:r>
      <w:r>
        <w:rPr>
          <w:spacing w:val="-5"/>
          <w:sz w:val="16"/>
        </w:rPr>
        <w:t> </w:t>
      </w:r>
      <w:r>
        <w:rPr>
          <w:b/>
          <w:spacing w:val="-4"/>
          <w:sz w:val="16"/>
        </w:rPr>
        <w:t>U</w:t>
      </w:r>
      <w:r>
        <w:rPr>
          <w:b/>
          <w:spacing w:val="-6"/>
          <w:sz w:val="16"/>
        </w:rPr>
        <w:t> </w:t>
      </w:r>
      <w:r>
        <w:rPr>
          <w:rFonts w:ascii="Symbol" w:hAnsi="Symbol"/>
          <w:spacing w:val="-4"/>
          <w:sz w:val="16"/>
        </w:rPr>
        <w:t></w:t>
      </w:r>
      <w:r>
        <w:rPr>
          <w:rFonts w:ascii="Times New Roman" w:hAnsi="Times New Roman"/>
          <w:spacing w:val="-6"/>
          <w:sz w:val="16"/>
        </w:rPr>
        <w:t> </w:t>
      </w:r>
      <w:r>
        <w:rPr>
          <w:b/>
          <w:spacing w:val="-4"/>
          <w:sz w:val="16"/>
        </w:rPr>
        <w:t>urine</w:t>
      </w:r>
      <w:r>
        <w:rPr>
          <w:b/>
          <w:spacing w:val="-7"/>
          <w:sz w:val="16"/>
        </w:rPr>
        <w:t> </w:t>
      </w:r>
      <w:r>
        <w:rPr>
          <w:b/>
          <w:spacing w:val="-4"/>
          <w:sz w:val="16"/>
        </w:rPr>
        <w:t>creatinine</w:t>
      </w:r>
      <w:r>
        <w:rPr>
          <w:b/>
          <w:spacing w:val="-6"/>
          <w:sz w:val="16"/>
        </w:rPr>
        <w:t> </w:t>
      </w:r>
      <w:r>
        <w:rPr>
          <w:b/>
          <w:spacing w:val="-4"/>
          <w:sz w:val="16"/>
        </w:rPr>
        <w:t>concentration</w:t>
      </w:r>
      <w:r>
        <w:rPr>
          <w:spacing w:val="-4"/>
          <w:sz w:val="16"/>
        </w:rPr>
        <w:t>,</w:t>
      </w:r>
      <w:r>
        <w:rPr>
          <w:spacing w:val="40"/>
          <w:w w:val="103"/>
          <w:sz w:val="16"/>
        </w:rPr>
        <w:t> </w:t>
      </w:r>
      <w:bookmarkStart w:name=" Estimation of reduced glutathione (GSH)" w:id="16"/>
      <w:bookmarkEnd w:id="16"/>
      <w:r>
        <w:rPr>
          <w:w w:val="103"/>
          <w:sz w:val="16"/>
        </w:rPr>
      </w:r>
      <w:r>
        <w:rPr>
          <w:b/>
          <w:sz w:val="16"/>
        </w:rPr>
        <w:t>V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z w:val="16"/>
        </w:rPr>
        <w:t> </w:t>
      </w:r>
      <w:r>
        <w:rPr>
          <w:b/>
          <w:sz w:val="16"/>
        </w:rPr>
        <w:t>urine flow rate</w:t>
      </w:r>
      <w:r>
        <w:rPr>
          <w:b/>
          <w:spacing w:val="-4"/>
          <w:sz w:val="16"/>
        </w:rPr>
        <w:t> </w:t>
      </w:r>
      <w:r>
        <w:rPr>
          <w:rFonts w:ascii="Symbol" w:hAnsi="Symbol"/>
          <w:sz w:val="19"/>
        </w:rPr>
        <w:t></w:t>
      </w:r>
      <w:r>
        <w:rPr>
          <w:b/>
          <w:sz w:val="16"/>
        </w:rPr>
        <w:t>volume of urine</w:t>
      </w:r>
      <w:r>
        <w:rPr>
          <w:b/>
          <w:spacing w:val="6"/>
          <w:position w:val="-3"/>
          <w:sz w:val="16"/>
        </w:rPr>
        <w:drawing>
          <wp:inline distT="0" distB="0" distL="0" distR="0">
            <wp:extent cx="38887" cy="106362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7" cy="10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pacing w:val="6"/>
          <w:position w:val="-3"/>
          <w:sz w:val="16"/>
        </w:rPr>
      </w:r>
      <w:r>
        <w:rPr>
          <w:b/>
          <w:sz w:val="16"/>
        </w:rPr>
        <w:t>time</w:t>
      </w:r>
      <w:r>
        <w:rPr>
          <w:rFonts w:ascii="Symbol" w:hAnsi="Symbol"/>
          <w:sz w:val="19"/>
        </w:rPr>
        <w:t></w:t>
      </w:r>
      <w:r>
        <w:rPr>
          <w:sz w:val="16"/>
        </w:rPr>
        <w:t>,</w:t>
      </w:r>
    </w:p>
    <w:p>
      <w:pPr>
        <w:spacing w:before="9"/>
        <w:ind w:left="422" w:right="0" w:firstLine="0"/>
        <w:jc w:val="left"/>
        <w:rPr>
          <w:sz w:val="16"/>
        </w:rPr>
      </w:pPr>
      <w:bookmarkStart w:name=" Measurement of body weight" w:id="17"/>
      <w:bookmarkEnd w:id="17"/>
      <w:r>
        <w:rPr/>
      </w:r>
      <w:r>
        <w:rPr>
          <w:b/>
          <w:spacing w:val="-4"/>
          <w:sz w:val="16"/>
        </w:rPr>
        <w:t>P</w:t>
      </w:r>
      <w:r>
        <w:rPr>
          <w:b/>
          <w:spacing w:val="-3"/>
          <w:sz w:val="16"/>
        </w:rPr>
        <w:t> </w:t>
      </w:r>
      <w:r>
        <w:rPr>
          <w:rFonts w:ascii="Symbol" w:hAnsi="Symbol"/>
          <w:spacing w:val="-4"/>
          <w:sz w:val="16"/>
        </w:rPr>
        <w:t></w:t>
      </w:r>
      <w:r>
        <w:rPr>
          <w:rFonts w:ascii="Times New Roman" w:hAnsi="Times New Roman"/>
          <w:spacing w:val="-1"/>
          <w:sz w:val="16"/>
        </w:rPr>
        <w:t> </w:t>
      </w:r>
      <w:r>
        <w:rPr>
          <w:b/>
          <w:spacing w:val="-4"/>
          <w:sz w:val="16"/>
        </w:rPr>
        <w:t>plasma</w:t>
      </w:r>
      <w:r>
        <w:rPr>
          <w:b/>
          <w:spacing w:val="-7"/>
          <w:sz w:val="16"/>
        </w:rPr>
        <w:t> </w:t>
      </w:r>
      <w:r>
        <w:rPr>
          <w:b/>
          <w:spacing w:val="-4"/>
          <w:sz w:val="16"/>
        </w:rPr>
        <w:t>creatinine</w:t>
      </w:r>
      <w:r>
        <w:rPr>
          <w:b/>
          <w:spacing w:val="-5"/>
          <w:sz w:val="16"/>
        </w:rPr>
        <w:t> </w:t>
      </w:r>
      <w:r>
        <w:rPr>
          <w:b/>
          <w:spacing w:val="-4"/>
          <w:sz w:val="16"/>
        </w:rPr>
        <w:t>concentration</w:t>
      </w:r>
      <w:r>
        <w:rPr>
          <w:spacing w:val="-4"/>
          <w:sz w:val="16"/>
        </w:rPr>
        <w:t>.</w:t>
      </w:r>
    </w:p>
    <w:p>
      <w:pPr>
        <w:pStyle w:val="BodyText"/>
      </w:pPr>
    </w:p>
    <w:p>
      <w:pPr>
        <w:pStyle w:val="BodyText"/>
        <w:spacing w:before="42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r>
        <w:rPr>
          <w:i/>
          <w:color w:val="231F20"/>
          <w:w w:val="85"/>
        </w:rPr>
        <w:t>Measurement</w:t>
      </w:r>
      <w:r>
        <w:rPr>
          <w:i/>
          <w:color w:val="231F20"/>
          <w:spacing w:val="9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10"/>
        </w:rPr>
        <w:t> </w:t>
      </w:r>
      <w:r>
        <w:rPr>
          <w:i/>
          <w:color w:val="231F20"/>
          <w:w w:val="85"/>
        </w:rPr>
        <w:t>body</w:t>
      </w:r>
      <w:r>
        <w:rPr>
          <w:i/>
          <w:color w:val="231F20"/>
          <w:spacing w:val="9"/>
        </w:rPr>
        <w:t> </w:t>
      </w:r>
      <w:r>
        <w:rPr>
          <w:i/>
          <w:color w:val="231F20"/>
          <w:spacing w:val="-2"/>
          <w:w w:val="85"/>
        </w:rPr>
        <w:t>weight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237" w:right="39"/>
        <w:jc w:val="both"/>
      </w:pPr>
      <w:bookmarkStart w:name=" Histopathological studies" w:id="18"/>
      <w:bookmarkEnd w:id="18"/>
      <w:r>
        <w:rPr/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body</w:t>
      </w:r>
      <w:r>
        <w:rPr>
          <w:color w:val="231F20"/>
          <w:w w:val="110"/>
        </w:rPr>
        <w:t> weight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rats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measured</w:t>
      </w:r>
      <w:r>
        <w:rPr>
          <w:color w:val="231F20"/>
          <w:w w:val="110"/>
        </w:rPr>
        <w:t> throughout</w:t>
      </w:r>
      <w:r>
        <w:rPr>
          <w:color w:val="231F20"/>
          <w:w w:val="110"/>
        </w:rPr>
        <w:t> the </w:t>
      </w:r>
      <w:bookmarkStart w:name=" Measurement of food consumption, water " w:id="19"/>
      <w:bookmarkEnd w:id="19"/>
      <w:r>
        <w:rPr>
          <w:color w:val="231F20"/>
          <w:w w:val="110"/>
        </w:rPr>
        <w:t>stu</w:t>
      </w:r>
      <w:r>
        <w:rPr>
          <w:color w:val="231F20"/>
          <w:w w:val="110"/>
        </w:rPr>
        <w:t>dy period using a digital weighing scale (Camry </w:t>
      </w:r>
      <w:r>
        <w:rPr>
          <w:color w:val="231F20"/>
          <w:w w:val="110"/>
        </w:rPr>
        <w:t>weighing balance;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China)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access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weight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gain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loss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each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group.</w:t>
      </w:r>
    </w:p>
    <w:p>
      <w:pPr>
        <w:pStyle w:val="BodyText"/>
        <w:spacing w:before="117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85" w:lineRule="auto" w:before="0" w:after="0"/>
        <w:ind w:left="237" w:right="59" w:firstLine="0"/>
        <w:jc w:val="both"/>
      </w:pPr>
      <w:r>
        <w:rPr>
          <w:i/>
          <w:color w:val="231F20"/>
          <w:w w:val="85"/>
        </w:rPr>
        <w:t>Measurement of food consumption, water intake </w:t>
      </w:r>
      <w:r>
        <w:rPr>
          <w:i/>
          <w:color w:val="231F20"/>
          <w:w w:val="85"/>
        </w:rPr>
        <w:t>and</w:t>
      </w:r>
      <w:r>
        <w:rPr>
          <w:color w:val="231F20"/>
          <w:w w:val="95"/>
        </w:rPr>
        <w:t> urine volume</w:t>
      </w:r>
    </w:p>
    <w:p>
      <w:pPr>
        <w:pStyle w:val="BodyText"/>
        <w:spacing w:before="35"/>
        <w:rPr>
          <w:b/>
          <w:i/>
          <w:sz w:val="17"/>
        </w:rPr>
      </w:pPr>
    </w:p>
    <w:p>
      <w:pPr>
        <w:pStyle w:val="BodyText"/>
        <w:spacing w:line="302" w:lineRule="auto"/>
        <w:ind w:left="237" w:right="38"/>
        <w:jc w:val="both"/>
      </w:pPr>
      <w:r>
        <w:rPr>
          <w:color w:val="231F20"/>
          <w:w w:val="110"/>
        </w:rPr>
        <w:t>The food consumption and water intake of the rats were de- termined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taking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difference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between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previous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weight </w:t>
      </w:r>
      <w:bookmarkStart w:name=" Statistical analysis" w:id="20"/>
      <w:bookmarkEnd w:id="20"/>
      <w:r>
        <w:rPr>
          <w:color w:val="231F20"/>
          <w:w w:val="110"/>
        </w:rPr>
        <w:t>an</w:t>
      </w:r>
      <w:r>
        <w:rPr>
          <w:color w:val="231F20"/>
          <w:w w:val="110"/>
        </w:rPr>
        <w:t>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volumes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respectively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left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over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after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24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hours.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value obtained was taken as the daily food consumption and water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intake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group.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volumes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water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consumed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 </w:t>
      </w:r>
      <w:bookmarkStart w:name=" Biochemical assay" w:id="21"/>
      <w:bookmarkEnd w:id="21"/>
      <w:r>
        <w:rPr>
          <w:color w:val="231F20"/>
          <w:w w:val="110"/>
        </w:rPr>
        <w:t>urine</w:t>
      </w:r>
      <w:r>
        <w:rPr>
          <w:color w:val="231F20"/>
          <w:w w:val="110"/>
        </w:rPr>
        <w:t> produced by each rat were measured with a measuring </w:t>
      </w:r>
      <w:r>
        <w:rPr>
          <w:color w:val="231F20"/>
          <w:spacing w:val="-4"/>
          <w:w w:val="110"/>
        </w:rPr>
        <w:t>cylinder and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4"/>
          <w:w w:val="110"/>
        </w:rPr>
        <w:t>the food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4"/>
          <w:w w:val="110"/>
        </w:rPr>
        <w:t>consumption by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4"/>
          <w:w w:val="110"/>
        </w:rPr>
        <w:t>the digital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4"/>
          <w:w w:val="110"/>
        </w:rPr>
        <w:t>weighing scale.</w:t>
      </w:r>
    </w:p>
    <w:p>
      <w:pPr>
        <w:pStyle w:val="BodyText"/>
        <w:spacing w:before="119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both"/>
        <w:rPr>
          <w:i/>
        </w:rPr>
      </w:pPr>
      <w:r>
        <w:rPr>
          <w:i/>
          <w:color w:val="231F20"/>
          <w:w w:val="80"/>
        </w:rPr>
        <w:t>Biochemical</w:t>
      </w:r>
      <w:r>
        <w:rPr>
          <w:i/>
          <w:color w:val="231F20"/>
          <w:spacing w:val="35"/>
        </w:rPr>
        <w:t> </w:t>
      </w:r>
      <w:r>
        <w:rPr>
          <w:i/>
          <w:color w:val="231F20"/>
          <w:spacing w:val="-2"/>
          <w:w w:val="90"/>
        </w:rPr>
        <w:t>assay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 w:before="1"/>
        <w:ind w:left="237" w:right="41"/>
        <w:jc w:val="both"/>
      </w:pPr>
      <w:bookmarkStart w:name=" Results" w:id="22"/>
      <w:bookmarkEnd w:id="22"/>
      <w:r>
        <w:rPr/>
      </w:r>
      <w:r>
        <w:rPr>
          <w:color w:val="231F20"/>
          <w:w w:val="110"/>
        </w:rPr>
        <w:t>About</w:t>
      </w:r>
      <w:r>
        <w:rPr>
          <w:color w:val="231F20"/>
          <w:w w:val="110"/>
        </w:rPr>
        <w:t> 3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ml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whole</w:t>
      </w:r>
      <w:r>
        <w:rPr>
          <w:color w:val="231F20"/>
          <w:w w:val="110"/>
        </w:rPr>
        <w:t> blood</w:t>
      </w:r>
      <w:r>
        <w:rPr>
          <w:color w:val="231F20"/>
          <w:w w:val="110"/>
        </w:rPr>
        <w:t> collected</w:t>
      </w:r>
      <w:r>
        <w:rPr>
          <w:color w:val="231F20"/>
          <w:w w:val="110"/>
        </w:rPr>
        <w:t> into</w:t>
      </w:r>
      <w:r>
        <w:rPr>
          <w:color w:val="231F20"/>
          <w:w w:val="110"/>
        </w:rPr>
        <w:t> an</w:t>
      </w:r>
      <w:r>
        <w:rPr>
          <w:color w:val="231F20"/>
          <w:w w:val="110"/>
        </w:rPr>
        <w:t> EDTA</w:t>
      </w:r>
      <w:r>
        <w:rPr>
          <w:color w:val="231F20"/>
          <w:w w:val="110"/>
        </w:rPr>
        <w:t> tube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was centrifuged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4000 rpm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15 min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Cold</w:t>
      </w:r>
      <w:r>
        <w:rPr>
          <w:color w:val="231F20"/>
          <w:w w:val="110"/>
        </w:rPr>
        <w:t> Centrifuge </w:t>
      </w:r>
      <w:bookmarkStart w:name=" Food consumption and body weight" w:id="23"/>
      <w:bookmarkEnd w:id="23"/>
      <w:r>
        <w:rPr>
          <w:color w:val="231F20"/>
          <w:w w:val="110"/>
        </w:rPr>
        <w:t>(Centurium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Scientific,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Model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8881,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UK).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plasma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obtained </w:t>
      </w:r>
      <w:bookmarkStart w:name=" Plasma creatinine and urea" w:id="24"/>
      <w:bookmarkEnd w:id="24"/>
      <w:r>
        <w:rPr>
          <w:color w:val="231F20"/>
          <w:spacing w:val="-2"/>
          <w:w w:val="110"/>
        </w:rPr>
        <w:t>w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analyzed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creatinine,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urea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total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protein.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Similar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pro- </w:t>
      </w:r>
      <w:r>
        <w:rPr>
          <w:color w:val="231F20"/>
          <w:w w:val="110"/>
        </w:rPr>
        <w:t>cedure was applied to the urine sample.</w:t>
      </w:r>
    </w:p>
    <w:p>
      <w:pPr>
        <w:pStyle w:val="BodyText"/>
        <w:spacing w:before="107"/>
      </w:pPr>
    </w:p>
    <w:p>
      <w:pPr>
        <w:pStyle w:val="Heading3"/>
        <w:numPr>
          <w:ilvl w:val="2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both"/>
        <w:rPr>
          <w:i/>
        </w:rPr>
      </w:pPr>
      <w:r>
        <w:rPr>
          <w:i/>
          <w:color w:val="231F20"/>
          <w:spacing w:val="-2"/>
        </w:rPr>
        <w:t>Plasma</w:t>
      </w:r>
      <w:r>
        <w:rPr>
          <w:i/>
          <w:color w:val="231F20"/>
          <w:spacing w:val="-4"/>
        </w:rPr>
        <w:t> </w:t>
      </w:r>
      <w:r>
        <w:rPr>
          <w:i/>
          <w:color w:val="231F20"/>
          <w:spacing w:val="-2"/>
        </w:rPr>
        <w:t>creatinine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2"/>
        </w:rPr>
        <w:t>and</w:t>
      </w:r>
      <w:r>
        <w:rPr>
          <w:i/>
          <w:color w:val="231F20"/>
          <w:spacing w:val="-4"/>
        </w:rPr>
        <w:t> urea</w:t>
      </w:r>
    </w:p>
    <w:p>
      <w:pPr>
        <w:pStyle w:val="BodyText"/>
        <w:spacing w:line="302" w:lineRule="auto" w:before="45"/>
        <w:ind w:left="237" w:right="38"/>
        <w:jc w:val="both"/>
      </w:pPr>
      <w:r>
        <w:rPr>
          <w:color w:val="231F20"/>
          <w:w w:val="110"/>
        </w:rPr>
        <w:t>The plasma creatinine concentration was estimated by colo- rimetric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method</w:t>
      </w:r>
      <w:r>
        <w:rPr>
          <w:color w:val="231F20"/>
          <w:spacing w:val="-10"/>
          <w:w w:val="110"/>
        </w:rPr>
        <w:t> </w:t>
      </w:r>
      <w:hyperlink w:history="true" w:anchor="_bookmark21">
        <w:r>
          <w:rPr>
            <w:color w:val="00699D"/>
            <w:w w:val="110"/>
          </w:rPr>
          <w:t>[12]</w:t>
        </w:r>
      </w:hyperlink>
      <w:r>
        <w:rPr>
          <w:color w:val="00699D"/>
          <w:spacing w:val="-10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laboratory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protocol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outlined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by Randox Manual/RX Monza CR 510 (standard laboratory kit).</w:t>
      </w:r>
    </w:p>
    <w:p>
      <w:pPr>
        <w:pStyle w:val="Heading2"/>
        <w:numPr>
          <w:ilvl w:val="1"/>
          <w:numId w:val="3"/>
        </w:numPr>
        <w:tabs>
          <w:tab w:pos="875" w:val="left" w:leader="none"/>
        </w:tabs>
        <w:spacing w:line="240" w:lineRule="auto" w:before="142" w:after="0"/>
        <w:ind w:left="875" w:right="0" w:hanging="638"/>
        <w:jc w:val="left"/>
        <w:rPr>
          <w:i/>
        </w:rPr>
      </w:pPr>
      <w:r>
        <w:rPr>
          <w:b w:val="0"/>
          <w:i w:val="0"/>
        </w:rPr>
        <w:br w:type="column"/>
      </w:r>
      <w:r>
        <w:rPr>
          <w:i/>
          <w:color w:val="231F20"/>
          <w:w w:val="85"/>
        </w:rPr>
        <w:t>Measurement</w:t>
      </w:r>
      <w:r>
        <w:rPr>
          <w:i/>
          <w:color w:val="231F20"/>
          <w:spacing w:val="23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23"/>
        </w:rPr>
        <w:t> </w:t>
      </w:r>
      <w:r>
        <w:rPr>
          <w:i/>
          <w:color w:val="231F20"/>
          <w:w w:val="85"/>
        </w:rPr>
        <w:t>non-enzymatic</w:t>
      </w:r>
      <w:r>
        <w:rPr>
          <w:i/>
          <w:color w:val="231F20"/>
          <w:spacing w:val="24"/>
        </w:rPr>
        <w:t> </w:t>
      </w:r>
      <w:r>
        <w:rPr>
          <w:i/>
          <w:color w:val="231F20"/>
          <w:spacing w:val="-2"/>
          <w:w w:val="85"/>
        </w:rPr>
        <w:t>antioxidants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237" w:right="113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kidneys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rats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carefully</w:t>
      </w:r>
      <w:r>
        <w:rPr>
          <w:color w:val="231F20"/>
          <w:w w:val="110"/>
        </w:rPr>
        <w:t> excised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weighed. One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kidneys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homogenized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10 ml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sucrose </w:t>
      </w:r>
      <w:r>
        <w:rPr>
          <w:color w:val="231F20"/>
        </w:rPr>
        <w:t>solution (0.25 M) using Electric Homogenizer (SI601001).</w:t>
      </w:r>
      <w:r>
        <w:rPr>
          <w:color w:val="231F20"/>
          <w:spacing w:val="-10"/>
        </w:rPr>
        <w:t> </w:t>
      </w:r>
      <w:r>
        <w:rPr>
          <w:color w:val="231F20"/>
        </w:rPr>
        <w:t>The ho-</w:t>
      </w:r>
      <w:r>
        <w:rPr>
          <w:color w:val="231F20"/>
          <w:w w:val="110"/>
        </w:rPr>
        <w:t> mogenate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centrifuged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3000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rpm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20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minutes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supernatant was collected for the assessment of glutathione and TBARS activities.</w:t>
      </w:r>
    </w:p>
    <w:p>
      <w:pPr>
        <w:pStyle w:val="BodyText"/>
        <w:spacing w:before="54"/>
      </w:pPr>
    </w:p>
    <w:p>
      <w:pPr>
        <w:pStyle w:val="ListParagraph"/>
        <w:numPr>
          <w:ilvl w:val="2"/>
          <w:numId w:val="3"/>
        </w:numPr>
        <w:tabs>
          <w:tab w:pos="875" w:val="left" w:leader="none"/>
        </w:tabs>
        <w:spacing w:line="297" w:lineRule="auto" w:before="0" w:after="0"/>
        <w:ind w:left="237" w:right="113" w:firstLine="0"/>
        <w:jc w:val="left"/>
        <w:rPr>
          <w:sz w:val="16"/>
        </w:rPr>
      </w:pPr>
      <w:r>
        <w:rPr>
          <w:i/>
          <w:color w:val="231F20"/>
          <w:sz w:val="17"/>
        </w:rPr>
        <w:t>Estimation of reduced glutathione (GSH) and</w:t>
      </w:r>
      <w:r>
        <w:rPr>
          <w:i/>
          <w:color w:val="231F20"/>
          <w:sz w:val="17"/>
        </w:rPr>
        <w:t> estimation of thiobarbituric acid reactive substance (TBARS) </w:t>
      </w:r>
      <w:r>
        <w:rPr>
          <w:color w:val="231F20"/>
          <w:w w:val="105"/>
          <w:sz w:val="16"/>
        </w:rPr>
        <w:t>Reduced</w:t>
      </w:r>
      <w:r>
        <w:rPr>
          <w:color w:val="231F20"/>
          <w:spacing w:val="39"/>
          <w:w w:val="105"/>
          <w:sz w:val="16"/>
        </w:rPr>
        <w:t> </w:t>
      </w:r>
      <w:r>
        <w:rPr>
          <w:color w:val="231F20"/>
          <w:w w:val="105"/>
          <w:sz w:val="16"/>
        </w:rPr>
        <w:t>glutathione</w:t>
      </w:r>
      <w:r>
        <w:rPr>
          <w:color w:val="231F20"/>
          <w:spacing w:val="39"/>
          <w:w w:val="105"/>
          <w:sz w:val="16"/>
        </w:rPr>
        <w:t> </w:t>
      </w:r>
      <w:r>
        <w:rPr>
          <w:color w:val="231F20"/>
          <w:w w:val="105"/>
          <w:sz w:val="16"/>
        </w:rPr>
        <w:t>(GSH)</w:t>
      </w:r>
      <w:r>
        <w:rPr>
          <w:color w:val="231F20"/>
          <w:spacing w:val="39"/>
          <w:w w:val="105"/>
          <w:sz w:val="16"/>
        </w:rPr>
        <w:t> </w:t>
      </w:r>
      <w:r>
        <w:rPr>
          <w:color w:val="231F20"/>
          <w:w w:val="105"/>
          <w:sz w:val="16"/>
        </w:rPr>
        <w:t>was</w:t>
      </w:r>
      <w:r>
        <w:rPr>
          <w:color w:val="231F20"/>
          <w:spacing w:val="39"/>
          <w:w w:val="105"/>
          <w:sz w:val="16"/>
        </w:rPr>
        <w:t> </w:t>
      </w:r>
      <w:r>
        <w:rPr>
          <w:color w:val="231F20"/>
          <w:w w:val="105"/>
          <w:sz w:val="16"/>
        </w:rPr>
        <w:t>measured</w:t>
      </w:r>
      <w:r>
        <w:rPr>
          <w:color w:val="231F20"/>
          <w:spacing w:val="39"/>
          <w:w w:val="105"/>
          <w:sz w:val="16"/>
        </w:rPr>
        <w:t> </w:t>
      </w:r>
      <w:r>
        <w:rPr>
          <w:color w:val="231F20"/>
          <w:w w:val="105"/>
          <w:sz w:val="16"/>
        </w:rPr>
        <w:t>by</w:t>
      </w:r>
      <w:r>
        <w:rPr>
          <w:color w:val="231F20"/>
          <w:spacing w:val="39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39"/>
          <w:w w:val="105"/>
          <w:sz w:val="16"/>
        </w:rPr>
        <w:t> </w:t>
      </w:r>
      <w:r>
        <w:rPr>
          <w:color w:val="231F20"/>
          <w:w w:val="105"/>
          <w:sz w:val="16"/>
        </w:rPr>
        <w:t>method</w:t>
      </w:r>
      <w:r>
        <w:rPr>
          <w:color w:val="231F20"/>
          <w:spacing w:val="39"/>
          <w:w w:val="105"/>
          <w:sz w:val="16"/>
        </w:rPr>
        <w:t> </w:t>
      </w:r>
      <w:r>
        <w:rPr>
          <w:color w:val="231F20"/>
          <w:w w:val="105"/>
          <w:sz w:val="16"/>
        </w:rPr>
        <w:t>of Beutler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et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al.</w:t>
      </w:r>
      <w:r>
        <w:rPr>
          <w:color w:val="231F20"/>
          <w:spacing w:val="40"/>
          <w:w w:val="105"/>
          <w:sz w:val="16"/>
        </w:rPr>
        <w:t> </w:t>
      </w:r>
      <w:hyperlink w:history="true" w:anchor="_bookmark24">
        <w:r>
          <w:rPr>
            <w:color w:val="00699D"/>
            <w:w w:val="105"/>
            <w:sz w:val="16"/>
          </w:rPr>
          <w:t>[15]</w:t>
        </w:r>
      </w:hyperlink>
      <w:r>
        <w:rPr>
          <w:color w:val="00699D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36"/>
          <w:w w:val="105"/>
          <w:sz w:val="16"/>
        </w:rPr>
        <w:t> </w:t>
      </w:r>
      <w:r>
        <w:rPr>
          <w:color w:val="231F20"/>
          <w:w w:val="105"/>
          <w:sz w:val="16"/>
        </w:rPr>
        <w:t>TBARS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level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was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determined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by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the method of Ohkawa et al. </w:t>
      </w:r>
      <w:hyperlink w:history="true" w:anchor="_bookmark25">
        <w:r>
          <w:rPr>
            <w:color w:val="00699D"/>
            <w:w w:val="105"/>
            <w:sz w:val="16"/>
          </w:rPr>
          <w:t>[16]</w:t>
        </w:r>
      </w:hyperlink>
      <w:r>
        <w:rPr>
          <w:color w:val="231F20"/>
          <w:w w:val="105"/>
          <w:sz w:val="16"/>
        </w:rPr>
        <w:t>.</w:t>
      </w:r>
    </w:p>
    <w:p>
      <w:pPr>
        <w:pStyle w:val="BodyText"/>
        <w:spacing w:before="63"/>
      </w:pPr>
    </w:p>
    <w:p>
      <w:pPr>
        <w:pStyle w:val="Heading2"/>
        <w:numPr>
          <w:ilvl w:val="1"/>
          <w:numId w:val="3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Histopathological</w:t>
      </w:r>
      <w:r>
        <w:rPr>
          <w:i/>
          <w:color w:val="231F20"/>
          <w:spacing w:val="-3"/>
          <w:w w:val="85"/>
        </w:rPr>
        <w:t> </w:t>
      </w:r>
      <w:r>
        <w:rPr>
          <w:i/>
          <w:color w:val="231F20"/>
          <w:spacing w:val="-2"/>
          <w:w w:val="95"/>
        </w:rPr>
        <w:t>studies</w:t>
      </w:r>
    </w:p>
    <w:p>
      <w:pPr>
        <w:pStyle w:val="BodyText"/>
        <w:spacing w:before="35"/>
        <w:rPr>
          <w:b/>
          <w:i/>
          <w:sz w:val="17"/>
        </w:rPr>
      </w:pPr>
    </w:p>
    <w:p>
      <w:pPr>
        <w:pStyle w:val="BodyText"/>
        <w:spacing w:line="230" w:lineRule="exact"/>
        <w:ind w:left="237" w:right="111"/>
        <w:jc w:val="both"/>
      </w:pPr>
      <w:r>
        <w:rPr>
          <w:color w:val="231F20"/>
          <w:w w:val="110"/>
        </w:rPr>
        <w:t>The tissues were fixed in 10% formo-saline to prevent </w:t>
      </w:r>
      <w:r>
        <w:rPr>
          <w:color w:val="231F20"/>
          <w:w w:val="110"/>
        </w:rPr>
        <w:t>putre- </w:t>
      </w:r>
      <w:r>
        <w:rPr>
          <w:color w:val="231F20"/>
          <w:spacing w:val="-2"/>
          <w:w w:val="110"/>
        </w:rPr>
        <w:t>faction and autolysis,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embedded in paraffin wax,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sectioned and </w:t>
      </w:r>
      <w:r>
        <w:rPr>
          <w:color w:val="231F20"/>
          <w:spacing w:val="-4"/>
          <w:w w:val="110"/>
        </w:rPr>
        <w:t>stained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with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hematoxylin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eosin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(H&amp;E)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for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histological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analy-</w:t>
      </w:r>
      <w:r>
        <w:rPr>
          <w:color w:val="231F20"/>
          <w:w w:val="110"/>
        </w:rPr>
        <w:t> sis. The</w:t>
      </w:r>
      <w:r>
        <w:rPr>
          <w:color w:val="231F20"/>
          <w:w w:val="110"/>
        </w:rPr>
        <w:t> slides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examined</w:t>
      </w:r>
      <w:r>
        <w:rPr>
          <w:color w:val="231F20"/>
          <w:w w:val="110"/>
        </w:rPr>
        <w:t> under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light</w:t>
      </w:r>
      <w:r>
        <w:rPr>
          <w:color w:val="231F20"/>
          <w:w w:val="110"/>
        </w:rPr>
        <w:t> microscope </w:t>
      </w:r>
      <w:r>
        <w:rPr>
          <w:color w:val="231F20"/>
          <w:spacing w:val="-2"/>
          <w:w w:val="110"/>
        </w:rPr>
        <w:t>(Olympus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CH; Olympus,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Tokyo,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Japan) and photomicrographs </w:t>
      </w:r>
      <w:r>
        <w:rPr>
          <w:color w:val="231F20"/>
        </w:rPr>
        <w:t>were</w:t>
      </w:r>
      <w:r>
        <w:rPr>
          <w:color w:val="231F20"/>
          <w:spacing w:val="18"/>
        </w:rPr>
        <w:t> </w:t>
      </w:r>
      <w:r>
        <w:rPr>
          <w:color w:val="231F20"/>
        </w:rPr>
        <w:t>taken</w:t>
      </w:r>
      <w:r>
        <w:rPr>
          <w:color w:val="231F20"/>
          <w:spacing w:val="19"/>
        </w:rPr>
        <w:t> </w:t>
      </w:r>
      <w:r>
        <w:rPr>
          <w:color w:val="231F20"/>
        </w:rPr>
        <w:t>with</w:t>
      </w:r>
      <w:r>
        <w:rPr>
          <w:color w:val="231F20"/>
          <w:spacing w:val="18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Leica</w:t>
      </w:r>
      <w:r>
        <w:rPr>
          <w:color w:val="231F20"/>
          <w:spacing w:val="18"/>
        </w:rPr>
        <w:t> </w:t>
      </w:r>
      <w:r>
        <w:rPr>
          <w:color w:val="231F20"/>
        </w:rPr>
        <w:t>DM</w:t>
      </w:r>
      <w:r>
        <w:rPr>
          <w:color w:val="231F20"/>
          <w:spacing w:val="19"/>
        </w:rPr>
        <w:t> </w:t>
      </w:r>
      <w:r>
        <w:rPr>
          <w:color w:val="231F20"/>
        </w:rPr>
        <w:t>750</w:t>
      </w:r>
      <w:r>
        <w:rPr>
          <w:color w:val="231F20"/>
          <w:spacing w:val="18"/>
        </w:rPr>
        <w:t> </w:t>
      </w:r>
      <w:r>
        <w:rPr>
          <w:color w:val="231F20"/>
        </w:rPr>
        <w:t>Camera</w:t>
      </w:r>
      <w:r>
        <w:rPr>
          <w:color w:val="231F20"/>
          <w:spacing w:val="19"/>
        </w:rPr>
        <w:t> </w:t>
      </w:r>
      <w:r>
        <w:rPr>
          <w:color w:val="231F20"/>
        </w:rPr>
        <w:t>at</w:t>
      </w:r>
      <w:r>
        <w:rPr>
          <w:color w:val="231F20"/>
          <w:spacing w:val="18"/>
        </w:rPr>
        <w:t> </w:t>
      </w:r>
      <w:r>
        <w:rPr>
          <w:rFonts w:ascii="UKIJ CJK" w:hAnsi="UKIJ CJK"/>
          <w:color w:val="231F20"/>
        </w:rPr>
        <w:t>×</w:t>
      </w:r>
      <w:r>
        <w:rPr>
          <w:color w:val="231F20"/>
        </w:rPr>
        <w:t>400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magnification.</w:t>
      </w:r>
    </w:p>
    <w:p>
      <w:pPr>
        <w:pStyle w:val="BodyText"/>
        <w:spacing w:before="96"/>
      </w:pPr>
    </w:p>
    <w:p>
      <w:pPr>
        <w:pStyle w:val="Heading2"/>
        <w:numPr>
          <w:ilvl w:val="1"/>
          <w:numId w:val="3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Statistical</w:t>
      </w:r>
      <w:r>
        <w:rPr>
          <w:i/>
          <w:color w:val="231F20"/>
          <w:spacing w:val="7"/>
        </w:rPr>
        <w:t> </w:t>
      </w:r>
      <w:r>
        <w:rPr>
          <w:i/>
          <w:color w:val="231F20"/>
          <w:spacing w:val="-2"/>
          <w:w w:val="95"/>
        </w:rPr>
        <w:t>analysis</w:t>
      </w:r>
    </w:p>
    <w:p>
      <w:pPr>
        <w:pStyle w:val="BodyText"/>
        <w:spacing w:before="35"/>
        <w:rPr>
          <w:b/>
          <w:i/>
          <w:sz w:val="17"/>
        </w:rPr>
      </w:pPr>
    </w:p>
    <w:p>
      <w:pPr>
        <w:pStyle w:val="BodyText"/>
        <w:spacing w:line="230" w:lineRule="exact"/>
        <w:ind w:left="237" w:right="113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results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obtained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expressed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mean</w:t>
      </w:r>
      <w:r>
        <w:rPr>
          <w:color w:val="231F20"/>
          <w:spacing w:val="-5"/>
          <w:w w:val="110"/>
        </w:rPr>
        <w:t> </w:t>
      </w:r>
      <w:r>
        <w:rPr>
          <w:rFonts w:ascii="UKIJ CJK" w:hAnsi="UKIJ CJK"/>
          <w:color w:val="231F20"/>
          <w:w w:val="110"/>
        </w:rPr>
        <w:t>±</w:t>
      </w:r>
      <w:r>
        <w:rPr>
          <w:rFonts w:ascii="UKIJ CJK" w:hAnsi="UKIJ CJK"/>
          <w:color w:val="231F20"/>
          <w:spacing w:val="-9"/>
          <w:w w:val="110"/>
        </w:rPr>
        <w:t> </w:t>
      </w:r>
      <w:r>
        <w:rPr>
          <w:color w:val="231F20"/>
          <w:w w:val="110"/>
        </w:rPr>
        <w:t>SEM.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data were analyzed using one-way ANOVA followed by Newman– Keuls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test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Graph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Pad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5.03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(Graph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Pad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Software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Inc.,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CA, USA).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 results were considered significant when p</w:t>
      </w:r>
      <w:r>
        <w:rPr>
          <w:color w:val="231F20"/>
          <w:spacing w:val="-1"/>
          <w:w w:val="110"/>
        </w:rPr>
        <w:t> </w:t>
      </w:r>
      <w:r>
        <w:rPr>
          <w:rFonts w:ascii="UKIJ CJK" w:hAnsi="UKIJ CJK"/>
          <w:color w:val="231F20"/>
          <w:w w:val="110"/>
        </w:rPr>
        <w:t>&lt;</w:t>
      </w:r>
      <w:r>
        <w:rPr>
          <w:rFonts w:ascii="UKIJ CJK" w:hAnsi="UKIJ CJK"/>
          <w:color w:val="231F20"/>
          <w:spacing w:val="-5"/>
          <w:w w:val="110"/>
        </w:rPr>
        <w:t> </w:t>
      </w:r>
      <w:r>
        <w:rPr>
          <w:color w:val="231F20"/>
          <w:w w:val="110"/>
        </w:rPr>
        <w:t>0.05.</w:t>
      </w:r>
    </w:p>
    <w:p>
      <w:pPr>
        <w:pStyle w:val="BodyText"/>
        <w:spacing w:before="21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3935336</wp:posOffset>
                </wp:positionH>
                <wp:positionV relativeFrom="paragraph">
                  <wp:posOffset>293100</wp:posOffset>
                </wp:positionV>
                <wp:extent cx="3041650" cy="1270"/>
                <wp:effectExtent l="0" t="0" r="0" b="0"/>
                <wp:wrapTopAndBottom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68988pt;margin-top:23.07881pt;width:239.5pt;height:.1pt;mso-position-horizontal-relative:page;mso-position-vertical-relative:paragraph;z-index:-15720448;mso-wrap-distance-left:0;mso-wrap-distance-right:0" id="docshape27" coordorigin="6197,462" coordsize="4790,0" path="m6197,462l10987,462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r>
        <w:rPr>
          <w:color w:val="231F20"/>
          <w:spacing w:val="-2"/>
        </w:rPr>
        <w:t>Results</w:t>
      </w:r>
    </w:p>
    <w:p>
      <w:pPr>
        <w:pStyle w:val="BodyText"/>
        <w:spacing w:before="25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Food</w:t>
      </w:r>
      <w:r>
        <w:rPr>
          <w:i/>
          <w:color w:val="231F20"/>
          <w:spacing w:val="3"/>
        </w:rPr>
        <w:t> </w:t>
      </w:r>
      <w:r>
        <w:rPr>
          <w:i/>
          <w:color w:val="231F20"/>
          <w:w w:val="85"/>
        </w:rPr>
        <w:t>consumption</w:t>
      </w:r>
      <w:r>
        <w:rPr>
          <w:i/>
          <w:color w:val="231F20"/>
          <w:spacing w:val="4"/>
        </w:rPr>
        <w:t> </w:t>
      </w:r>
      <w:r>
        <w:rPr>
          <w:i/>
          <w:color w:val="231F20"/>
          <w:w w:val="85"/>
        </w:rPr>
        <w:t>and</w:t>
      </w:r>
      <w:r>
        <w:rPr>
          <w:i/>
          <w:color w:val="231F20"/>
          <w:spacing w:val="4"/>
        </w:rPr>
        <w:t> </w:t>
      </w:r>
      <w:r>
        <w:rPr>
          <w:i/>
          <w:color w:val="231F20"/>
          <w:w w:val="85"/>
        </w:rPr>
        <w:t>body</w:t>
      </w:r>
      <w:r>
        <w:rPr>
          <w:i/>
          <w:color w:val="231F20"/>
          <w:spacing w:val="4"/>
        </w:rPr>
        <w:t> </w:t>
      </w:r>
      <w:r>
        <w:rPr>
          <w:i/>
          <w:color w:val="231F20"/>
          <w:spacing w:val="-2"/>
          <w:w w:val="85"/>
        </w:rPr>
        <w:t>weight</w:t>
      </w:r>
    </w:p>
    <w:p>
      <w:pPr>
        <w:pStyle w:val="BodyText"/>
        <w:spacing w:before="34"/>
        <w:rPr>
          <w:b/>
          <w:i/>
          <w:sz w:val="17"/>
        </w:rPr>
      </w:pPr>
    </w:p>
    <w:p>
      <w:pPr>
        <w:pStyle w:val="BodyText"/>
        <w:spacing w:line="230" w:lineRule="exact"/>
        <w:ind w:left="237" w:right="114"/>
        <w:jc w:val="both"/>
      </w:pPr>
      <w:r>
        <w:rPr>
          <w:color w:val="231F20"/>
          <w:w w:val="110"/>
        </w:rPr>
        <w:t>The food consumption and body weight of the control </w:t>
      </w:r>
      <w:r>
        <w:rPr>
          <w:color w:val="231F20"/>
          <w:w w:val="110"/>
        </w:rPr>
        <w:t>group increased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significantly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(p</w:t>
      </w:r>
      <w:r>
        <w:rPr>
          <w:color w:val="231F20"/>
          <w:spacing w:val="-8"/>
          <w:w w:val="110"/>
        </w:rPr>
        <w:t> </w:t>
      </w:r>
      <w:r>
        <w:rPr>
          <w:rFonts w:ascii="UKIJ CJK"/>
          <w:color w:val="231F20"/>
          <w:w w:val="110"/>
        </w:rPr>
        <w:t>&lt;</w:t>
      </w:r>
      <w:r>
        <w:rPr>
          <w:rFonts w:ascii="UKIJ CJK"/>
          <w:color w:val="231F20"/>
          <w:spacing w:val="-11"/>
          <w:w w:val="110"/>
        </w:rPr>
        <w:t> </w:t>
      </w:r>
      <w:r>
        <w:rPr>
          <w:color w:val="231F20"/>
          <w:w w:val="110"/>
        </w:rPr>
        <w:t>0.05)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throughout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study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period (</w:t>
      </w:r>
      <w:hyperlink w:history="true" w:anchor="_bookmark4">
        <w:r>
          <w:rPr>
            <w:color w:val="00699D"/>
            <w:w w:val="110"/>
          </w:rPr>
          <w:t>Table 1</w:t>
        </w:r>
      </w:hyperlink>
      <w:r>
        <w:rPr>
          <w:color w:val="231F20"/>
          <w:w w:val="110"/>
        </w:rPr>
        <w:t>).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 insignificant increase in food consumption and body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weight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observed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gentamicin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treated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rats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when</w:t>
      </w:r>
    </w:p>
    <w:p>
      <w:pPr>
        <w:spacing w:after="0" w:line="230" w:lineRule="exact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2" w:space="88"/>
            <w:col w:w="5150"/>
          </w:cols>
        </w:sectPr>
      </w:pPr>
    </w:p>
    <w:p>
      <w:pPr>
        <w:pStyle w:val="BodyText"/>
        <w:spacing w:before="83"/>
        <w:rPr>
          <w:sz w:val="20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5"/>
        <w:gridCol w:w="1384"/>
        <w:gridCol w:w="1658"/>
        <w:gridCol w:w="1284"/>
        <w:gridCol w:w="1528"/>
        <w:gridCol w:w="1427"/>
        <w:gridCol w:w="1332"/>
      </w:tblGrid>
      <w:tr>
        <w:trPr>
          <w:trHeight w:val="503" w:hRule="atLeast"/>
        </w:trPr>
        <w:tc>
          <w:tcPr>
            <w:tcW w:w="9948" w:type="dxa"/>
            <w:gridSpan w:val="7"/>
            <w:shd w:val="clear" w:color="auto" w:fill="231F20"/>
          </w:tcPr>
          <w:p>
            <w:pPr>
              <w:pStyle w:val="TableParagraph"/>
              <w:spacing w:line="264" w:lineRule="auto" w:before="77"/>
              <w:ind w:left="119" w:right="76"/>
              <w:rPr>
                <w:b/>
                <w:sz w:val="16"/>
              </w:rPr>
            </w:pPr>
            <w:bookmarkStart w:name="_bookmark4" w:id="25"/>
            <w:bookmarkEnd w:id="25"/>
            <w:r>
              <w:rPr/>
            </w:r>
            <w:r>
              <w:rPr>
                <w:b/>
                <w:color w:val="FFFFFF"/>
                <w:spacing w:val="-4"/>
                <w:sz w:val="16"/>
              </w:rPr>
              <w:t>Table 1 – Effect of aqueous extract of </w:t>
            </w:r>
            <w:r>
              <w:rPr>
                <w:b/>
                <w:i/>
                <w:color w:val="FFFFFF"/>
                <w:spacing w:val="-4"/>
                <w:sz w:val="16"/>
              </w:rPr>
              <w:t>Ocimum gratissimum </w:t>
            </w:r>
            <w:r>
              <w:rPr>
                <w:b/>
                <w:color w:val="FFFFFF"/>
                <w:spacing w:val="-4"/>
                <w:sz w:val="16"/>
              </w:rPr>
              <w:t>on food consumption (g) and body weight in gentamicin-</w:t>
            </w:r>
            <w:r>
              <w:rPr>
                <w:b/>
                <w:color w:val="FFFFFF"/>
                <w:sz w:val="16"/>
              </w:rPr>
              <w:t> induced nephrotoxicity in rats.</w:t>
            </w:r>
          </w:p>
        </w:tc>
      </w:tr>
      <w:tr>
        <w:trPr>
          <w:trHeight w:val="775" w:hRule="atLeast"/>
        </w:trPr>
        <w:tc>
          <w:tcPr>
            <w:tcW w:w="133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8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168"/>
              <w:rPr>
                <w:sz w:val="16"/>
              </w:rPr>
            </w:pPr>
          </w:p>
          <w:p>
            <w:pPr>
              <w:pStyle w:val="TableParagraph"/>
              <w:spacing w:line="240" w:lineRule="auto"/>
              <w:ind w:left="187"/>
              <w:jc w:val="center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9392">
                      <wp:simplePos x="0" y="0"/>
                      <wp:positionH relativeFrom="column">
                        <wp:posOffset>149623</wp:posOffset>
                      </wp:positionH>
                      <wp:positionV relativeFrom="paragraph">
                        <wp:posOffset>-44996</wp:posOffset>
                      </wp:positionV>
                      <wp:extent cx="2447925" cy="5080"/>
                      <wp:effectExtent l="0" t="0" r="0" b="0"/>
                      <wp:wrapNone/>
                      <wp:docPr id="41" name="Group 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1" name="Group 41"/>
                            <wpg:cNvGrpSpPr/>
                            <wpg:grpSpPr>
                              <a:xfrm>
                                <a:off x="0" y="0"/>
                                <a:ext cx="2447925" cy="5080"/>
                                <a:chExt cx="2447925" cy="5080"/>
                              </a:xfrm>
                            </wpg:grpSpPr>
                            <wps:wsp>
                              <wps:cNvPr id="42" name="Graphic 42"/>
                              <wps:cNvSpPr/>
                              <wps:spPr>
                                <a:xfrm>
                                  <a:off x="0" y="2540"/>
                                  <a:ext cx="24479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47925" h="0">
                                      <a:moveTo>
                                        <a:pt x="0" y="0"/>
                                      </a:moveTo>
                                      <a:lnTo>
                                        <a:pt x="244782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.781416pt;margin-top:-3.543053pt;width:192.75pt;height:.4pt;mso-position-horizontal-relative:column;mso-position-vertical-relative:paragraph;z-index:15739392" id="docshapegroup28" coordorigin="236,-71" coordsize="3855,8">
                      <v:line style="position:absolute" from="236,-67" to="4090,-67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z w:val="16"/>
              </w:rPr>
              <w:t>Pre-</w:t>
            </w:r>
            <w:r>
              <w:rPr>
                <w:color w:val="231F20"/>
                <w:spacing w:val="-2"/>
                <w:sz w:val="16"/>
              </w:rPr>
              <w:t>treatment</w:t>
            </w:r>
          </w:p>
        </w:tc>
        <w:tc>
          <w:tcPr>
            <w:tcW w:w="165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3"/>
              <w:ind w:left="49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Food</w:t>
            </w:r>
            <w:r>
              <w:rPr>
                <w:color w:val="231F20"/>
                <w:spacing w:val="-4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consumption</w:t>
            </w:r>
          </w:p>
          <w:p>
            <w:pPr>
              <w:pStyle w:val="TableParagraph"/>
              <w:spacing w:line="264" w:lineRule="auto" w:before="115"/>
              <w:ind w:left="485" w:right="319" w:hanging="63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Gentamicin treatment</w:t>
            </w:r>
          </w:p>
        </w:tc>
        <w:tc>
          <w:tcPr>
            <w:tcW w:w="128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168"/>
              <w:rPr>
                <w:sz w:val="16"/>
              </w:rPr>
            </w:pPr>
          </w:p>
          <w:p>
            <w:pPr>
              <w:pStyle w:val="TableParagraph"/>
              <w:spacing w:line="264" w:lineRule="auto"/>
              <w:ind w:left="205" w:firstLine="81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14 days’ </w:t>
            </w:r>
            <w:r>
              <w:rPr>
                <w:color w:val="231F20"/>
                <w:spacing w:val="-2"/>
                <w:w w:val="110"/>
                <w:sz w:val="16"/>
              </w:rPr>
              <w:t>treatment</w:t>
            </w:r>
          </w:p>
        </w:tc>
        <w:tc>
          <w:tcPr>
            <w:tcW w:w="152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168"/>
              <w:rPr>
                <w:sz w:val="16"/>
              </w:rPr>
            </w:pPr>
          </w:p>
          <w:p>
            <w:pPr>
              <w:pStyle w:val="TableParagraph"/>
              <w:spacing w:line="240" w:lineRule="auto"/>
              <w:ind w:left="44"/>
              <w:jc w:val="center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9904">
                      <wp:simplePos x="0" y="0"/>
                      <wp:positionH relativeFrom="column">
                        <wp:posOffset>149626</wp:posOffset>
                      </wp:positionH>
                      <wp:positionV relativeFrom="paragraph">
                        <wp:posOffset>-44996</wp:posOffset>
                      </wp:positionV>
                      <wp:extent cx="2497455" cy="5080"/>
                      <wp:effectExtent l="0" t="0" r="0" b="0"/>
                      <wp:wrapNone/>
                      <wp:docPr id="43" name="Group 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" name="Group 43"/>
                            <wpg:cNvGrpSpPr/>
                            <wpg:grpSpPr>
                              <a:xfrm>
                                <a:off x="0" y="0"/>
                                <a:ext cx="2497455" cy="5080"/>
                                <a:chExt cx="2497455" cy="5080"/>
                              </a:xfrm>
                            </wpg:grpSpPr>
                            <wps:wsp>
                              <wps:cNvPr id="44" name="Graphic 44"/>
                              <wps:cNvSpPr/>
                              <wps:spPr>
                                <a:xfrm>
                                  <a:off x="0" y="2540"/>
                                  <a:ext cx="24974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97455" h="0">
                                      <a:moveTo>
                                        <a:pt x="0" y="0"/>
                                      </a:moveTo>
                                      <a:lnTo>
                                        <a:pt x="249703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.781629pt;margin-top:-3.543053pt;width:196.65pt;height:.4pt;mso-position-horizontal-relative:column;mso-position-vertical-relative:paragraph;z-index:15739904" id="docshapegroup29" coordorigin="236,-71" coordsize="3933,8">
                      <v:line style="position:absolute" from="236,-67" to="4168,-67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z w:val="16"/>
              </w:rPr>
              <w:t>Pre-</w:t>
            </w:r>
            <w:r>
              <w:rPr>
                <w:color w:val="231F20"/>
                <w:spacing w:val="-2"/>
                <w:sz w:val="16"/>
              </w:rPr>
              <w:t>treatment</w:t>
            </w:r>
          </w:p>
        </w:tc>
        <w:tc>
          <w:tcPr>
            <w:tcW w:w="142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3"/>
              <w:ind w:left="194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Body</w:t>
            </w:r>
            <w:r>
              <w:rPr>
                <w:color w:val="231F20"/>
                <w:spacing w:val="2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weight</w:t>
            </w:r>
          </w:p>
          <w:p>
            <w:pPr>
              <w:pStyle w:val="TableParagraph"/>
              <w:spacing w:line="264" w:lineRule="auto" w:before="115"/>
              <w:ind w:left="342" w:right="232" w:hanging="63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Gentamicin treatment</w:t>
            </w:r>
          </w:p>
        </w:tc>
        <w:tc>
          <w:tcPr>
            <w:tcW w:w="133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168"/>
              <w:rPr>
                <w:sz w:val="16"/>
              </w:rPr>
            </w:pPr>
          </w:p>
          <w:p>
            <w:pPr>
              <w:pStyle w:val="TableParagraph"/>
              <w:spacing w:line="264" w:lineRule="auto"/>
              <w:ind w:left="331" w:firstLine="81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14 days’ </w:t>
            </w:r>
            <w:r>
              <w:rPr>
                <w:color w:val="231F20"/>
                <w:spacing w:val="-2"/>
                <w:w w:val="110"/>
                <w:sz w:val="16"/>
              </w:rPr>
              <w:t>treatment</w:t>
            </w:r>
          </w:p>
        </w:tc>
      </w:tr>
      <w:tr>
        <w:trPr>
          <w:trHeight w:val="250" w:hRule="atLeast"/>
        </w:trPr>
        <w:tc>
          <w:tcPr>
            <w:tcW w:w="133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70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Control</w:t>
            </w:r>
          </w:p>
        </w:tc>
        <w:tc>
          <w:tcPr>
            <w:tcW w:w="138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96" w:lineRule="exact" w:before="34"/>
              <w:ind w:left="397"/>
              <w:rPr>
                <w:sz w:val="14"/>
              </w:rPr>
            </w:pPr>
            <w:r>
              <w:rPr>
                <w:color w:val="231F20"/>
                <w:sz w:val="14"/>
              </w:rPr>
              <w:t>18.00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1.26</w:t>
            </w:r>
          </w:p>
        </w:tc>
        <w:tc>
          <w:tcPr>
            <w:tcW w:w="165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96" w:lineRule="exact" w:before="34"/>
              <w:ind w:right="38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21.40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5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2.91</w:t>
            </w:r>
          </w:p>
        </w:tc>
        <w:tc>
          <w:tcPr>
            <w:tcW w:w="128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96" w:lineRule="exact" w:before="34"/>
              <w:ind w:left="149"/>
              <w:rPr>
                <w:sz w:val="14"/>
              </w:rPr>
            </w:pPr>
            <w:r>
              <w:rPr>
                <w:color w:val="231F20"/>
                <w:sz w:val="14"/>
              </w:rPr>
              <w:t>26.40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0.68</w:t>
            </w:r>
            <w:r>
              <w:rPr>
                <w:color w:val="00699D"/>
                <w:spacing w:val="-2"/>
                <w:sz w:val="14"/>
              </w:rPr>
              <w:t>*</w:t>
            </w:r>
          </w:p>
        </w:tc>
        <w:tc>
          <w:tcPr>
            <w:tcW w:w="152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96" w:lineRule="exact" w:before="34"/>
              <w:ind w:left="359"/>
              <w:rPr>
                <w:sz w:val="14"/>
              </w:rPr>
            </w:pPr>
            <w:r>
              <w:rPr>
                <w:color w:val="231F20"/>
                <w:sz w:val="14"/>
              </w:rPr>
              <w:t>204.0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3.55</w:t>
            </w:r>
          </w:p>
        </w:tc>
        <w:tc>
          <w:tcPr>
            <w:tcW w:w="142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96" w:lineRule="exact" w:before="34"/>
              <w:ind w:left="309"/>
              <w:rPr>
                <w:sz w:val="14"/>
              </w:rPr>
            </w:pPr>
            <w:r>
              <w:rPr>
                <w:color w:val="231F20"/>
                <w:sz w:val="14"/>
              </w:rPr>
              <w:t>212.6</w:t>
            </w:r>
            <w:r>
              <w:rPr>
                <w:color w:val="231F20"/>
                <w:spacing w:val="11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8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3.89</w:t>
            </w:r>
          </w:p>
        </w:tc>
        <w:tc>
          <w:tcPr>
            <w:tcW w:w="133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96" w:lineRule="exact" w:before="34"/>
              <w:ind w:left="237"/>
              <w:rPr>
                <w:sz w:val="9"/>
              </w:rPr>
            </w:pPr>
            <w:r>
              <w:rPr>
                <w:color w:val="231F20"/>
                <w:sz w:val="14"/>
              </w:rPr>
              <w:t>226.0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2.92</w:t>
            </w:r>
            <w:r>
              <w:rPr>
                <w:color w:val="00699D"/>
                <w:spacing w:val="-2"/>
                <w:sz w:val="14"/>
              </w:rPr>
              <w:t>*</w:t>
            </w:r>
            <w:r>
              <w:rPr>
                <w:color w:val="00699D"/>
                <w:spacing w:val="-2"/>
                <w:position w:val="5"/>
                <w:sz w:val="9"/>
              </w:rPr>
              <w:t>,†</w:t>
            </w:r>
          </w:p>
        </w:tc>
      </w:tr>
      <w:tr>
        <w:trPr>
          <w:trHeight w:val="199" w:hRule="atLeast"/>
        </w:trPr>
        <w:tc>
          <w:tcPr>
            <w:tcW w:w="1335" w:type="dxa"/>
            <w:shd w:val="clear" w:color="auto" w:fill="E6E7E8"/>
          </w:tcPr>
          <w:p>
            <w:pPr>
              <w:pStyle w:val="TableParagraph"/>
              <w:spacing w:line="240" w:lineRule="auto" w:before="19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Toxic</w:t>
            </w:r>
            <w:r>
              <w:rPr>
                <w:color w:val="231F20"/>
                <w:spacing w:val="-4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control</w:t>
            </w:r>
          </w:p>
        </w:tc>
        <w:tc>
          <w:tcPr>
            <w:tcW w:w="1384" w:type="dxa"/>
            <w:shd w:val="clear" w:color="auto" w:fill="E6E7E8"/>
          </w:tcPr>
          <w:p>
            <w:pPr>
              <w:pStyle w:val="TableParagraph"/>
              <w:ind w:left="397"/>
              <w:rPr>
                <w:sz w:val="14"/>
              </w:rPr>
            </w:pPr>
            <w:r>
              <w:rPr>
                <w:color w:val="231F20"/>
                <w:sz w:val="14"/>
              </w:rPr>
              <w:t>27.00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2.00</w:t>
            </w:r>
          </w:p>
        </w:tc>
        <w:tc>
          <w:tcPr>
            <w:tcW w:w="1658" w:type="dxa"/>
            <w:shd w:val="clear" w:color="auto" w:fill="E6E7E8"/>
          </w:tcPr>
          <w:p>
            <w:pPr>
              <w:pStyle w:val="TableParagraph"/>
              <w:ind w:right="38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33.60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5.27</w:t>
            </w:r>
          </w:p>
        </w:tc>
        <w:tc>
          <w:tcPr>
            <w:tcW w:w="1284" w:type="dxa"/>
            <w:shd w:val="clear" w:color="auto" w:fill="E6E7E8"/>
          </w:tcPr>
          <w:p>
            <w:pPr>
              <w:pStyle w:val="TableParagraph"/>
              <w:spacing w:line="240" w:lineRule="auto" w:before="19"/>
              <w:ind w:right="83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528" w:type="dxa"/>
            <w:shd w:val="clear" w:color="auto" w:fill="E6E7E8"/>
          </w:tcPr>
          <w:p>
            <w:pPr>
              <w:pStyle w:val="TableParagraph"/>
              <w:ind w:left="359"/>
              <w:rPr>
                <w:sz w:val="14"/>
              </w:rPr>
            </w:pPr>
            <w:r>
              <w:rPr>
                <w:color w:val="231F20"/>
                <w:sz w:val="14"/>
              </w:rPr>
              <w:t>188.0</w:t>
            </w:r>
            <w:r>
              <w:rPr>
                <w:color w:val="231F20"/>
                <w:spacing w:val="2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 </w:t>
            </w:r>
            <w:r>
              <w:rPr>
                <w:color w:val="231F20"/>
                <w:spacing w:val="-2"/>
                <w:sz w:val="14"/>
              </w:rPr>
              <w:t>12.41</w:t>
            </w:r>
          </w:p>
        </w:tc>
        <w:tc>
          <w:tcPr>
            <w:tcW w:w="1427" w:type="dxa"/>
            <w:shd w:val="clear" w:color="auto" w:fill="E6E7E8"/>
          </w:tcPr>
          <w:p>
            <w:pPr>
              <w:pStyle w:val="TableParagraph"/>
              <w:ind w:left="309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195.6</w:t>
            </w:r>
            <w:r>
              <w:rPr>
                <w:color w:val="231F20"/>
                <w:spacing w:val="1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3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11.74</w:t>
            </w:r>
          </w:p>
        </w:tc>
        <w:tc>
          <w:tcPr>
            <w:tcW w:w="1332" w:type="dxa"/>
            <w:shd w:val="clear" w:color="auto" w:fill="E6E7E8"/>
          </w:tcPr>
          <w:p>
            <w:pPr>
              <w:pStyle w:val="TableParagraph"/>
              <w:spacing w:line="240" w:lineRule="auto" w:before="19"/>
              <w:ind w:left="119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</w:tr>
      <w:tr>
        <w:trPr>
          <w:trHeight w:val="199" w:hRule="atLeast"/>
        </w:trPr>
        <w:tc>
          <w:tcPr>
            <w:tcW w:w="1335" w:type="dxa"/>
            <w:shd w:val="clear" w:color="auto" w:fill="E6E7E8"/>
          </w:tcPr>
          <w:p>
            <w:pPr>
              <w:pStyle w:val="TableParagraph"/>
              <w:spacing w:line="240" w:lineRule="auto" w:before="19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Toxic</w:t>
            </w:r>
            <w:r>
              <w:rPr>
                <w:color w:val="231F20"/>
                <w:spacing w:val="-4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recovery</w:t>
            </w:r>
          </w:p>
        </w:tc>
        <w:tc>
          <w:tcPr>
            <w:tcW w:w="1384" w:type="dxa"/>
            <w:shd w:val="clear" w:color="auto" w:fill="E6E7E8"/>
          </w:tcPr>
          <w:p>
            <w:pPr>
              <w:pStyle w:val="TableParagraph"/>
              <w:ind w:left="397"/>
              <w:rPr>
                <w:sz w:val="14"/>
              </w:rPr>
            </w:pPr>
            <w:r>
              <w:rPr>
                <w:color w:val="231F20"/>
                <w:sz w:val="14"/>
              </w:rPr>
              <w:t>15.00</w:t>
            </w:r>
            <w:r>
              <w:rPr>
                <w:color w:val="231F20"/>
                <w:spacing w:val="6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0.76</w:t>
            </w:r>
          </w:p>
        </w:tc>
        <w:tc>
          <w:tcPr>
            <w:tcW w:w="1658" w:type="dxa"/>
            <w:shd w:val="clear" w:color="auto" w:fill="E6E7E8"/>
          </w:tcPr>
          <w:p>
            <w:pPr>
              <w:pStyle w:val="TableParagraph"/>
              <w:ind w:right="38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14.40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5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1.63</w:t>
            </w:r>
          </w:p>
        </w:tc>
        <w:tc>
          <w:tcPr>
            <w:tcW w:w="1284" w:type="dxa"/>
            <w:shd w:val="clear" w:color="auto" w:fill="E6E7E8"/>
          </w:tcPr>
          <w:p>
            <w:pPr>
              <w:pStyle w:val="TableParagraph"/>
              <w:ind w:left="149"/>
              <w:rPr>
                <w:sz w:val="9"/>
              </w:rPr>
            </w:pPr>
            <w:r>
              <w:rPr>
                <w:color w:val="231F20"/>
                <w:sz w:val="14"/>
              </w:rPr>
              <w:t>26.00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1.4</w:t>
            </w:r>
            <w:r>
              <w:rPr>
                <w:color w:val="00699D"/>
                <w:spacing w:val="-2"/>
                <w:sz w:val="14"/>
              </w:rPr>
              <w:t>*</w:t>
            </w:r>
            <w:r>
              <w:rPr>
                <w:color w:val="00699D"/>
                <w:spacing w:val="-2"/>
                <w:position w:val="5"/>
                <w:sz w:val="9"/>
              </w:rPr>
              <w:t>,†</w:t>
            </w:r>
          </w:p>
        </w:tc>
        <w:tc>
          <w:tcPr>
            <w:tcW w:w="1528" w:type="dxa"/>
            <w:shd w:val="clear" w:color="auto" w:fill="E6E7E8"/>
          </w:tcPr>
          <w:p>
            <w:pPr>
              <w:pStyle w:val="TableParagraph"/>
              <w:ind w:left="359"/>
              <w:rPr>
                <w:sz w:val="14"/>
              </w:rPr>
            </w:pPr>
            <w:r>
              <w:rPr>
                <w:color w:val="231F20"/>
                <w:sz w:val="14"/>
              </w:rPr>
              <w:t>94.00</w:t>
            </w:r>
            <w:r>
              <w:rPr>
                <w:color w:val="231F20"/>
                <w:spacing w:val="-7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1.73</w:t>
            </w:r>
          </w:p>
        </w:tc>
        <w:tc>
          <w:tcPr>
            <w:tcW w:w="1427" w:type="dxa"/>
            <w:shd w:val="clear" w:color="auto" w:fill="E6E7E8"/>
          </w:tcPr>
          <w:p>
            <w:pPr>
              <w:pStyle w:val="TableParagraph"/>
              <w:ind w:left="309"/>
              <w:rPr>
                <w:sz w:val="14"/>
              </w:rPr>
            </w:pPr>
            <w:r>
              <w:rPr>
                <w:color w:val="231F20"/>
                <w:sz w:val="14"/>
              </w:rPr>
              <w:t>101.2</w:t>
            </w:r>
            <w:r>
              <w:rPr>
                <w:color w:val="231F20"/>
                <w:spacing w:val="17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15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2.44</w:t>
            </w:r>
          </w:p>
        </w:tc>
        <w:tc>
          <w:tcPr>
            <w:tcW w:w="1332" w:type="dxa"/>
            <w:shd w:val="clear" w:color="auto" w:fill="E6E7E8"/>
          </w:tcPr>
          <w:p>
            <w:pPr>
              <w:pStyle w:val="TableParagraph"/>
              <w:ind w:left="237"/>
              <w:rPr>
                <w:sz w:val="9"/>
              </w:rPr>
            </w:pPr>
            <w:r>
              <w:rPr>
                <w:color w:val="231F20"/>
                <w:sz w:val="14"/>
              </w:rPr>
              <w:t>136.0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5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4.14</w:t>
            </w:r>
            <w:r>
              <w:rPr>
                <w:color w:val="00699D"/>
                <w:spacing w:val="-2"/>
                <w:sz w:val="14"/>
              </w:rPr>
              <w:t>*</w:t>
            </w:r>
            <w:r>
              <w:rPr>
                <w:color w:val="00699D"/>
                <w:spacing w:val="-2"/>
                <w:position w:val="5"/>
                <w:sz w:val="9"/>
              </w:rPr>
              <w:t>,†</w:t>
            </w:r>
          </w:p>
        </w:tc>
      </w:tr>
      <w:tr>
        <w:trPr>
          <w:trHeight w:val="199" w:hRule="atLeast"/>
        </w:trPr>
        <w:tc>
          <w:tcPr>
            <w:tcW w:w="1335" w:type="dxa"/>
            <w:shd w:val="clear" w:color="auto" w:fill="E6E7E8"/>
          </w:tcPr>
          <w:p>
            <w:pPr>
              <w:pStyle w:val="TableParagraph"/>
              <w:spacing w:line="240" w:lineRule="auto" w:before="19"/>
              <w:ind w:left="119"/>
              <w:rPr>
                <w:sz w:val="14"/>
              </w:rPr>
            </w:pPr>
            <w:r>
              <w:rPr>
                <w:color w:val="231F20"/>
                <w:sz w:val="14"/>
              </w:rPr>
              <w:t>100</w:t>
            </w:r>
            <w:r>
              <w:rPr>
                <w:color w:val="231F20"/>
                <w:spacing w:val="16"/>
                <w:sz w:val="14"/>
              </w:rPr>
              <w:t> </w:t>
            </w:r>
            <w:r>
              <w:rPr>
                <w:color w:val="231F20"/>
                <w:sz w:val="14"/>
              </w:rPr>
              <w:t>mg</w:t>
            </w:r>
            <w:r>
              <w:rPr>
                <w:color w:val="231F20"/>
                <w:spacing w:val="9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AOGL</w:t>
            </w:r>
          </w:p>
        </w:tc>
        <w:tc>
          <w:tcPr>
            <w:tcW w:w="1384" w:type="dxa"/>
            <w:shd w:val="clear" w:color="auto" w:fill="E6E7E8"/>
          </w:tcPr>
          <w:p>
            <w:pPr>
              <w:pStyle w:val="TableParagraph"/>
              <w:ind w:left="397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11.00</w:t>
            </w:r>
            <w:r>
              <w:rPr>
                <w:color w:val="231F20"/>
                <w:spacing w:val="1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3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1.79</w:t>
            </w:r>
          </w:p>
        </w:tc>
        <w:tc>
          <w:tcPr>
            <w:tcW w:w="1658" w:type="dxa"/>
            <w:shd w:val="clear" w:color="auto" w:fill="E6E7E8"/>
          </w:tcPr>
          <w:p>
            <w:pPr>
              <w:pStyle w:val="TableParagraph"/>
              <w:ind w:right="38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14.80</w:t>
            </w:r>
            <w:r>
              <w:rPr>
                <w:color w:val="231F20"/>
                <w:spacing w:val="4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2.15</w:t>
            </w:r>
          </w:p>
        </w:tc>
        <w:tc>
          <w:tcPr>
            <w:tcW w:w="1284" w:type="dxa"/>
            <w:shd w:val="clear" w:color="auto" w:fill="E6E7E8"/>
          </w:tcPr>
          <w:p>
            <w:pPr>
              <w:pStyle w:val="TableParagraph"/>
              <w:ind w:left="149"/>
              <w:rPr>
                <w:sz w:val="9"/>
              </w:rPr>
            </w:pPr>
            <w:r>
              <w:rPr>
                <w:color w:val="231F20"/>
                <w:sz w:val="14"/>
              </w:rPr>
              <w:t>21.00</w:t>
            </w:r>
            <w:r>
              <w:rPr>
                <w:color w:val="231F20"/>
                <w:spacing w:val="4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2.04</w:t>
            </w:r>
            <w:r>
              <w:rPr>
                <w:color w:val="00699D"/>
                <w:spacing w:val="-2"/>
                <w:sz w:val="14"/>
              </w:rPr>
              <w:t>*</w:t>
            </w:r>
            <w:r>
              <w:rPr>
                <w:color w:val="00699D"/>
                <w:spacing w:val="-2"/>
                <w:position w:val="5"/>
                <w:sz w:val="9"/>
              </w:rPr>
              <w:t>,†</w:t>
            </w:r>
          </w:p>
        </w:tc>
        <w:tc>
          <w:tcPr>
            <w:tcW w:w="1528" w:type="dxa"/>
            <w:shd w:val="clear" w:color="auto" w:fill="E6E7E8"/>
          </w:tcPr>
          <w:p>
            <w:pPr>
              <w:pStyle w:val="TableParagraph"/>
              <w:ind w:left="359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98.00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rFonts w:ascii="UKIJ CJK" w:hAnsi="UKIJ CJK"/>
                <w:color w:val="231F20"/>
                <w:spacing w:val="-2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3.86</w:t>
            </w:r>
          </w:p>
        </w:tc>
        <w:tc>
          <w:tcPr>
            <w:tcW w:w="1427" w:type="dxa"/>
            <w:shd w:val="clear" w:color="auto" w:fill="E6E7E8"/>
          </w:tcPr>
          <w:p>
            <w:pPr>
              <w:pStyle w:val="TableParagraph"/>
              <w:ind w:left="309"/>
              <w:rPr>
                <w:sz w:val="14"/>
              </w:rPr>
            </w:pPr>
            <w:r>
              <w:rPr>
                <w:color w:val="231F20"/>
                <w:sz w:val="14"/>
              </w:rPr>
              <w:t>87.40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5.14</w:t>
            </w:r>
          </w:p>
        </w:tc>
        <w:tc>
          <w:tcPr>
            <w:tcW w:w="1332" w:type="dxa"/>
            <w:shd w:val="clear" w:color="auto" w:fill="E6E7E8"/>
          </w:tcPr>
          <w:p>
            <w:pPr>
              <w:pStyle w:val="TableParagraph"/>
              <w:ind w:left="237"/>
              <w:rPr>
                <w:sz w:val="9"/>
              </w:rPr>
            </w:pPr>
            <w:r>
              <w:rPr>
                <w:color w:val="231F20"/>
                <w:sz w:val="14"/>
              </w:rPr>
              <w:t>132.8</w:t>
            </w:r>
            <w:r>
              <w:rPr>
                <w:color w:val="231F20"/>
                <w:spacing w:val="9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10.00</w:t>
            </w:r>
            <w:r>
              <w:rPr>
                <w:color w:val="00699D"/>
                <w:spacing w:val="-2"/>
                <w:sz w:val="14"/>
              </w:rPr>
              <w:t>*</w:t>
            </w:r>
            <w:r>
              <w:rPr>
                <w:color w:val="00699D"/>
                <w:spacing w:val="-2"/>
                <w:position w:val="5"/>
                <w:sz w:val="9"/>
              </w:rPr>
              <w:t>,†</w:t>
            </w:r>
          </w:p>
        </w:tc>
      </w:tr>
      <w:tr>
        <w:trPr>
          <w:trHeight w:val="199" w:hRule="atLeast"/>
        </w:trPr>
        <w:tc>
          <w:tcPr>
            <w:tcW w:w="1335" w:type="dxa"/>
            <w:shd w:val="clear" w:color="auto" w:fill="E6E7E8"/>
          </w:tcPr>
          <w:p>
            <w:pPr>
              <w:pStyle w:val="TableParagraph"/>
              <w:spacing w:line="240" w:lineRule="auto" w:before="19"/>
              <w:ind w:left="119"/>
              <w:rPr>
                <w:sz w:val="14"/>
              </w:rPr>
            </w:pPr>
            <w:r>
              <w:rPr>
                <w:color w:val="231F20"/>
                <w:sz w:val="14"/>
              </w:rPr>
              <w:t>200</w:t>
            </w:r>
            <w:r>
              <w:rPr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z w:val="14"/>
              </w:rPr>
              <w:t>mg </w:t>
            </w:r>
            <w:r>
              <w:rPr>
                <w:color w:val="231F20"/>
                <w:spacing w:val="-4"/>
                <w:sz w:val="14"/>
              </w:rPr>
              <w:t>AOGL</w:t>
            </w:r>
          </w:p>
        </w:tc>
        <w:tc>
          <w:tcPr>
            <w:tcW w:w="1384" w:type="dxa"/>
            <w:shd w:val="clear" w:color="auto" w:fill="E6E7E8"/>
          </w:tcPr>
          <w:p>
            <w:pPr>
              <w:pStyle w:val="TableParagraph"/>
              <w:ind w:left="397"/>
              <w:rPr>
                <w:sz w:val="14"/>
              </w:rPr>
            </w:pPr>
            <w:r>
              <w:rPr>
                <w:color w:val="231F20"/>
                <w:sz w:val="14"/>
              </w:rPr>
              <w:t>12.60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5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2.56</w:t>
            </w:r>
          </w:p>
        </w:tc>
        <w:tc>
          <w:tcPr>
            <w:tcW w:w="1658" w:type="dxa"/>
            <w:shd w:val="clear" w:color="auto" w:fill="E6E7E8"/>
          </w:tcPr>
          <w:p>
            <w:pPr>
              <w:pStyle w:val="TableParagraph"/>
              <w:ind w:right="388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17.80</w:t>
            </w:r>
            <w:r>
              <w:rPr>
                <w:color w:val="231F20"/>
                <w:spacing w:val="-3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5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1.16</w:t>
            </w:r>
          </w:p>
        </w:tc>
        <w:tc>
          <w:tcPr>
            <w:tcW w:w="1284" w:type="dxa"/>
            <w:shd w:val="clear" w:color="auto" w:fill="E6E7E8"/>
          </w:tcPr>
          <w:p>
            <w:pPr>
              <w:pStyle w:val="TableParagraph"/>
              <w:ind w:left="149"/>
              <w:rPr>
                <w:sz w:val="9"/>
              </w:rPr>
            </w:pPr>
            <w:r>
              <w:rPr>
                <w:color w:val="231F20"/>
                <w:sz w:val="14"/>
              </w:rPr>
              <w:t>24.40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3.14</w:t>
            </w:r>
            <w:r>
              <w:rPr>
                <w:color w:val="00699D"/>
                <w:spacing w:val="-2"/>
                <w:sz w:val="14"/>
              </w:rPr>
              <w:t>*</w:t>
            </w:r>
            <w:r>
              <w:rPr>
                <w:color w:val="00699D"/>
                <w:spacing w:val="-2"/>
                <w:position w:val="5"/>
                <w:sz w:val="9"/>
              </w:rPr>
              <w:t>,†</w:t>
            </w:r>
          </w:p>
        </w:tc>
        <w:tc>
          <w:tcPr>
            <w:tcW w:w="1528" w:type="dxa"/>
            <w:shd w:val="clear" w:color="auto" w:fill="E6E7E8"/>
          </w:tcPr>
          <w:p>
            <w:pPr>
              <w:pStyle w:val="TableParagraph"/>
              <w:ind w:left="359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117.4</w:t>
            </w:r>
            <w:r>
              <w:rPr>
                <w:color w:val="231F20"/>
                <w:spacing w:val="13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10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9.05</w:t>
            </w:r>
          </w:p>
        </w:tc>
        <w:tc>
          <w:tcPr>
            <w:tcW w:w="1427" w:type="dxa"/>
            <w:shd w:val="clear" w:color="auto" w:fill="E6E7E8"/>
          </w:tcPr>
          <w:p>
            <w:pPr>
              <w:pStyle w:val="TableParagraph"/>
              <w:ind w:left="309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118.8</w:t>
            </w:r>
            <w:r>
              <w:rPr>
                <w:color w:val="231F20"/>
                <w:spacing w:val="4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1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8.62</w:t>
            </w:r>
          </w:p>
        </w:tc>
        <w:tc>
          <w:tcPr>
            <w:tcW w:w="1332" w:type="dxa"/>
            <w:shd w:val="clear" w:color="auto" w:fill="E6E7E8"/>
          </w:tcPr>
          <w:p>
            <w:pPr>
              <w:pStyle w:val="TableParagraph"/>
              <w:ind w:left="237"/>
              <w:rPr>
                <w:sz w:val="9"/>
              </w:rPr>
            </w:pPr>
            <w:r>
              <w:rPr>
                <w:color w:val="231F20"/>
                <w:sz w:val="14"/>
              </w:rPr>
              <w:t>142.0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5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6.61</w:t>
            </w:r>
            <w:r>
              <w:rPr>
                <w:color w:val="00699D"/>
                <w:spacing w:val="-2"/>
                <w:sz w:val="14"/>
              </w:rPr>
              <w:t>*</w:t>
            </w:r>
            <w:r>
              <w:rPr>
                <w:color w:val="00699D"/>
                <w:spacing w:val="-2"/>
                <w:position w:val="5"/>
                <w:sz w:val="9"/>
              </w:rPr>
              <w:t>,†</w:t>
            </w:r>
          </w:p>
        </w:tc>
      </w:tr>
      <w:tr>
        <w:trPr>
          <w:trHeight w:val="226" w:hRule="atLeast"/>
        </w:trPr>
        <w:tc>
          <w:tcPr>
            <w:tcW w:w="133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19"/>
              <w:ind w:left="119"/>
              <w:rPr>
                <w:sz w:val="14"/>
              </w:rPr>
            </w:pPr>
            <w:r>
              <w:rPr>
                <w:color w:val="231F20"/>
                <w:sz w:val="14"/>
              </w:rPr>
              <w:t>400</w:t>
            </w:r>
            <w:r>
              <w:rPr>
                <w:color w:val="231F20"/>
                <w:spacing w:val="5"/>
                <w:sz w:val="14"/>
              </w:rPr>
              <w:t> </w:t>
            </w:r>
            <w:r>
              <w:rPr>
                <w:color w:val="231F20"/>
                <w:sz w:val="14"/>
              </w:rPr>
              <w:t>mg </w:t>
            </w:r>
            <w:r>
              <w:rPr>
                <w:color w:val="231F20"/>
                <w:spacing w:val="-4"/>
                <w:sz w:val="14"/>
              </w:rPr>
              <w:t>AOGL</w:t>
            </w:r>
          </w:p>
        </w:tc>
        <w:tc>
          <w:tcPr>
            <w:tcW w:w="138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397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15.60</w:t>
            </w:r>
            <w:r>
              <w:rPr>
                <w:color w:val="231F20"/>
                <w:spacing w:val="-3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5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1.69</w:t>
            </w:r>
          </w:p>
        </w:tc>
        <w:tc>
          <w:tcPr>
            <w:tcW w:w="165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right="38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17.20</w:t>
            </w:r>
            <w:r>
              <w:rPr>
                <w:color w:val="231F20"/>
                <w:spacing w:val="12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10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2.06</w:t>
            </w:r>
          </w:p>
        </w:tc>
        <w:tc>
          <w:tcPr>
            <w:tcW w:w="128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149"/>
              <w:rPr>
                <w:sz w:val="9"/>
              </w:rPr>
            </w:pPr>
            <w:r>
              <w:rPr>
                <w:color w:val="231F20"/>
                <w:sz w:val="14"/>
              </w:rPr>
              <w:t>20.80</w:t>
            </w:r>
            <w:r>
              <w:rPr>
                <w:color w:val="231F20"/>
                <w:spacing w:val="-7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10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1.77</w:t>
            </w:r>
            <w:r>
              <w:rPr>
                <w:color w:val="00699D"/>
                <w:spacing w:val="-2"/>
                <w:sz w:val="14"/>
              </w:rPr>
              <w:t>*</w:t>
            </w:r>
            <w:r>
              <w:rPr>
                <w:color w:val="00699D"/>
                <w:spacing w:val="-2"/>
                <w:position w:val="5"/>
                <w:sz w:val="9"/>
              </w:rPr>
              <w:t>,†</w:t>
            </w:r>
          </w:p>
        </w:tc>
        <w:tc>
          <w:tcPr>
            <w:tcW w:w="152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359"/>
              <w:rPr>
                <w:sz w:val="14"/>
              </w:rPr>
            </w:pPr>
            <w:r>
              <w:rPr>
                <w:color w:val="231F20"/>
                <w:sz w:val="14"/>
              </w:rPr>
              <w:t>92.20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4.34</w:t>
            </w:r>
          </w:p>
        </w:tc>
        <w:tc>
          <w:tcPr>
            <w:tcW w:w="142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309"/>
              <w:rPr>
                <w:sz w:val="14"/>
              </w:rPr>
            </w:pPr>
            <w:r>
              <w:rPr>
                <w:color w:val="231F20"/>
                <w:sz w:val="14"/>
              </w:rPr>
              <w:t>96.60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6.38</w:t>
            </w:r>
          </w:p>
        </w:tc>
        <w:tc>
          <w:tcPr>
            <w:tcW w:w="133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237"/>
              <w:rPr>
                <w:sz w:val="9"/>
              </w:rPr>
            </w:pPr>
            <w:r>
              <w:rPr>
                <w:color w:val="231F20"/>
                <w:sz w:val="14"/>
              </w:rPr>
              <w:t>129.8</w:t>
            </w:r>
            <w:r>
              <w:rPr>
                <w:color w:val="231F20"/>
                <w:spacing w:val="9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7.94</w:t>
            </w:r>
            <w:r>
              <w:rPr>
                <w:color w:val="00699D"/>
                <w:spacing w:val="-2"/>
                <w:sz w:val="14"/>
              </w:rPr>
              <w:t>*</w:t>
            </w:r>
            <w:r>
              <w:rPr>
                <w:color w:val="00699D"/>
                <w:spacing w:val="-2"/>
                <w:position w:val="5"/>
                <w:sz w:val="9"/>
              </w:rPr>
              <w:t>,†</w:t>
            </w:r>
          </w:p>
        </w:tc>
      </w:tr>
      <w:tr>
        <w:trPr>
          <w:trHeight w:val="507" w:hRule="atLeast"/>
        </w:trPr>
        <w:tc>
          <w:tcPr>
            <w:tcW w:w="9948" w:type="dxa"/>
            <w:gridSpan w:val="7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35" w:lineRule="auto" w:before="28"/>
              <w:ind w:left="119" w:right="76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Values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are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given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as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mean</w:t>
            </w:r>
            <w:r>
              <w:rPr>
                <w:color w:val="231F20"/>
                <w:spacing w:val="13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10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SEM.</w:t>
            </w:r>
            <w:r>
              <w:rPr>
                <w:color w:val="231F20"/>
                <w:spacing w:val="16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*</w:t>
            </w:r>
            <w:r>
              <w:rPr>
                <w:color w:val="231F20"/>
                <w:spacing w:val="13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=</w:t>
            </w:r>
            <w:r>
              <w:rPr>
                <w:rFonts w:ascii="UKIJ CJK" w:hAnsi="UKIJ CJK"/>
                <w:color w:val="231F20"/>
                <w:spacing w:val="10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Significantly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different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from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pre-treatment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values.</w:t>
            </w:r>
            <w:r>
              <w:rPr>
                <w:color w:val="231F20"/>
                <w:spacing w:val="16"/>
                <w:w w:val="105"/>
                <w:sz w:val="14"/>
              </w:rPr>
              <w:t> </w:t>
            </w:r>
            <w:r>
              <w:rPr>
                <w:color w:val="231F20"/>
                <w:w w:val="105"/>
                <w:position w:val="5"/>
                <w:sz w:val="9"/>
              </w:rPr>
              <w:t>†</w:t>
            </w:r>
            <w:r>
              <w:rPr>
                <w:color w:val="231F20"/>
                <w:spacing w:val="25"/>
                <w:w w:val="105"/>
                <w:position w:val="5"/>
                <w:sz w:val="9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=</w:t>
            </w:r>
            <w:r>
              <w:rPr>
                <w:rFonts w:ascii="UKIJ CJK" w:hAnsi="UKIJ CJK"/>
                <w:color w:val="231F20"/>
                <w:spacing w:val="10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Significantly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different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from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toxic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control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(p</w:t>
            </w:r>
            <w:r>
              <w:rPr>
                <w:color w:val="231F20"/>
                <w:spacing w:val="13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&lt;</w:t>
            </w:r>
            <w:r>
              <w:rPr>
                <w:rFonts w:ascii="UKIJ CJK" w:hAnsi="UKIJ CJK"/>
                <w:color w:val="231F20"/>
                <w:spacing w:val="10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0.05).</w:t>
            </w:r>
            <w:r>
              <w:rPr>
                <w:color w:val="231F20"/>
                <w:spacing w:val="40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AOGL, aqueous extract of </w:t>
            </w:r>
            <w:r>
              <w:rPr>
                <w:i/>
                <w:color w:val="231F20"/>
                <w:w w:val="105"/>
                <w:sz w:val="14"/>
              </w:rPr>
              <w:t>Ocimum gratissimum</w:t>
            </w:r>
            <w:r>
              <w:rPr>
                <w:color w:val="231F20"/>
                <w:w w:val="105"/>
                <w:sz w:val="14"/>
              </w:rPr>
              <w:t>.</w:t>
            </w:r>
          </w:p>
        </w:tc>
      </w:tr>
    </w:tbl>
    <w:p>
      <w:pPr>
        <w:pStyle w:val="BodyText"/>
        <w:spacing w:before="19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230" w:lineRule="exact" w:before="72"/>
        <w:ind w:left="116" w:right="43"/>
        <w:jc w:val="both"/>
      </w:pPr>
      <w:r>
        <w:rPr>
          <w:color w:val="231F20"/>
          <w:spacing w:val="-2"/>
          <w:w w:val="110"/>
        </w:rPr>
        <w:t>compared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its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pre-treatment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values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during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8-day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treat- ment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gentamicin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(</w:t>
      </w:r>
      <w:hyperlink w:history="true" w:anchor="_bookmark4">
        <w:r>
          <w:rPr>
            <w:color w:val="00699D"/>
            <w:spacing w:val="-2"/>
            <w:w w:val="110"/>
          </w:rPr>
          <w:t>Table</w:t>
        </w:r>
        <w:r>
          <w:rPr>
            <w:color w:val="00699D"/>
            <w:spacing w:val="-9"/>
            <w:w w:val="110"/>
          </w:rPr>
          <w:t> </w:t>
        </w:r>
        <w:r>
          <w:rPr>
            <w:color w:val="00699D"/>
            <w:spacing w:val="-2"/>
            <w:w w:val="110"/>
          </w:rPr>
          <w:t>1</w:t>
        </w:r>
      </w:hyperlink>
      <w:r>
        <w:rPr>
          <w:color w:val="231F20"/>
          <w:spacing w:val="-2"/>
          <w:w w:val="110"/>
        </w:rPr>
        <w:t>).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However,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significantly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higher </w:t>
      </w:r>
      <w:bookmarkStart w:name=" Plasma and urine creatinine, urea and t" w:id="26"/>
      <w:bookmarkEnd w:id="26"/>
      <w:r>
        <w:rPr>
          <w:color w:val="231F20"/>
          <w:w w:val="110"/>
        </w:rPr>
        <w:t>food</w:t>
      </w:r>
      <w:r>
        <w:rPr>
          <w:color w:val="231F20"/>
          <w:w w:val="110"/>
        </w:rPr>
        <w:t> consumption and body weight was recorded in the </w:t>
      </w:r>
      <w:r>
        <w:rPr>
          <w:color w:val="231F20"/>
          <w:w w:val="110"/>
        </w:rPr>
        <w:t>rats </w:t>
      </w:r>
      <w:r>
        <w:rPr>
          <w:color w:val="231F20"/>
          <w:spacing w:val="-2"/>
          <w:w w:val="110"/>
        </w:rPr>
        <w:t>treated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AOGL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after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gentamicin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administration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when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com- </w:t>
      </w:r>
      <w:r>
        <w:rPr>
          <w:color w:val="231F20"/>
          <w:w w:val="110"/>
        </w:rPr>
        <w:t>pared with their pre-treatment values and during gentamicin </w:t>
      </w:r>
      <w:r>
        <w:rPr>
          <w:color w:val="231F20"/>
          <w:spacing w:val="-2"/>
          <w:w w:val="110"/>
        </w:rPr>
        <w:t>treatment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(p</w:t>
      </w:r>
      <w:r>
        <w:rPr>
          <w:color w:val="231F20"/>
          <w:spacing w:val="-9"/>
          <w:w w:val="110"/>
        </w:rPr>
        <w:t> </w:t>
      </w:r>
      <w:r>
        <w:rPr>
          <w:rFonts w:ascii="UKIJ CJK"/>
          <w:color w:val="231F20"/>
          <w:spacing w:val="-2"/>
          <w:w w:val="110"/>
        </w:rPr>
        <w:t>&lt;</w:t>
      </w:r>
      <w:r>
        <w:rPr>
          <w:rFonts w:ascii="UKIJ CJK"/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0.05)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(</w:t>
      </w:r>
      <w:hyperlink w:history="true" w:anchor="_bookmark4">
        <w:r>
          <w:rPr>
            <w:color w:val="00699D"/>
            <w:spacing w:val="-2"/>
            <w:w w:val="110"/>
          </w:rPr>
          <w:t>Table</w:t>
        </w:r>
        <w:r>
          <w:rPr>
            <w:color w:val="00699D"/>
            <w:spacing w:val="-4"/>
            <w:w w:val="110"/>
          </w:rPr>
          <w:t> </w:t>
        </w:r>
        <w:r>
          <w:rPr>
            <w:color w:val="00699D"/>
            <w:spacing w:val="-2"/>
            <w:w w:val="110"/>
          </w:rPr>
          <w:t>1</w:t>
        </w:r>
      </w:hyperlink>
      <w:r>
        <w:rPr>
          <w:color w:val="231F20"/>
          <w:spacing w:val="-2"/>
          <w:w w:val="110"/>
        </w:rPr>
        <w:t>).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food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consumption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body </w:t>
      </w:r>
      <w:r>
        <w:rPr>
          <w:color w:val="231F20"/>
          <w:w w:val="110"/>
        </w:rPr>
        <w:t>weight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toxic</w:t>
      </w:r>
      <w:r>
        <w:rPr>
          <w:color w:val="231F20"/>
          <w:w w:val="110"/>
        </w:rPr>
        <w:t> recovery</w:t>
      </w:r>
      <w:r>
        <w:rPr>
          <w:color w:val="231F20"/>
          <w:w w:val="110"/>
        </w:rPr>
        <w:t> group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significantly</w:t>
      </w:r>
      <w:r>
        <w:rPr>
          <w:color w:val="231F20"/>
          <w:w w:val="110"/>
        </w:rPr>
        <w:t> higher</w:t>
      </w:r>
      <w:r>
        <w:rPr>
          <w:color w:val="231F20"/>
          <w:spacing w:val="80"/>
          <w:w w:val="110"/>
        </w:rPr>
        <w:t> </w:t>
      </w:r>
      <w:bookmarkStart w:name=" Water intake and urine volume" w:id="27"/>
      <w:bookmarkEnd w:id="27"/>
      <w:r>
        <w:rPr>
          <w:color w:val="231F20"/>
          <w:w w:val="110"/>
        </w:rPr>
        <w:t>(p</w:t>
      </w:r>
      <w:r>
        <w:rPr>
          <w:color w:val="231F20"/>
          <w:spacing w:val="-3"/>
          <w:w w:val="110"/>
        </w:rPr>
        <w:t> </w:t>
      </w:r>
      <w:r>
        <w:rPr>
          <w:rFonts w:ascii="UKIJ CJK"/>
          <w:color w:val="231F20"/>
          <w:w w:val="110"/>
        </w:rPr>
        <w:t>&lt;</w:t>
      </w:r>
      <w:r>
        <w:rPr>
          <w:rFonts w:ascii="UKIJ CJK"/>
          <w:color w:val="231F20"/>
          <w:spacing w:val="-6"/>
          <w:w w:val="110"/>
        </w:rPr>
        <w:t> </w:t>
      </w:r>
      <w:r>
        <w:rPr>
          <w:color w:val="231F20"/>
          <w:w w:val="110"/>
        </w:rPr>
        <w:t>0.05)</w:t>
      </w:r>
      <w:r>
        <w:rPr>
          <w:color w:val="231F20"/>
          <w:w w:val="110"/>
        </w:rPr>
        <w:t> when</w:t>
      </w:r>
      <w:r>
        <w:rPr>
          <w:color w:val="231F20"/>
          <w:w w:val="110"/>
        </w:rPr>
        <w:t> compared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its</w:t>
      </w:r>
      <w:r>
        <w:rPr>
          <w:color w:val="231F20"/>
          <w:w w:val="110"/>
        </w:rPr>
        <w:t> pre-treatment</w:t>
      </w:r>
      <w:r>
        <w:rPr>
          <w:color w:val="231F20"/>
          <w:w w:val="110"/>
        </w:rPr>
        <w:t> values</w:t>
      </w:r>
      <w:r>
        <w:rPr>
          <w:color w:val="231F20"/>
          <w:w w:val="110"/>
        </w:rPr>
        <w:t> and after the administration of gentamicin.</w:t>
      </w:r>
    </w:p>
    <w:p>
      <w:pPr>
        <w:pStyle w:val="BodyText"/>
        <w:spacing w:before="123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Water</w:t>
      </w:r>
      <w:r>
        <w:rPr>
          <w:i/>
          <w:color w:val="231F20"/>
          <w:spacing w:val="6"/>
        </w:rPr>
        <w:t> </w:t>
      </w:r>
      <w:r>
        <w:rPr>
          <w:i/>
          <w:color w:val="231F20"/>
          <w:w w:val="85"/>
        </w:rPr>
        <w:t>intake</w:t>
      </w:r>
      <w:r>
        <w:rPr>
          <w:i/>
          <w:color w:val="231F20"/>
          <w:spacing w:val="6"/>
        </w:rPr>
        <w:t> </w:t>
      </w:r>
      <w:r>
        <w:rPr>
          <w:i/>
          <w:color w:val="231F20"/>
          <w:w w:val="85"/>
        </w:rPr>
        <w:t>and</w:t>
      </w:r>
      <w:r>
        <w:rPr>
          <w:i/>
          <w:color w:val="231F20"/>
          <w:spacing w:val="7"/>
        </w:rPr>
        <w:t> </w:t>
      </w:r>
      <w:r>
        <w:rPr>
          <w:i/>
          <w:color w:val="231F20"/>
          <w:w w:val="85"/>
        </w:rPr>
        <w:t>urine</w:t>
      </w:r>
      <w:r>
        <w:rPr>
          <w:i/>
          <w:color w:val="231F20"/>
          <w:spacing w:val="6"/>
        </w:rPr>
        <w:t> </w:t>
      </w:r>
      <w:r>
        <w:rPr>
          <w:i/>
          <w:color w:val="231F20"/>
          <w:spacing w:val="-2"/>
          <w:w w:val="85"/>
        </w:rPr>
        <w:t>volume</w:t>
      </w:r>
    </w:p>
    <w:p>
      <w:pPr>
        <w:pStyle w:val="BodyText"/>
        <w:spacing w:before="34"/>
        <w:rPr>
          <w:b/>
          <w:i/>
          <w:sz w:val="17"/>
        </w:rPr>
      </w:pPr>
    </w:p>
    <w:p>
      <w:pPr>
        <w:pStyle w:val="BodyText"/>
        <w:spacing w:line="230" w:lineRule="exact"/>
        <w:ind w:left="116" w:right="38"/>
        <w:jc w:val="both"/>
      </w:pPr>
      <w:r>
        <w:rPr>
          <w:color w:val="231F20"/>
          <w:w w:val="110"/>
        </w:rPr>
        <w:t>The urine volume of the toxic control group was significantly higher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(p</w:t>
      </w:r>
      <w:r>
        <w:rPr>
          <w:color w:val="231F20"/>
          <w:spacing w:val="-11"/>
          <w:w w:val="110"/>
        </w:rPr>
        <w:t> </w:t>
      </w:r>
      <w:r>
        <w:rPr>
          <w:rFonts w:ascii="UKIJ CJK"/>
          <w:color w:val="231F20"/>
          <w:w w:val="110"/>
        </w:rPr>
        <w:t>&lt;</w:t>
      </w:r>
      <w:r>
        <w:rPr>
          <w:rFonts w:ascii="UKIJ CJK"/>
          <w:color w:val="231F20"/>
          <w:spacing w:val="-11"/>
          <w:w w:val="110"/>
        </w:rPr>
        <w:t> </w:t>
      </w:r>
      <w:r>
        <w:rPr>
          <w:color w:val="231F20"/>
          <w:w w:val="110"/>
        </w:rPr>
        <w:t>0.05)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than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its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pre-treatment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value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4">
        <w:r>
          <w:rPr>
            <w:color w:val="00699D"/>
            <w:w w:val="110"/>
          </w:rPr>
          <w:t>Table</w:t>
        </w:r>
        <w:r>
          <w:rPr>
            <w:color w:val="00699D"/>
            <w:spacing w:val="-10"/>
            <w:w w:val="110"/>
          </w:rPr>
          <w:t> </w:t>
        </w:r>
        <w:r>
          <w:rPr>
            <w:color w:val="00699D"/>
            <w:w w:val="110"/>
          </w:rPr>
          <w:t>2</w:t>
        </w:r>
      </w:hyperlink>
      <w:r>
        <w:rPr>
          <w:color w:val="231F20"/>
          <w:w w:val="110"/>
        </w:rPr>
        <w:t>). This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increase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accompanied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reduction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water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intake, which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significantly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lower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(p</w:t>
      </w:r>
      <w:r>
        <w:rPr>
          <w:color w:val="231F20"/>
          <w:spacing w:val="-11"/>
          <w:w w:val="110"/>
        </w:rPr>
        <w:t> </w:t>
      </w:r>
      <w:r>
        <w:rPr>
          <w:rFonts w:ascii="UKIJ CJK"/>
          <w:color w:val="231F20"/>
          <w:w w:val="110"/>
        </w:rPr>
        <w:t>&lt;</w:t>
      </w:r>
      <w:r>
        <w:rPr>
          <w:rFonts w:ascii="UKIJ CJK"/>
          <w:color w:val="231F20"/>
          <w:spacing w:val="-11"/>
          <w:w w:val="110"/>
        </w:rPr>
        <w:t> </w:t>
      </w:r>
      <w:r>
        <w:rPr>
          <w:color w:val="231F20"/>
          <w:w w:val="110"/>
        </w:rPr>
        <w:t>0.05)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than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pre-treatment value.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14-day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treatment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AOGL,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water </w:t>
      </w:r>
      <w:r>
        <w:rPr>
          <w:color w:val="231F20"/>
          <w:spacing w:val="-4"/>
          <w:w w:val="110"/>
        </w:rPr>
        <w:t>intake of the treated rats was significantly higher (p </w:t>
      </w:r>
      <w:r>
        <w:rPr>
          <w:rFonts w:ascii="UKIJ CJK"/>
          <w:color w:val="231F20"/>
          <w:spacing w:val="-4"/>
          <w:w w:val="110"/>
        </w:rPr>
        <w:t>&lt;</w:t>
      </w:r>
      <w:r>
        <w:rPr>
          <w:rFonts w:ascii="UKIJ CJK"/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0.05) than</w:t>
      </w:r>
      <w:r>
        <w:rPr>
          <w:color w:val="231F20"/>
          <w:w w:val="110"/>
        </w:rPr>
        <w:t> that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their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pre-treatment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values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8-day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gentamicin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treat- </w:t>
      </w:r>
      <w:r>
        <w:rPr>
          <w:color w:val="231F20"/>
        </w:rPr>
        <w:t>ment period except for rats treated with 400 mg/kg/day of AOGL,</w:t>
      </w:r>
      <w:r>
        <w:rPr>
          <w:color w:val="231F20"/>
          <w:w w:val="110"/>
        </w:rPr>
        <w:t> which showed no significant difference in water intake com- pared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its</w:t>
      </w:r>
      <w:r>
        <w:rPr>
          <w:color w:val="231F20"/>
          <w:w w:val="110"/>
        </w:rPr>
        <w:t> pre-treatment</w:t>
      </w:r>
      <w:r>
        <w:rPr>
          <w:color w:val="231F20"/>
          <w:w w:val="110"/>
        </w:rPr>
        <w:t> value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during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gentamicin administration (</w:t>
      </w:r>
      <w:hyperlink w:history="true" w:anchor="_bookmark4">
        <w:r>
          <w:rPr>
            <w:color w:val="00699D"/>
            <w:w w:val="110"/>
          </w:rPr>
          <w:t>Table 2</w:t>
        </w:r>
      </w:hyperlink>
      <w:r>
        <w:rPr>
          <w:color w:val="231F20"/>
          <w:w w:val="110"/>
        </w:rPr>
        <w:t>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experimental groups had a sig- nificantly higher urine volume (p</w:t>
      </w:r>
      <w:r>
        <w:rPr>
          <w:color w:val="231F20"/>
          <w:spacing w:val="-6"/>
          <w:w w:val="110"/>
        </w:rPr>
        <w:t> </w:t>
      </w:r>
      <w:r>
        <w:rPr>
          <w:rFonts w:ascii="UKIJ CJK"/>
          <w:color w:val="231F20"/>
          <w:w w:val="110"/>
        </w:rPr>
        <w:t>&lt;</w:t>
      </w:r>
      <w:r>
        <w:rPr>
          <w:rFonts w:ascii="UKIJ CJK"/>
          <w:color w:val="231F20"/>
          <w:spacing w:val="-10"/>
          <w:w w:val="110"/>
        </w:rPr>
        <w:t> </w:t>
      </w:r>
      <w:r>
        <w:rPr>
          <w:color w:val="231F20"/>
          <w:w w:val="110"/>
        </w:rPr>
        <w:t>0.05) during the 8 days of treatment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gentamicin</w:t>
      </w:r>
      <w:r>
        <w:rPr>
          <w:color w:val="231F20"/>
          <w:w w:val="110"/>
        </w:rPr>
        <w:t> when</w:t>
      </w:r>
      <w:r>
        <w:rPr>
          <w:color w:val="231F20"/>
          <w:w w:val="110"/>
        </w:rPr>
        <w:t> compared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their</w:t>
      </w:r>
      <w:r>
        <w:rPr>
          <w:color w:val="231F20"/>
          <w:w w:val="110"/>
        </w:rPr>
        <w:t> pre- treatment</w:t>
      </w:r>
      <w:r>
        <w:rPr>
          <w:color w:val="231F20"/>
          <w:w w:val="110"/>
        </w:rPr>
        <w:t> values.</w:t>
      </w:r>
      <w:r>
        <w:rPr>
          <w:color w:val="231F20"/>
          <w:w w:val="110"/>
        </w:rPr>
        <w:t> However,</w:t>
      </w:r>
      <w:r>
        <w:rPr>
          <w:color w:val="231F20"/>
          <w:w w:val="110"/>
        </w:rPr>
        <w:t> their</w:t>
      </w:r>
      <w:r>
        <w:rPr>
          <w:color w:val="231F20"/>
          <w:w w:val="110"/>
        </w:rPr>
        <w:t> urine</w:t>
      </w:r>
      <w:r>
        <w:rPr>
          <w:color w:val="231F20"/>
          <w:w w:val="110"/>
        </w:rPr>
        <w:t> volume</w:t>
      </w:r>
      <w:r>
        <w:rPr>
          <w:color w:val="231F20"/>
          <w:w w:val="110"/>
        </w:rPr>
        <w:t> dropped </w:t>
      </w:r>
      <w:r>
        <w:rPr>
          <w:color w:val="231F20"/>
          <w:spacing w:val="-4"/>
          <w:w w:val="110"/>
        </w:rPr>
        <w:t>significantly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at the end of treatment with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AOGL (p </w:t>
      </w:r>
      <w:r>
        <w:rPr>
          <w:rFonts w:ascii="UKIJ CJK"/>
          <w:color w:val="231F20"/>
          <w:spacing w:val="-4"/>
          <w:w w:val="110"/>
        </w:rPr>
        <w:t>&lt;</w:t>
      </w:r>
      <w:r>
        <w:rPr>
          <w:rFonts w:ascii="UKIJ CJK"/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0.05).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Simi-</w:t>
      </w:r>
      <w:r>
        <w:rPr>
          <w:color w:val="231F20"/>
          <w:w w:val="110"/>
        </w:rPr>
        <w:t> larly,</w:t>
      </w:r>
      <w:r>
        <w:rPr>
          <w:color w:val="231F20"/>
          <w:w w:val="110"/>
        </w:rPr>
        <w:t> rats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allowed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2-week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recovery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period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after</w:t>
      </w:r>
    </w:p>
    <w:p>
      <w:pPr>
        <w:pStyle w:val="BodyText"/>
        <w:spacing w:line="230" w:lineRule="exact" w:before="72"/>
        <w:ind w:left="116" w:right="235"/>
        <w:jc w:val="both"/>
      </w:pPr>
      <w:r>
        <w:rPr/>
        <w:br w:type="column"/>
      </w:r>
      <w:r>
        <w:rPr>
          <w:color w:val="231F20"/>
          <w:spacing w:val="-2"/>
          <w:w w:val="110"/>
        </w:rPr>
        <w:t>gentamicin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treatment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had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significantly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lower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(p</w:t>
      </w:r>
      <w:r>
        <w:rPr>
          <w:color w:val="231F20"/>
          <w:spacing w:val="-4"/>
          <w:w w:val="110"/>
        </w:rPr>
        <w:t> </w:t>
      </w:r>
      <w:r>
        <w:rPr>
          <w:rFonts w:ascii="UKIJ CJK"/>
          <w:color w:val="231F20"/>
          <w:spacing w:val="-2"/>
          <w:w w:val="110"/>
        </w:rPr>
        <w:t>&lt;</w:t>
      </w:r>
      <w:r>
        <w:rPr>
          <w:rFonts w:ascii="UKIJ CJK"/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0.05)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urine </w:t>
      </w:r>
      <w:r>
        <w:rPr>
          <w:color w:val="231F20"/>
          <w:w w:val="110"/>
        </w:rPr>
        <w:t>volume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compared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value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obtained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during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gentamicin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ad- ministration (</w:t>
      </w:r>
      <w:hyperlink w:history="true" w:anchor="_bookmark4">
        <w:r>
          <w:rPr>
            <w:color w:val="00699D"/>
            <w:w w:val="110"/>
          </w:rPr>
          <w:t>Table 2</w:t>
        </w:r>
      </w:hyperlink>
      <w:r>
        <w:rPr>
          <w:color w:val="231F20"/>
          <w:w w:val="110"/>
        </w:rPr>
        <w:t>).</w:t>
      </w:r>
    </w:p>
    <w:p>
      <w:pPr>
        <w:pStyle w:val="BodyText"/>
        <w:spacing w:before="126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Plasma</w:t>
      </w:r>
      <w:r>
        <w:rPr>
          <w:i/>
          <w:color w:val="231F20"/>
          <w:spacing w:val="6"/>
        </w:rPr>
        <w:t> </w:t>
      </w:r>
      <w:r>
        <w:rPr>
          <w:i/>
          <w:color w:val="231F20"/>
          <w:w w:val="85"/>
        </w:rPr>
        <w:t>and</w:t>
      </w:r>
      <w:r>
        <w:rPr>
          <w:i/>
          <w:color w:val="231F20"/>
          <w:spacing w:val="6"/>
        </w:rPr>
        <w:t> </w:t>
      </w:r>
      <w:r>
        <w:rPr>
          <w:i/>
          <w:color w:val="231F20"/>
          <w:w w:val="85"/>
        </w:rPr>
        <w:t>urine</w:t>
      </w:r>
      <w:r>
        <w:rPr>
          <w:i/>
          <w:color w:val="231F20"/>
          <w:spacing w:val="6"/>
        </w:rPr>
        <w:t> </w:t>
      </w:r>
      <w:r>
        <w:rPr>
          <w:i/>
          <w:color w:val="231F20"/>
          <w:w w:val="85"/>
        </w:rPr>
        <w:t>creatinine,</w:t>
      </w:r>
      <w:r>
        <w:rPr>
          <w:i/>
          <w:color w:val="231F20"/>
          <w:spacing w:val="-1"/>
        </w:rPr>
        <w:t> </w:t>
      </w:r>
      <w:r>
        <w:rPr>
          <w:i/>
          <w:color w:val="231F20"/>
          <w:w w:val="85"/>
        </w:rPr>
        <w:t>urea</w:t>
      </w:r>
      <w:r>
        <w:rPr>
          <w:i/>
          <w:color w:val="231F20"/>
          <w:spacing w:val="6"/>
        </w:rPr>
        <w:t> </w:t>
      </w:r>
      <w:r>
        <w:rPr>
          <w:i/>
          <w:color w:val="231F20"/>
          <w:w w:val="85"/>
        </w:rPr>
        <w:t>and</w:t>
      </w:r>
      <w:r>
        <w:rPr>
          <w:i/>
          <w:color w:val="231F20"/>
          <w:spacing w:val="7"/>
        </w:rPr>
        <w:t> </w:t>
      </w:r>
      <w:r>
        <w:rPr>
          <w:i/>
          <w:color w:val="231F20"/>
          <w:w w:val="85"/>
        </w:rPr>
        <w:t>total</w:t>
      </w:r>
      <w:r>
        <w:rPr>
          <w:i/>
          <w:color w:val="231F20"/>
          <w:spacing w:val="6"/>
        </w:rPr>
        <w:t> </w:t>
      </w:r>
      <w:r>
        <w:rPr>
          <w:i/>
          <w:color w:val="231F20"/>
          <w:spacing w:val="-2"/>
          <w:w w:val="85"/>
        </w:rPr>
        <w:t>protein</w:t>
      </w:r>
    </w:p>
    <w:p>
      <w:pPr>
        <w:pStyle w:val="BodyText"/>
        <w:spacing w:before="34"/>
        <w:rPr>
          <w:b/>
          <w:i/>
          <w:sz w:val="17"/>
        </w:rPr>
      </w:pPr>
    </w:p>
    <w:p>
      <w:pPr>
        <w:pStyle w:val="BodyText"/>
        <w:spacing w:line="230" w:lineRule="exact"/>
        <w:ind w:left="116" w:right="233"/>
        <w:jc w:val="both"/>
      </w:pPr>
      <w:r>
        <w:rPr>
          <w:color w:val="231F20"/>
          <w:w w:val="110"/>
        </w:rPr>
        <w:t>A significant increase in the plasma creatinine and urea </w:t>
      </w:r>
      <w:r>
        <w:rPr>
          <w:color w:val="231F20"/>
          <w:w w:val="110"/>
        </w:rPr>
        <w:t>con- centrations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observed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toxic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control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recovery group when compared with the control rats (p</w:t>
      </w:r>
      <w:r>
        <w:rPr>
          <w:color w:val="231F20"/>
          <w:spacing w:val="-6"/>
          <w:w w:val="110"/>
        </w:rPr>
        <w:t> </w:t>
      </w:r>
      <w:r>
        <w:rPr>
          <w:rFonts w:ascii="UKIJ CJK"/>
          <w:color w:val="231F20"/>
          <w:w w:val="110"/>
        </w:rPr>
        <w:t>&lt;</w:t>
      </w:r>
      <w:r>
        <w:rPr>
          <w:rFonts w:ascii="UKIJ CJK"/>
          <w:color w:val="231F20"/>
          <w:spacing w:val="-10"/>
          <w:w w:val="110"/>
        </w:rPr>
        <w:t> </w:t>
      </w:r>
      <w:r>
        <w:rPr>
          <w:color w:val="231F20"/>
          <w:w w:val="110"/>
        </w:rPr>
        <w:t>0.05) (</w:t>
      </w:r>
      <w:hyperlink w:history="true" w:anchor="_bookmark5">
        <w:r>
          <w:rPr>
            <w:color w:val="00699D"/>
            <w:w w:val="110"/>
          </w:rPr>
          <w:t>Figs.</w:t>
        </w:r>
        <w:r>
          <w:rPr>
            <w:color w:val="00699D"/>
            <w:spacing w:val="-5"/>
            <w:w w:val="110"/>
          </w:rPr>
          <w:t> </w:t>
        </w:r>
        <w:r>
          <w:rPr>
            <w:color w:val="00699D"/>
            <w:w w:val="110"/>
          </w:rPr>
          <w:t>1</w:t>
        </w:r>
      </w:hyperlink>
      <w:r>
        <w:rPr>
          <w:color w:val="00699D"/>
          <w:w w:val="110"/>
        </w:rPr>
        <w:t> </w:t>
      </w:r>
      <w:hyperlink w:history="true" w:anchor="_bookmark5">
        <w:r>
          <w:rPr>
            <w:color w:val="00699D"/>
            <w:w w:val="110"/>
          </w:rPr>
          <w:t>and 2</w:t>
        </w:r>
      </w:hyperlink>
      <w:r>
        <w:rPr>
          <w:color w:val="231F20"/>
          <w:w w:val="110"/>
        </w:rPr>
        <w:t>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plasma creatinine and urea concentrations of the rats</w:t>
      </w:r>
      <w:r>
        <w:rPr>
          <w:color w:val="231F20"/>
          <w:w w:val="110"/>
        </w:rPr>
        <w:t> treated</w:t>
      </w:r>
      <w:r>
        <w:rPr>
          <w:color w:val="231F20"/>
          <w:w w:val="110"/>
        </w:rPr>
        <w:t> with AOGL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found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significantly</w:t>
      </w:r>
      <w:r>
        <w:rPr>
          <w:color w:val="231F20"/>
          <w:w w:val="110"/>
        </w:rPr>
        <w:t> lower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(p</w:t>
      </w:r>
      <w:r>
        <w:rPr>
          <w:color w:val="231F20"/>
          <w:spacing w:val="-10"/>
          <w:w w:val="110"/>
        </w:rPr>
        <w:t> </w:t>
      </w:r>
      <w:r>
        <w:rPr>
          <w:rFonts w:ascii="UKIJ CJK"/>
          <w:color w:val="231F20"/>
          <w:w w:val="110"/>
        </w:rPr>
        <w:t>&lt;</w:t>
      </w:r>
      <w:r>
        <w:rPr>
          <w:rFonts w:ascii="UKIJ CJK"/>
          <w:color w:val="231F20"/>
          <w:spacing w:val="-8"/>
          <w:w w:val="110"/>
        </w:rPr>
        <w:t> </w:t>
      </w:r>
      <w:r>
        <w:rPr>
          <w:color w:val="231F20"/>
          <w:w w:val="110"/>
        </w:rPr>
        <w:t>0.05)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than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toxic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control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group.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concentra- tions of urea and creatinine in the plasma of the treated rats were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not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significantly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different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control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groups, but the rats that were allowed a 2-week recovery period after gentamicin</w:t>
      </w:r>
      <w:r>
        <w:rPr>
          <w:color w:val="231F20"/>
          <w:w w:val="110"/>
        </w:rPr>
        <w:t> treatment</w:t>
      </w:r>
      <w:r>
        <w:rPr>
          <w:color w:val="231F20"/>
          <w:w w:val="110"/>
        </w:rPr>
        <w:t> had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significantly</w:t>
      </w:r>
      <w:r>
        <w:rPr>
          <w:color w:val="231F20"/>
          <w:w w:val="110"/>
        </w:rPr>
        <w:t> higher</w:t>
      </w:r>
      <w:r>
        <w:rPr>
          <w:color w:val="231F20"/>
          <w:w w:val="110"/>
        </w:rPr>
        <w:t> (p </w:t>
      </w:r>
      <w:r>
        <w:rPr>
          <w:rFonts w:ascii="UKIJ CJK"/>
          <w:color w:val="231F20"/>
          <w:w w:val="110"/>
        </w:rPr>
        <w:t>&lt; </w:t>
      </w:r>
      <w:r>
        <w:rPr>
          <w:color w:val="231F20"/>
          <w:w w:val="110"/>
        </w:rPr>
        <w:t>0.05) </w:t>
      </w:r>
      <w:r>
        <w:rPr>
          <w:color w:val="231F20"/>
          <w:spacing w:val="-2"/>
          <w:w w:val="110"/>
        </w:rPr>
        <w:t>plasma creatinine concentration when compared to the control </w:t>
      </w:r>
      <w:r>
        <w:rPr>
          <w:color w:val="231F20"/>
          <w:w w:val="110"/>
        </w:rPr>
        <w:t>rats (</w:t>
      </w:r>
      <w:hyperlink w:history="true" w:anchor="_bookmark5">
        <w:r>
          <w:rPr>
            <w:color w:val="00699D"/>
            <w:w w:val="110"/>
          </w:rPr>
          <w:t>Figs. 1 and 2</w:t>
        </w:r>
      </w:hyperlink>
      <w:r>
        <w:rPr>
          <w:color w:val="231F20"/>
          <w:w w:val="110"/>
        </w:rPr>
        <w:t>).</w:t>
      </w:r>
    </w:p>
    <w:p>
      <w:pPr>
        <w:pStyle w:val="BodyText"/>
        <w:spacing w:line="244" w:lineRule="auto" w:before="31"/>
        <w:ind w:left="116" w:right="235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plasma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total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protein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toxic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control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group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 </w:t>
      </w:r>
      <w:r>
        <w:rPr>
          <w:color w:val="231F20"/>
          <w:spacing w:val="-2"/>
          <w:w w:val="110"/>
        </w:rPr>
        <w:t>AOGL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treated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group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reduced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significantly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(p</w:t>
      </w:r>
      <w:r>
        <w:rPr>
          <w:color w:val="231F20"/>
          <w:spacing w:val="-8"/>
          <w:w w:val="110"/>
        </w:rPr>
        <w:t> </w:t>
      </w:r>
      <w:r>
        <w:rPr>
          <w:rFonts w:ascii="UKIJ CJK"/>
          <w:color w:val="231F20"/>
          <w:spacing w:val="-2"/>
          <w:w w:val="110"/>
        </w:rPr>
        <w:t>&lt;</w:t>
      </w:r>
      <w:r>
        <w:rPr>
          <w:rFonts w:ascii="UKIJ CJK"/>
          <w:color w:val="231F20"/>
          <w:spacing w:val="-10"/>
          <w:w w:val="110"/>
        </w:rPr>
        <w:t> </w:t>
      </w:r>
      <w:r>
        <w:rPr>
          <w:color w:val="231F20"/>
          <w:spacing w:val="-2"/>
          <w:w w:val="110"/>
        </w:rPr>
        <w:t>0.05)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when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com- </w:t>
      </w:r>
      <w:r>
        <w:rPr>
          <w:color w:val="231F20"/>
          <w:spacing w:val="-6"/>
          <w:w w:val="110"/>
        </w:rPr>
        <w:t>pared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6"/>
          <w:w w:val="110"/>
        </w:rPr>
        <w:t>with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6"/>
          <w:w w:val="110"/>
        </w:rPr>
        <w:t>the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6"/>
          <w:w w:val="110"/>
        </w:rPr>
        <w:t>control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6"/>
          <w:w w:val="110"/>
        </w:rPr>
        <w:t>group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6"/>
          <w:w w:val="110"/>
        </w:rPr>
        <w:t>(</w:t>
      </w:r>
      <w:hyperlink w:history="true" w:anchor="_bookmark6">
        <w:r>
          <w:rPr>
            <w:color w:val="00699D"/>
            <w:spacing w:val="-6"/>
            <w:w w:val="110"/>
          </w:rPr>
          <w:t>Fig.</w:t>
        </w:r>
        <w:r>
          <w:rPr>
            <w:color w:val="00699D"/>
          </w:rPr>
          <w:t> </w:t>
        </w:r>
        <w:r>
          <w:rPr>
            <w:color w:val="00699D"/>
            <w:spacing w:val="-6"/>
            <w:w w:val="110"/>
          </w:rPr>
          <w:t>3</w:t>
        </w:r>
      </w:hyperlink>
      <w:r>
        <w:rPr>
          <w:color w:val="231F20"/>
          <w:spacing w:val="-6"/>
          <w:w w:val="110"/>
        </w:rPr>
        <w:t>).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Similarly,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the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6"/>
          <w:w w:val="110"/>
        </w:rPr>
        <w:t>toxic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6"/>
          <w:w w:val="110"/>
        </w:rPr>
        <w:t>recovery</w:t>
      </w:r>
      <w:r>
        <w:rPr>
          <w:color w:val="231F20"/>
          <w:w w:val="110"/>
        </w:rPr>
        <w:t> </w:t>
      </w:r>
      <w:r>
        <w:rPr>
          <w:color w:val="231F20"/>
        </w:rPr>
        <w:t>group had significantly lower (p </w:t>
      </w:r>
      <w:r>
        <w:rPr>
          <w:rFonts w:ascii="UKIJ CJK"/>
          <w:color w:val="231F20"/>
        </w:rPr>
        <w:t>&lt; </w:t>
      </w:r>
      <w:r>
        <w:rPr>
          <w:color w:val="231F20"/>
        </w:rPr>
        <w:t>0.05) plasma total protein con-</w:t>
      </w:r>
      <w:r>
        <w:rPr>
          <w:color w:val="231F20"/>
          <w:w w:val="110"/>
        </w:rPr>
        <w:t> centration compared to the control group (</w:t>
      </w:r>
      <w:hyperlink w:history="true" w:anchor="_bookmark6">
        <w:r>
          <w:rPr>
            <w:color w:val="00699D"/>
            <w:w w:val="110"/>
          </w:rPr>
          <w:t>Fig. 3</w:t>
        </w:r>
      </w:hyperlink>
      <w:r>
        <w:rPr>
          <w:color w:val="231F20"/>
          <w:w w:val="110"/>
        </w:rPr>
        <w:t>).</w:t>
      </w:r>
    </w:p>
    <w:p>
      <w:pPr>
        <w:pStyle w:val="BodyText"/>
        <w:spacing w:line="244" w:lineRule="auto" w:before="36"/>
        <w:ind w:left="116" w:right="235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urine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creatinine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concentration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toxic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control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was </w:t>
      </w:r>
      <w:r>
        <w:rPr>
          <w:color w:val="231F20"/>
        </w:rPr>
        <w:t>observed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significantly</w:t>
      </w:r>
      <w:r>
        <w:rPr>
          <w:color w:val="231F20"/>
          <w:spacing w:val="-4"/>
        </w:rPr>
        <w:t> </w:t>
      </w:r>
      <w:r>
        <w:rPr>
          <w:color w:val="231F20"/>
        </w:rPr>
        <w:t>lower</w:t>
      </w:r>
      <w:r>
        <w:rPr>
          <w:color w:val="231F20"/>
          <w:spacing w:val="-4"/>
        </w:rPr>
        <w:t> </w:t>
      </w:r>
      <w:r>
        <w:rPr>
          <w:color w:val="231F20"/>
        </w:rPr>
        <w:t>(p </w:t>
      </w:r>
      <w:r>
        <w:rPr>
          <w:rFonts w:ascii="UKIJ CJK"/>
          <w:color w:val="231F20"/>
        </w:rPr>
        <w:t>&lt; </w:t>
      </w:r>
      <w:r>
        <w:rPr>
          <w:color w:val="231F20"/>
        </w:rPr>
        <w:t>0.05)</w:t>
      </w:r>
      <w:r>
        <w:rPr>
          <w:color w:val="231F20"/>
          <w:spacing w:val="-4"/>
        </w:rPr>
        <w:t> </w:t>
      </w:r>
      <w:r>
        <w:rPr>
          <w:color w:val="231F20"/>
        </w:rPr>
        <w:t>than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control</w:t>
      </w:r>
      <w:r>
        <w:rPr>
          <w:color w:val="231F20"/>
          <w:spacing w:val="40"/>
        </w:rPr>
        <w:t> </w:t>
      </w:r>
      <w:r>
        <w:rPr>
          <w:color w:val="231F20"/>
        </w:rPr>
        <w:t>group</w:t>
      </w:r>
      <w:r>
        <w:rPr>
          <w:color w:val="231F20"/>
          <w:spacing w:val="13"/>
        </w:rPr>
        <w:t> </w:t>
      </w:r>
      <w:r>
        <w:rPr>
          <w:color w:val="231F20"/>
        </w:rPr>
        <w:t>(</w:t>
      </w:r>
      <w:hyperlink w:history="true" w:anchor="_bookmark6">
        <w:r>
          <w:rPr>
            <w:color w:val="00699D"/>
          </w:rPr>
          <w:t>Fig.</w:t>
        </w:r>
        <w:r>
          <w:rPr>
            <w:color w:val="00699D"/>
            <w:spacing w:val="3"/>
          </w:rPr>
          <w:t> </w:t>
        </w:r>
        <w:r>
          <w:rPr>
            <w:color w:val="00699D"/>
          </w:rPr>
          <w:t>4</w:t>
        </w:r>
      </w:hyperlink>
      <w:r>
        <w:rPr>
          <w:color w:val="231F20"/>
        </w:rPr>
        <w:t>).</w:t>
      </w:r>
      <w:r>
        <w:rPr>
          <w:color w:val="231F20"/>
          <w:spacing w:val="4"/>
        </w:rPr>
        <w:t> </w:t>
      </w:r>
      <w:r>
        <w:rPr>
          <w:color w:val="231F20"/>
        </w:rPr>
        <w:t>However,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urine</w:t>
      </w:r>
      <w:r>
        <w:rPr>
          <w:color w:val="231F20"/>
          <w:spacing w:val="13"/>
        </w:rPr>
        <w:t> </w:t>
      </w:r>
      <w:r>
        <w:rPr>
          <w:color w:val="231F20"/>
        </w:rPr>
        <w:t>creatinine</w:t>
      </w:r>
      <w:r>
        <w:rPr>
          <w:color w:val="231F20"/>
          <w:spacing w:val="14"/>
        </w:rPr>
        <w:t> </w:t>
      </w:r>
      <w:r>
        <w:rPr>
          <w:color w:val="231F20"/>
        </w:rPr>
        <w:t>concentration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201" w:lineRule="auto" w:before="30"/>
        <w:ind w:left="116" w:right="235"/>
        <w:jc w:val="both"/>
      </w:pPr>
      <w:r>
        <w:rPr>
          <w:color w:val="231F20"/>
          <w:spacing w:val="-2"/>
          <w:w w:val="105"/>
        </w:rPr>
        <w:t>treated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rats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recovery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group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significantly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higher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(p</w:t>
      </w:r>
      <w:r>
        <w:rPr>
          <w:color w:val="231F20"/>
          <w:spacing w:val="5"/>
          <w:w w:val="105"/>
        </w:rPr>
        <w:t> </w:t>
      </w:r>
      <w:r>
        <w:rPr>
          <w:rFonts w:ascii="UKIJ CJK"/>
          <w:color w:val="231F20"/>
          <w:spacing w:val="-2"/>
          <w:w w:val="105"/>
        </w:rPr>
        <w:t>&lt; </w:t>
      </w:r>
      <w:r>
        <w:rPr>
          <w:color w:val="231F20"/>
          <w:spacing w:val="-2"/>
          <w:w w:val="105"/>
        </w:rPr>
        <w:t>0.05)</w:t>
      </w:r>
      <w:r>
        <w:rPr>
          <w:color w:val="231F20"/>
          <w:w w:val="105"/>
        </w:rPr>
        <w:t> than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toxic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control,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but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significantly</w:t>
      </w:r>
      <w:r>
        <w:rPr>
          <w:color w:val="231F20"/>
          <w:spacing w:val="18"/>
          <w:w w:val="105"/>
        </w:rPr>
        <w:t> </w:t>
      </w:r>
      <w:r>
        <w:rPr>
          <w:color w:val="231F20"/>
          <w:w w:val="105"/>
        </w:rPr>
        <w:t>lower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(p</w:t>
      </w:r>
      <w:r>
        <w:rPr>
          <w:color w:val="231F20"/>
          <w:spacing w:val="9"/>
          <w:w w:val="105"/>
        </w:rPr>
        <w:t> </w:t>
      </w:r>
      <w:r>
        <w:rPr>
          <w:rFonts w:ascii="UKIJ CJK"/>
          <w:color w:val="231F20"/>
          <w:w w:val="105"/>
        </w:rPr>
        <w:t>&lt;</w:t>
      </w:r>
      <w:r>
        <w:rPr>
          <w:rFonts w:ascii="UKIJ CJK"/>
          <w:color w:val="231F20"/>
          <w:spacing w:val="5"/>
          <w:w w:val="105"/>
        </w:rPr>
        <w:t> </w:t>
      </w:r>
      <w:r>
        <w:rPr>
          <w:color w:val="231F20"/>
          <w:spacing w:val="-4"/>
          <w:w w:val="105"/>
        </w:rPr>
        <w:t>0.05)</w:t>
      </w:r>
    </w:p>
    <w:p>
      <w:pPr>
        <w:spacing w:after="0" w:line="201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4" w:space="207"/>
            <w:col w:w="5149"/>
          </w:cols>
        </w:sect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3810"/>
                <wp:effectExtent l="9525" t="0" r="0" b="5715"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6318250" cy="3810"/>
                          <a:chExt cx="6318250" cy="381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1708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3pt;mso-position-horizontal-relative:char;mso-position-vertical-relative:line" id="docshapegroup30" coordorigin="0,0" coordsize="9950,6">
                <v:line style="position:absolute" from="0,3" to="9950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"/>
        <w:rPr>
          <w:sz w:val="18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1"/>
        <w:gridCol w:w="1392"/>
        <w:gridCol w:w="1738"/>
        <w:gridCol w:w="1292"/>
        <w:gridCol w:w="1501"/>
        <w:gridCol w:w="1517"/>
        <w:gridCol w:w="1158"/>
      </w:tblGrid>
      <w:tr>
        <w:trPr>
          <w:trHeight w:val="503" w:hRule="atLeast"/>
        </w:trPr>
        <w:tc>
          <w:tcPr>
            <w:tcW w:w="9949" w:type="dxa"/>
            <w:gridSpan w:val="7"/>
            <w:shd w:val="clear" w:color="auto" w:fill="231F20"/>
          </w:tcPr>
          <w:p>
            <w:pPr>
              <w:pStyle w:val="TableParagraph"/>
              <w:spacing w:line="264" w:lineRule="auto" w:before="77"/>
              <w:ind w:left="119" w:right="968"/>
              <w:rPr>
                <w:b/>
                <w:sz w:val="16"/>
              </w:rPr>
            </w:pPr>
            <w:r>
              <w:rPr>
                <w:b/>
                <w:color w:val="FFFFFF"/>
                <w:spacing w:val="-4"/>
                <w:sz w:val="16"/>
              </w:rPr>
              <w:t>Table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2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–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Effect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of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aqueous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extract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of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i/>
                <w:color w:val="FFFFFF"/>
                <w:spacing w:val="-4"/>
                <w:sz w:val="16"/>
              </w:rPr>
              <w:t>Ocimum</w:t>
            </w:r>
            <w:r>
              <w:rPr>
                <w:b/>
                <w:i/>
                <w:color w:val="FFFFFF"/>
                <w:spacing w:val="-6"/>
                <w:sz w:val="16"/>
              </w:rPr>
              <w:t> </w:t>
            </w:r>
            <w:r>
              <w:rPr>
                <w:b/>
                <w:i/>
                <w:color w:val="FFFFFF"/>
                <w:spacing w:val="-4"/>
                <w:sz w:val="16"/>
              </w:rPr>
              <w:t>gratissimum</w:t>
            </w:r>
            <w:r>
              <w:rPr>
                <w:b/>
                <w:i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on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water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consumption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(ml)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and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urine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volume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(ml)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in</w:t>
            </w:r>
            <w:r>
              <w:rPr>
                <w:b/>
                <w:color w:val="FFFFFF"/>
                <w:sz w:val="16"/>
              </w:rPr>
              <w:t> gentamicin-induced nephrotoxicity in rats.</w:t>
            </w:r>
          </w:p>
        </w:tc>
      </w:tr>
      <w:tr>
        <w:trPr>
          <w:trHeight w:val="775" w:hRule="atLeast"/>
        </w:trPr>
        <w:tc>
          <w:tcPr>
            <w:tcW w:w="135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9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168"/>
              <w:rPr>
                <w:sz w:val="16"/>
              </w:rPr>
            </w:pPr>
          </w:p>
          <w:p>
            <w:pPr>
              <w:pStyle w:val="TableParagraph"/>
              <w:spacing w:line="240" w:lineRule="auto"/>
              <w:ind w:left="210"/>
              <w:jc w:val="center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0416">
                      <wp:simplePos x="0" y="0"/>
                      <wp:positionH relativeFrom="column">
                        <wp:posOffset>159647</wp:posOffset>
                      </wp:positionH>
                      <wp:positionV relativeFrom="paragraph">
                        <wp:posOffset>-44996</wp:posOffset>
                      </wp:positionV>
                      <wp:extent cx="2487930" cy="5080"/>
                      <wp:effectExtent l="0" t="0" r="0" b="0"/>
                      <wp:wrapNone/>
                      <wp:docPr id="47" name="Group 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7" name="Group 47"/>
                            <wpg:cNvGrpSpPr/>
                            <wpg:grpSpPr>
                              <a:xfrm>
                                <a:off x="0" y="0"/>
                                <a:ext cx="2487930" cy="5080"/>
                                <a:chExt cx="2487930" cy="5080"/>
                              </a:xfrm>
                            </wpg:grpSpPr>
                            <wps:wsp>
                              <wps:cNvPr id="48" name="Graphic 48"/>
                              <wps:cNvSpPr/>
                              <wps:spPr>
                                <a:xfrm>
                                  <a:off x="0" y="2540"/>
                                  <a:ext cx="248793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87930" h="0">
                                      <a:moveTo>
                                        <a:pt x="0" y="0"/>
                                      </a:moveTo>
                                      <a:lnTo>
                                        <a:pt x="248785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2.570666pt;margin-top:-3.543065pt;width:195.9pt;height:.4pt;mso-position-horizontal-relative:column;mso-position-vertical-relative:paragraph;z-index:15740416" id="docshapegroup31" coordorigin="251,-71" coordsize="3918,8">
                      <v:line style="position:absolute" from="251,-67" to="4169,-67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z w:val="16"/>
              </w:rPr>
              <w:t>Pre-</w:t>
            </w:r>
            <w:r>
              <w:rPr>
                <w:color w:val="231F20"/>
                <w:spacing w:val="-2"/>
                <w:sz w:val="16"/>
              </w:rPr>
              <w:t>treatment</w:t>
            </w:r>
          </w:p>
        </w:tc>
        <w:tc>
          <w:tcPr>
            <w:tcW w:w="173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3"/>
              <w:ind w:left="40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Water</w:t>
            </w:r>
            <w:r>
              <w:rPr>
                <w:color w:val="231F20"/>
                <w:spacing w:val="-10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consumption</w:t>
            </w:r>
          </w:p>
          <w:p>
            <w:pPr>
              <w:pStyle w:val="TableParagraph"/>
              <w:spacing w:line="264" w:lineRule="auto" w:before="115"/>
              <w:ind w:left="524" w:hanging="63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Gentamicin treatment</w:t>
            </w:r>
          </w:p>
        </w:tc>
        <w:tc>
          <w:tcPr>
            <w:tcW w:w="129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168"/>
              <w:rPr>
                <w:sz w:val="16"/>
              </w:rPr>
            </w:pPr>
          </w:p>
          <w:p>
            <w:pPr>
              <w:pStyle w:val="TableParagraph"/>
              <w:spacing w:line="264" w:lineRule="auto"/>
              <w:ind w:left="196" w:firstLine="81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14 days’ </w:t>
            </w:r>
            <w:r>
              <w:rPr>
                <w:color w:val="231F20"/>
                <w:spacing w:val="-2"/>
                <w:w w:val="110"/>
                <w:sz w:val="16"/>
              </w:rPr>
              <w:t>treatment</w:t>
            </w:r>
          </w:p>
        </w:tc>
        <w:tc>
          <w:tcPr>
            <w:tcW w:w="150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168"/>
              <w:rPr>
                <w:sz w:val="16"/>
              </w:rPr>
            </w:pPr>
          </w:p>
          <w:p>
            <w:pPr>
              <w:pStyle w:val="TableParagraph"/>
              <w:spacing w:line="240" w:lineRule="auto"/>
              <w:ind w:left="99"/>
              <w:jc w:val="center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0928">
                      <wp:simplePos x="0" y="0"/>
                      <wp:positionH relativeFrom="column">
                        <wp:posOffset>159627</wp:posOffset>
                      </wp:positionH>
                      <wp:positionV relativeFrom="paragraph">
                        <wp:posOffset>-44996</wp:posOffset>
                      </wp:positionV>
                      <wp:extent cx="2417445" cy="5080"/>
                      <wp:effectExtent l="0" t="0" r="0" b="0"/>
                      <wp:wrapNone/>
                      <wp:docPr id="49" name="Group 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2417445" cy="5080"/>
                                <a:chExt cx="2417445" cy="5080"/>
                              </a:xfrm>
                            </wpg:grpSpPr>
                            <wps:wsp>
                              <wps:cNvPr id="50" name="Graphic 50"/>
                              <wps:cNvSpPr/>
                              <wps:spPr>
                                <a:xfrm>
                                  <a:off x="0" y="2540"/>
                                  <a:ext cx="241744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17445" h="0">
                                      <a:moveTo>
                                        <a:pt x="0" y="0"/>
                                      </a:moveTo>
                                      <a:lnTo>
                                        <a:pt x="241696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2.569128pt;margin-top:-3.543065pt;width:190.35pt;height:.4pt;mso-position-horizontal-relative:column;mso-position-vertical-relative:paragraph;z-index:15740928" id="docshapegroup32" coordorigin="251,-71" coordsize="3807,8">
                      <v:line style="position:absolute" from="251,-67" to="4058,-67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z w:val="16"/>
              </w:rPr>
              <w:t>Pre-</w:t>
            </w:r>
            <w:r>
              <w:rPr>
                <w:color w:val="231F20"/>
                <w:spacing w:val="-2"/>
                <w:sz w:val="16"/>
              </w:rPr>
              <w:t>treatment</w:t>
            </w:r>
          </w:p>
        </w:tc>
        <w:tc>
          <w:tcPr>
            <w:tcW w:w="151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53"/>
              <w:ind w:left="150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Urine</w:t>
            </w:r>
            <w:r>
              <w:rPr>
                <w:color w:val="231F20"/>
                <w:spacing w:val="9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output</w:t>
            </w:r>
          </w:p>
          <w:p>
            <w:pPr>
              <w:pStyle w:val="TableParagraph"/>
              <w:spacing w:line="264" w:lineRule="auto" w:before="115"/>
              <w:ind w:left="414" w:hanging="63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Gentamicin treatment</w:t>
            </w:r>
          </w:p>
        </w:tc>
        <w:tc>
          <w:tcPr>
            <w:tcW w:w="115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168"/>
              <w:rPr>
                <w:sz w:val="16"/>
              </w:rPr>
            </w:pPr>
          </w:p>
          <w:p>
            <w:pPr>
              <w:pStyle w:val="TableParagraph"/>
              <w:spacing w:line="264" w:lineRule="auto"/>
              <w:ind w:left="251" w:firstLine="81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14 days’ </w:t>
            </w:r>
            <w:r>
              <w:rPr>
                <w:color w:val="231F20"/>
                <w:spacing w:val="-2"/>
                <w:w w:val="110"/>
                <w:sz w:val="16"/>
              </w:rPr>
              <w:t>treatment</w:t>
            </w:r>
          </w:p>
        </w:tc>
      </w:tr>
      <w:tr>
        <w:trPr>
          <w:trHeight w:val="250" w:hRule="atLeast"/>
        </w:trPr>
        <w:tc>
          <w:tcPr>
            <w:tcW w:w="135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70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Control</w:t>
            </w:r>
          </w:p>
        </w:tc>
        <w:tc>
          <w:tcPr>
            <w:tcW w:w="139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96" w:lineRule="exact" w:before="34"/>
              <w:ind w:left="413"/>
              <w:rPr>
                <w:sz w:val="14"/>
              </w:rPr>
            </w:pPr>
            <w:r>
              <w:rPr>
                <w:color w:val="231F20"/>
                <w:sz w:val="14"/>
              </w:rPr>
              <w:t>31.00</w:t>
            </w:r>
            <w:r>
              <w:rPr>
                <w:color w:val="231F20"/>
                <w:spacing w:val="4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2.12</w:t>
            </w:r>
          </w:p>
        </w:tc>
        <w:tc>
          <w:tcPr>
            <w:tcW w:w="173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96" w:lineRule="exact" w:before="34"/>
              <w:ind w:left="530"/>
              <w:rPr>
                <w:sz w:val="14"/>
              </w:rPr>
            </w:pPr>
            <w:r>
              <w:rPr>
                <w:color w:val="231F20"/>
                <w:sz w:val="14"/>
              </w:rPr>
              <w:t>30.60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9.51</w:t>
            </w:r>
          </w:p>
        </w:tc>
        <w:tc>
          <w:tcPr>
            <w:tcW w:w="129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96" w:lineRule="exact" w:before="34"/>
              <w:ind w:left="140"/>
              <w:rPr>
                <w:sz w:val="14"/>
              </w:rPr>
            </w:pPr>
            <w:r>
              <w:rPr>
                <w:color w:val="231F20"/>
                <w:sz w:val="14"/>
              </w:rPr>
              <w:t>29.20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3.40</w:t>
            </w:r>
          </w:p>
        </w:tc>
        <w:tc>
          <w:tcPr>
            <w:tcW w:w="150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96" w:lineRule="exact" w:before="34"/>
              <w:ind w:left="451"/>
              <w:rPr>
                <w:sz w:val="14"/>
              </w:rPr>
            </w:pPr>
            <w:r>
              <w:rPr>
                <w:color w:val="231F20"/>
                <w:sz w:val="14"/>
              </w:rPr>
              <w:t>9.20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1.02</w:t>
            </w:r>
          </w:p>
        </w:tc>
        <w:tc>
          <w:tcPr>
            <w:tcW w:w="151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96" w:lineRule="exact" w:before="34"/>
              <w:ind w:left="396"/>
              <w:rPr>
                <w:sz w:val="14"/>
              </w:rPr>
            </w:pPr>
            <w:r>
              <w:rPr>
                <w:color w:val="231F20"/>
                <w:sz w:val="14"/>
              </w:rPr>
              <w:t>10.90</w:t>
            </w:r>
            <w:r>
              <w:rPr>
                <w:color w:val="231F20"/>
                <w:spacing w:val="4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0.95</w:t>
            </w:r>
          </w:p>
        </w:tc>
        <w:tc>
          <w:tcPr>
            <w:tcW w:w="115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96" w:lineRule="exact" w:before="34"/>
              <w:ind w:left="271"/>
              <w:rPr>
                <w:sz w:val="14"/>
              </w:rPr>
            </w:pPr>
            <w:r>
              <w:rPr>
                <w:color w:val="231F20"/>
                <w:sz w:val="14"/>
              </w:rPr>
              <w:t>9.40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1.45</w:t>
            </w:r>
          </w:p>
        </w:tc>
      </w:tr>
      <w:tr>
        <w:trPr>
          <w:trHeight w:val="199" w:hRule="atLeast"/>
        </w:trPr>
        <w:tc>
          <w:tcPr>
            <w:tcW w:w="1351" w:type="dxa"/>
            <w:shd w:val="clear" w:color="auto" w:fill="E6E7E8"/>
          </w:tcPr>
          <w:p>
            <w:pPr>
              <w:pStyle w:val="TableParagraph"/>
              <w:spacing w:line="240" w:lineRule="auto" w:before="19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Toxic</w:t>
            </w:r>
            <w:r>
              <w:rPr>
                <w:color w:val="231F20"/>
                <w:spacing w:val="-4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control</w:t>
            </w:r>
          </w:p>
        </w:tc>
        <w:tc>
          <w:tcPr>
            <w:tcW w:w="1392" w:type="dxa"/>
            <w:shd w:val="clear" w:color="auto" w:fill="E6E7E8"/>
          </w:tcPr>
          <w:p>
            <w:pPr>
              <w:pStyle w:val="TableParagraph"/>
              <w:ind w:left="413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17.40</w:t>
            </w:r>
            <w:r>
              <w:rPr>
                <w:color w:val="231F20"/>
                <w:spacing w:val="-1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4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2.16</w:t>
            </w:r>
          </w:p>
        </w:tc>
        <w:tc>
          <w:tcPr>
            <w:tcW w:w="1738" w:type="dxa"/>
            <w:shd w:val="clear" w:color="auto" w:fill="E6E7E8"/>
          </w:tcPr>
          <w:p>
            <w:pPr>
              <w:pStyle w:val="TableParagraph"/>
              <w:ind w:left="530"/>
              <w:rPr>
                <w:sz w:val="14"/>
              </w:rPr>
            </w:pPr>
            <w:r>
              <w:rPr>
                <w:color w:val="231F20"/>
                <w:sz w:val="14"/>
              </w:rPr>
              <w:t>13.00</w:t>
            </w:r>
            <w:r>
              <w:rPr>
                <w:color w:val="231F20"/>
                <w:spacing w:val="4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0.95</w:t>
            </w:r>
          </w:p>
        </w:tc>
        <w:tc>
          <w:tcPr>
            <w:tcW w:w="1292" w:type="dxa"/>
            <w:shd w:val="clear" w:color="auto" w:fill="E6E7E8"/>
          </w:tcPr>
          <w:p>
            <w:pPr>
              <w:pStyle w:val="TableParagraph"/>
              <w:spacing w:line="240" w:lineRule="auto" w:before="19"/>
              <w:ind w:right="110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501" w:type="dxa"/>
            <w:shd w:val="clear" w:color="auto" w:fill="E6E7E8"/>
          </w:tcPr>
          <w:p>
            <w:pPr>
              <w:pStyle w:val="TableParagraph"/>
              <w:ind w:left="451"/>
              <w:rPr>
                <w:sz w:val="14"/>
              </w:rPr>
            </w:pPr>
            <w:r>
              <w:rPr>
                <w:color w:val="231F20"/>
                <w:sz w:val="14"/>
              </w:rPr>
              <w:t>6.00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7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0.89</w:t>
            </w:r>
          </w:p>
        </w:tc>
        <w:tc>
          <w:tcPr>
            <w:tcW w:w="1517" w:type="dxa"/>
            <w:shd w:val="clear" w:color="auto" w:fill="E6E7E8"/>
          </w:tcPr>
          <w:p>
            <w:pPr>
              <w:pStyle w:val="TableParagraph"/>
              <w:ind w:left="473"/>
              <w:rPr>
                <w:sz w:val="14"/>
              </w:rPr>
            </w:pPr>
            <w:r>
              <w:rPr>
                <w:color w:val="231F20"/>
                <w:sz w:val="14"/>
              </w:rPr>
              <w:t>9.50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0.80</w:t>
            </w:r>
            <w:r>
              <w:rPr>
                <w:color w:val="00699D"/>
                <w:spacing w:val="-2"/>
                <w:sz w:val="14"/>
              </w:rPr>
              <w:t>*</w:t>
            </w:r>
          </w:p>
        </w:tc>
        <w:tc>
          <w:tcPr>
            <w:tcW w:w="1158" w:type="dxa"/>
            <w:shd w:val="clear" w:color="auto" w:fill="E6E7E8"/>
          </w:tcPr>
          <w:p>
            <w:pPr>
              <w:pStyle w:val="TableParagraph"/>
              <w:spacing w:line="240" w:lineRule="auto" w:before="19"/>
              <w:ind w:left="132"/>
              <w:jc w:val="center"/>
              <w:rPr>
                <w:b/>
                <w:sz w:val="14"/>
              </w:rPr>
            </w:pPr>
            <w:r>
              <w:rPr>
                <w:b/>
                <w:color w:val="231F20"/>
                <w:spacing w:val="-10"/>
                <w:w w:val="80"/>
                <w:sz w:val="14"/>
              </w:rPr>
              <w:t>–</w:t>
            </w:r>
          </w:p>
        </w:tc>
      </w:tr>
      <w:tr>
        <w:trPr>
          <w:trHeight w:val="199" w:hRule="atLeast"/>
        </w:trPr>
        <w:tc>
          <w:tcPr>
            <w:tcW w:w="1351" w:type="dxa"/>
            <w:shd w:val="clear" w:color="auto" w:fill="E6E7E8"/>
          </w:tcPr>
          <w:p>
            <w:pPr>
              <w:pStyle w:val="TableParagraph"/>
              <w:spacing w:line="240" w:lineRule="auto" w:before="19"/>
              <w:ind w:left="119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Toxic</w:t>
            </w:r>
            <w:r>
              <w:rPr>
                <w:color w:val="231F20"/>
                <w:spacing w:val="-4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recovery</w:t>
            </w:r>
          </w:p>
        </w:tc>
        <w:tc>
          <w:tcPr>
            <w:tcW w:w="1392" w:type="dxa"/>
            <w:shd w:val="clear" w:color="auto" w:fill="E6E7E8"/>
          </w:tcPr>
          <w:p>
            <w:pPr>
              <w:pStyle w:val="TableParagraph"/>
              <w:ind w:left="413"/>
              <w:rPr>
                <w:sz w:val="14"/>
              </w:rPr>
            </w:pPr>
            <w:r>
              <w:rPr>
                <w:color w:val="231F20"/>
                <w:sz w:val="14"/>
              </w:rPr>
              <w:t>10.00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1.38</w:t>
            </w:r>
          </w:p>
        </w:tc>
        <w:tc>
          <w:tcPr>
            <w:tcW w:w="1738" w:type="dxa"/>
            <w:shd w:val="clear" w:color="auto" w:fill="E6E7E8"/>
          </w:tcPr>
          <w:p>
            <w:pPr>
              <w:pStyle w:val="TableParagraph"/>
              <w:ind w:left="530"/>
              <w:rPr>
                <w:sz w:val="14"/>
              </w:rPr>
            </w:pPr>
            <w:r>
              <w:rPr>
                <w:color w:val="231F20"/>
                <w:sz w:val="14"/>
              </w:rPr>
              <w:t>13.80</w:t>
            </w:r>
            <w:r>
              <w:rPr>
                <w:color w:val="231F20"/>
                <w:spacing w:val="6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1.59</w:t>
            </w:r>
          </w:p>
        </w:tc>
        <w:tc>
          <w:tcPr>
            <w:tcW w:w="1292" w:type="dxa"/>
            <w:shd w:val="clear" w:color="auto" w:fill="E6E7E8"/>
          </w:tcPr>
          <w:p>
            <w:pPr>
              <w:pStyle w:val="TableParagraph"/>
              <w:ind w:left="140"/>
              <w:rPr>
                <w:sz w:val="14"/>
              </w:rPr>
            </w:pPr>
            <w:r>
              <w:rPr>
                <w:color w:val="231F20"/>
                <w:sz w:val="14"/>
              </w:rPr>
              <w:t>33.50</w:t>
            </w:r>
            <w:r>
              <w:rPr>
                <w:color w:val="231F20"/>
                <w:spacing w:val="2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 </w:t>
            </w:r>
            <w:r>
              <w:rPr>
                <w:color w:val="231F20"/>
                <w:spacing w:val="-2"/>
                <w:sz w:val="14"/>
              </w:rPr>
              <w:t>4.29</w:t>
            </w:r>
            <w:r>
              <w:rPr>
                <w:color w:val="00699D"/>
                <w:spacing w:val="-2"/>
                <w:sz w:val="14"/>
              </w:rPr>
              <w:t>*</w:t>
            </w:r>
          </w:p>
        </w:tc>
        <w:tc>
          <w:tcPr>
            <w:tcW w:w="1501" w:type="dxa"/>
            <w:shd w:val="clear" w:color="auto" w:fill="E6E7E8"/>
          </w:tcPr>
          <w:p>
            <w:pPr>
              <w:pStyle w:val="TableParagraph"/>
              <w:ind w:left="451"/>
              <w:rPr>
                <w:sz w:val="14"/>
              </w:rPr>
            </w:pPr>
            <w:r>
              <w:rPr>
                <w:color w:val="231F20"/>
                <w:sz w:val="14"/>
              </w:rPr>
              <w:t>5.00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0.45</w:t>
            </w:r>
          </w:p>
        </w:tc>
        <w:tc>
          <w:tcPr>
            <w:tcW w:w="1517" w:type="dxa"/>
            <w:shd w:val="clear" w:color="auto" w:fill="E6E7E8"/>
          </w:tcPr>
          <w:p>
            <w:pPr>
              <w:pStyle w:val="TableParagraph"/>
              <w:ind w:left="473"/>
              <w:rPr>
                <w:sz w:val="14"/>
              </w:rPr>
            </w:pPr>
            <w:r>
              <w:rPr>
                <w:color w:val="231F20"/>
                <w:sz w:val="14"/>
              </w:rPr>
              <w:t>8.90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7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1.07</w:t>
            </w:r>
            <w:r>
              <w:rPr>
                <w:color w:val="00699D"/>
                <w:spacing w:val="-2"/>
                <w:sz w:val="14"/>
              </w:rPr>
              <w:t>*</w:t>
            </w:r>
          </w:p>
        </w:tc>
        <w:tc>
          <w:tcPr>
            <w:tcW w:w="1158" w:type="dxa"/>
            <w:shd w:val="clear" w:color="auto" w:fill="E6E7E8"/>
          </w:tcPr>
          <w:p>
            <w:pPr>
              <w:pStyle w:val="TableParagraph"/>
              <w:ind w:left="271"/>
              <w:rPr>
                <w:sz w:val="9"/>
              </w:rPr>
            </w:pPr>
            <w:r>
              <w:rPr>
                <w:color w:val="231F20"/>
                <w:w w:val="105"/>
                <w:sz w:val="14"/>
              </w:rPr>
              <w:t>3.12</w:t>
            </w:r>
            <w:r>
              <w:rPr>
                <w:color w:val="231F20"/>
                <w:spacing w:val="3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± </w:t>
            </w:r>
            <w:r>
              <w:rPr>
                <w:color w:val="231F20"/>
                <w:spacing w:val="-2"/>
                <w:w w:val="105"/>
                <w:sz w:val="14"/>
              </w:rPr>
              <w:t>1.32</w:t>
            </w:r>
            <w:r>
              <w:rPr>
                <w:color w:val="00699D"/>
                <w:spacing w:val="-2"/>
                <w:w w:val="105"/>
                <w:position w:val="5"/>
                <w:sz w:val="9"/>
              </w:rPr>
              <w:t>†</w:t>
            </w:r>
          </w:p>
        </w:tc>
      </w:tr>
      <w:tr>
        <w:trPr>
          <w:trHeight w:val="199" w:hRule="atLeast"/>
        </w:trPr>
        <w:tc>
          <w:tcPr>
            <w:tcW w:w="1351" w:type="dxa"/>
            <w:shd w:val="clear" w:color="auto" w:fill="E6E7E8"/>
          </w:tcPr>
          <w:p>
            <w:pPr>
              <w:pStyle w:val="TableParagraph"/>
              <w:spacing w:line="240" w:lineRule="auto" w:before="19"/>
              <w:ind w:left="119"/>
              <w:rPr>
                <w:sz w:val="14"/>
              </w:rPr>
            </w:pPr>
            <w:r>
              <w:rPr>
                <w:color w:val="231F20"/>
                <w:sz w:val="14"/>
              </w:rPr>
              <w:t>100</w:t>
            </w:r>
            <w:r>
              <w:rPr>
                <w:color w:val="231F20"/>
                <w:spacing w:val="16"/>
                <w:sz w:val="14"/>
              </w:rPr>
              <w:t> </w:t>
            </w:r>
            <w:r>
              <w:rPr>
                <w:color w:val="231F20"/>
                <w:sz w:val="14"/>
              </w:rPr>
              <w:t>mg</w:t>
            </w:r>
            <w:r>
              <w:rPr>
                <w:color w:val="231F20"/>
                <w:spacing w:val="9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AOGL</w:t>
            </w:r>
          </w:p>
        </w:tc>
        <w:tc>
          <w:tcPr>
            <w:tcW w:w="1392" w:type="dxa"/>
            <w:shd w:val="clear" w:color="auto" w:fill="E6E7E8"/>
          </w:tcPr>
          <w:p>
            <w:pPr>
              <w:pStyle w:val="TableParagraph"/>
              <w:ind w:left="413"/>
              <w:rPr>
                <w:sz w:val="14"/>
              </w:rPr>
            </w:pPr>
            <w:r>
              <w:rPr>
                <w:color w:val="231F20"/>
                <w:sz w:val="14"/>
              </w:rPr>
              <w:t>9.400</w:t>
            </w:r>
            <w:r>
              <w:rPr>
                <w:color w:val="231F20"/>
                <w:spacing w:val="-7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0.60</w:t>
            </w:r>
          </w:p>
        </w:tc>
        <w:tc>
          <w:tcPr>
            <w:tcW w:w="1738" w:type="dxa"/>
            <w:shd w:val="clear" w:color="auto" w:fill="E6E7E8"/>
          </w:tcPr>
          <w:p>
            <w:pPr>
              <w:pStyle w:val="TableParagraph"/>
              <w:ind w:left="530"/>
              <w:rPr>
                <w:sz w:val="14"/>
              </w:rPr>
            </w:pPr>
            <w:r>
              <w:rPr>
                <w:color w:val="231F20"/>
                <w:sz w:val="14"/>
              </w:rPr>
              <w:t>15.00</w:t>
            </w:r>
            <w:r>
              <w:rPr>
                <w:color w:val="231F20"/>
                <w:spacing w:val="6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1.92</w:t>
            </w:r>
          </w:p>
        </w:tc>
        <w:tc>
          <w:tcPr>
            <w:tcW w:w="1292" w:type="dxa"/>
            <w:shd w:val="clear" w:color="auto" w:fill="E6E7E8"/>
          </w:tcPr>
          <w:p>
            <w:pPr>
              <w:pStyle w:val="TableParagraph"/>
              <w:ind w:left="140"/>
              <w:rPr>
                <w:sz w:val="9"/>
              </w:rPr>
            </w:pPr>
            <w:r>
              <w:rPr>
                <w:color w:val="231F20"/>
                <w:sz w:val="14"/>
              </w:rPr>
              <w:t>29.00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3.14</w:t>
            </w:r>
            <w:r>
              <w:rPr>
                <w:color w:val="00699D"/>
                <w:spacing w:val="-2"/>
                <w:sz w:val="14"/>
              </w:rPr>
              <w:t>*</w:t>
            </w:r>
            <w:r>
              <w:rPr>
                <w:color w:val="00699D"/>
                <w:spacing w:val="-2"/>
                <w:position w:val="5"/>
                <w:sz w:val="9"/>
              </w:rPr>
              <w:t>,†</w:t>
            </w:r>
          </w:p>
        </w:tc>
        <w:tc>
          <w:tcPr>
            <w:tcW w:w="1501" w:type="dxa"/>
            <w:shd w:val="clear" w:color="auto" w:fill="E6E7E8"/>
          </w:tcPr>
          <w:p>
            <w:pPr>
              <w:pStyle w:val="TableParagraph"/>
              <w:ind w:left="451"/>
              <w:rPr>
                <w:sz w:val="14"/>
              </w:rPr>
            </w:pPr>
            <w:r>
              <w:rPr>
                <w:color w:val="231F20"/>
                <w:sz w:val="14"/>
              </w:rPr>
              <w:t>3.90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0.58</w:t>
            </w:r>
          </w:p>
        </w:tc>
        <w:tc>
          <w:tcPr>
            <w:tcW w:w="1517" w:type="dxa"/>
            <w:shd w:val="clear" w:color="auto" w:fill="E6E7E8"/>
          </w:tcPr>
          <w:p>
            <w:pPr>
              <w:pStyle w:val="TableParagraph"/>
              <w:ind w:left="473"/>
              <w:rPr>
                <w:sz w:val="14"/>
              </w:rPr>
            </w:pPr>
            <w:r>
              <w:rPr>
                <w:color w:val="231F20"/>
                <w:sz w:val="14"/>
              </w:rPr>
              <w:t>7.60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 </w:t>
            </w:r>
            <w:r>
              <w:rPr>
                <w:color w:val="231F20"/>
                <w:spacing w:val="-2"/>
                <w:sz w:val="14"/>
              </w:rPr>
              <w:t>0.37</w:t>
            </w:r>
            <w:r>
              <w:rPr>
                <w:color w:val="00699D"/>
                <w:spacing w:val="-2"/>
                <w:sz w:val="14"/>
              </w:rPr>
              <w:t>*</w:t>
            </w:r>
          </w:p>
        </w:tc>
        <w:tc>
          <w:tcPr>
            <w:tcW w:w="1158" w:type="dxa"/>
            <w:shd w:val="clear" w:color="auto" w:fill="E6E7E8"/>
          </w:tcPr>
          <w:p>
            <w:pPr>
              <w:pStyle w:val="TableParagraph"/>
              <w:ind w:left="271"/>
              <w:rPr>
                <w:sz w:val="9"/>
              </w:rPr>
            </w:pPr>
            <w:r>
              <w:rPr>
                <w:color w:val="231F20"/>
                <w:w w:val="105"/>
                <w:sz w:val="14"/>
              </w:rPr>
              <w:t>4.25</w:t>
            </w:r>
            <w:r>
              <w:rPr>
                <w:color w:val="231F20"/>
                <w:spacing w:val="-5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7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1.74</w:t>
            </w:r>
            <w:r>
              <w:rPr>
                <w:color w:val="00699D"/>
                <w:spacing w:val="-2"/>
                <w:w w:val="105"/>
                <w:position w:val="5"/>
                <w:sz w:val="9"/>
              </w:rPr>
              <w:t>†</w:t>
            </w:r>
          </w:p>
        </w:tc>
      </w:tr>
      <w:tr>
        <w:trPr>
          <w:trHeight w:val="199" w:hRule="atLeast"/>
        </w:trPr>
        <w:tc>
          <w:tcPr>
            <w:tcW w:w="1351" w:type="dxa"/>
            <w:shd w:val="clear" w:color="auto" w:fill="E6E7E8"/>
          </w:tcPr>
          <w:p>
            <w:pPr>
              <w:pStyle w:val="TableParagraph"/>
              <w:spacing w:line="240" w:lineRule="auto" w:before="19"/>
              <w:ind w:left="119"/>
              <w:rPr>
                <w:sz w:val="14"/>
              </w:rPr>
            </w:pPr>
            <w:r>
              <w:rPr>
                <w:color w:val="231F20"/>
                <w:sz w:val="14"/>
              </w:rPr>
              <w:t>200</w:t>
            </w:r>
            <w:r>
              <w:rPr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z w:val="14"/>
              </w:rPr>
              <w:t>mg </w:t>
            </w:r>
            <w:r>
              <w:rPr>
                <w:color w:val="231F20"/>
                <w:spacing w:val="-4"/>
                <w:sz w:val="14"/>
              </w:rPr>
              <w:t>AOGL</w:t>
            </w:r>
          </w:p>
        </w:tc>
        <w:tc>
          <w:tcPr>
            <w:tcW w:w="1392" w:type="dxa"/>
            <w:shd w:val="clear" w:color="auto" w:fill="E6E7E8"/>
          </w:tcPr>
          <w:p>
            <w:pPr>
              <w:pStyle w:val="TableParagraph"/>
              <w:ind w:left="413"/>
              <w:rPr>
                <w:sz w:val="14"/>
              </w:rPr>
            </w:pPr>
            <w:r>
              <w:rPr>
                <w:color w:val="231F20"/>
                <w:sz w:val="14"/>
              </w:rPr>
              <w:t>11.20</w:t>
            </w:r>
            <w:r>
              <w:rPr>
                <w:color w:val="231F20"/>
                <w:spacing w:val="17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15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0.97</w:t>
            </w:r>
          </w:p>
        </w:tc>
        <w:tc>
          <w:tcPr>
            <w:tcW w:w="1738" w:type="dxa"/>
            <w:shd w:val="clear" w:color="auto" w:fill="E6E7E8"/>
          </w:tcPr>
          <w:p>
            <w:pPr>
              <w:pStyle w:val="TableParagraph"/>
              <w:ind w:left="530"/>
              <w:rPr>
                <w:sz w:val="14"/>
              </w:rPr>
            </w:pPr>
            <w:r>
              <w:rPr>
                <w:color w:val="231F20"/>
                <w:sz w:val="14"/>
              </w:rPr>
              <w:t>16.60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5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2.38</w:t>
            </w:r>
          </w:p>
        </w:tc>
        <w:tc>
          <w:tcPr>
            <w:tcW w:w="1292" w:type="dxa"/>
            <w:shd w:val="clear" w:color="auto" w:fill="E6E7E8"/>
          </w:tcPr>
          <w:p>
            <w:pPr>
              <w:pStyle w:val="TableParagraph"/>
              <w:ind w:left="140"/>
              <w:rPr>
                <w:sz w:val="9"/>
              </w:rPr>
            </w:pPr>
            <w:r>
              <w:rPr>
                <w:color w:val="231F20"/>
                <w:sz w:val="14"/>
              </w:rPr>
              <w:t>28.00</w:t>
            </w:r>
            <w:r>
              <w:rPr>
                <w:color w:val="231F20"/>
                <w:spacing w:val="-7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10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3.56</w:t>
            </w:r>
            <w:r>
              <w:rPr>
                <w:color w:val="00699D"/>
                <w:spacing w:val="-2"/>
                <w:sz w:val="14"/>
              </w:rPr>
              <w:t>*</w:t>
            </w:r>
            <w:r>
              <w:rPr>
                <w:color w:val="00699D"/>
                <w:spacing w:val="-2"/>
                <w:position w:val="5"/>
                <w:sz w:val="9"/>
              </w:rPr>
              <w:t>,†</w:t>
            </w:r>
          </w:p>
        </w:tc>
        <w:tc>
          <w:tcPr>
            <w:tcW w:w="1501" w:type="dxa"/>
            <w:shd w:val="clear" w:color="auto" w:fill="E6E7E8"/>
          </w:tcPr>
          <w:p>
            <w:pPr>
              <w:pStyle w:val="TableParagraph"/>
              <w:ind w:left="451"/>
              <w:rPr>
                <w:sz w:val="14"/>
              </w:rPr>
            </w:pPr>
            <w:r>
              <w:rPr>
                <w:color w:val="231F20"/>
                <w:sz w:val="14"/>
              </w:rPr>
              <w:t>3.90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0.43</w:t>
            </w:r>
          </w:p>
        </w:tc>
        <w:tc>
          <w:tcPr>
            <w:tcW w:w="1517" w:type="dxa"/>
            <w:shd w:val="clear" w:color="auto" w:fill="E6E7E8"/>
          </w:tcPr>
          <w:p>
            <w:pPr>
              <w:pStyle w:val="TableParagraph"/>
              <w:ind w:left="473"/>
              <w:rPr>
                <w:sz w:val="14"/>
              </w:rPr>
            </w:pPr>
            <w:r>
              <w:rPr>
                <w:color w:val="231F20"/>
                <w:sz w:val="14"/>
              </w:rPr>
              <w:t>7.00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1.19</w:t>
            </w:r>
            <w:r>
              <w:rPr>
                <w:color w:val="00699D"/>
                <w:spacing w:val="-2"/>
                <w:sz w:val="14"/>
              </w:rPr>
              <w:t>*</w:t>
            </w:r>
          </w:p>
        </w:tc>
        <w:tc>
          <w:tcPr>
            <w:tcW w:w="1158" w:type="dxa"/>
            <w:shd w:val="clear" w:color="auto" w:fill="E6E7E8"/>
          </w:tcPr>
          <w:p>
            <w:pPr>
              <w:pStyle w:val="TableParagraph"/>
              <w:ind w:left="271"/>
              <w:rPr>
                <w:sz w:val="9"/>
              </w:rPr>
            </w:pPr>
            <w:r>
              <w:rPr>
                <w:color w:val="231F20"/>
                <w:sz w:val="14"/>
              </w:rPr>
              <w:t>4.60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1.45</w:t>
            </w:r>
            <w:r>
              <w:rPr>
                <w:color w:val="00699D"/>
                <w:spacing w:val="-2"/>
                <w:position w:val="5"/>
                <w:sz w:val="9"/>
              </w:rPr>
              <w:t>†</w:t>
            </w:r>
          </w:p>
        </w:tc>
      </w:tr>
      <w:tr>
        <w:trPr>
          <w:trHeight w:val="226" w:hRule="atLeast"/>
        </w:trPr>
        <w:tc>
          <w:tcPr>
            <w:tcW w:w="135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40" w:lineRule="auto" w:before="19"/>
              <w:ind w:left="119"/>
              <w:rPr>
                <w:sz w:val="14"/>
              </w:rPr>
            </w:pPr>
            <w:r>
              <w:rPr>
                <w:color w:val="231F20"/>
                <w:sz w:val="14"/>
              </w:rPr>
              <w:t>400</w:t>
            </w:r>
            <w:r>
              <w:rPr>
                <w:color w:val="231F20"/>
                <w:spacing w:val="5"/>
                <w:sz w:val="14"/>
              </w:rPr>
              <w:t> </w:t>
            </w:r>
            <w:r>
              <w:rPr>
                <w:color w:val="231F20"/>
                <w:sz w:val="14"/>
              </w:rPr>
              <w:t>mg </w:t>
            </w:r>
            <w:r>
              <w:rPr>
                <w:color w:val="231F20"/>
                <w:spacing w:val="-4"/>
                <w:sz w:val="14"/>
              </w:rPr>
              <w:t>AOGL</w:t>
            </w:r>
          </w:p>
        </w:tc>
        <w:tc>
          <w:tcPr>
            <w:tcW w:w="139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413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11.60</w:t>
            </w:r>
            <w:r>
              <w:rPr>
                <w:color w:val="231F20"/>
                <w:spacing w:val="5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3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1.86</w:t>
            </w:r>
          </w:p>
        </w:tc>
        <w:tc>
          <w:tcPr>
            <w:tcW w:w="173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530"/>
              <w:rPr>
                <w:sz w:val="14"/>
              </w:rPr>
            </w:pPr>
            <w:r>
              <w:rPr>
                <w:color w:val="231F20"/>
                <w:sz w:val="14"/>
              </w:rPr>
              <w:t>23.60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2.75</w:t>
            </w:r>
          </w:p>
        </w:tc>
        <w:tc>
          <w:tcPr>
            <w:tcW w:w="129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140"/>
              <w:rPr>
                <w:sz w:val="14"/>
              </w:rPr>
            </w:pPr>
            <w:r>
              <w:rPr>
                <w:color w:val="231F20"/>
                <w:sz w:val="14"/>
              </w:rPr>
              <w:t>30.40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4.57</w:t>
            </w:r>
          </w:p>
        </w:tc>
        <w:tc>
          <w:tcPr>
            <w:tcW w:w="150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451"/>
              <w:rPr>
                <w:sz w:val="14"/>
              </w:rPr>
            </w:pPr>
            <w:r>
              <w:rPr>
                <w:color w:val="231F20"/>
                <w:sz w:val="14"/>
              </w:rPr>
              <w:t>4.50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0.54</w:t>
            </w:r>
          </w:p>
        </w:tc>
        <w:tc>
          <w:tcPr>
            <w:tcW w:w="151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473"/>
              <w:rPr>
                <w:sz w:val="14"/>
              </w:rPr>
            </w:pPr>
            <w:r>
              <w:rPr>
                <w:color w:val="231F20"/>
                <w:sz w:val="14"/>
              </w:rPr>
              <w:t>8.10</w:t>
            </w:r>
            <w:r>
              <w:rPr>
                <w:color w:val="231F20"/>
                <w:spacing w:val="5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1.22</w:t>
            </w:r>
            <w:r>
              <w:rPr>
                <w:color w:val="00699D"/>
                <w:spacing w:val="-2"/>
                <w:sz w:val="14"/>
              </w:rPr>
              <w:t>*</w:t>
            </w:r>
          </w:p>
        </w:tc>
        <w:tc>
          <w:tcPr>
            <w:tcW w:w="115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/>
              <w:ind w:left="271"/>
              <w:rPr>
                <w:sz w:val="9"/>
              </w:rPr>
            </w:pPr>
            <w:r>
              <w:rPr>
                <w:color w:val="231F20"/>
                <w:sz w:val="14"/>
              </w:rPr>
              <w:t>4.20</w:t>
            </w:r>
            <w:r>
              <w:rPr>
                <w:color w:val="231F20"/>
                <w:spacing w:val="-4"/>
                <w:sz w:val="14"/>
              </w:rPr>
              <w:t> </w:t>
            </w:r>
            <w:r>
              <w:rPr>
                <w:rFonts w:ascii="UKIJ CJK" w:hAnsi="UKIJ CJK"/>
                <w:color w:val="231F20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0.97</w:t>
            </w:r>
            <w:r>
              <w:rPr>
                <w:color w:val="00699D"/>
                <w:spacing w:val="-2"/>
                <w:position w:val="5"/>
                <w:sz w:val="9"/>
              </w:rPr>
              <w:t>†</w:t>
            </w:r>
          </w:p>
        </w:tc>
      </w:tr>
      <w:tr>
        <w:trPr>
          <w:trHeight w:val="507" w:hRule="atLeast"/>
        </w:trPr>
        <w:tc>
          <w:tcPr>
            <w:tcW w:w="9949" w:type="dxa"/>
            <w:gridSpan w:val="7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35" w:lineRule="auto" w:before="28"/>
              <w:ind w:left="119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Values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are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given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as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mean</w:t>
            </w:r>
            <w:r>
              <w:rPr>
                <w:color w:val="231F20"/>
                <w:spacing w:val="13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±</w:t>
            </w:r>
            <w:r>
              <w:rPr>
                <w:rFonts w:ascii="UKIJ CJK" w:hAnsi="UKIJ CJK"/>
                <w:color w:val="231F20"/>
                <w:spacing w:val="10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SEM.</w:t>
            </w:r>
            <w:r>
              <w:rPr>
                <w:color w:val="231F20"/>
                <w:spacing w:val="16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*</w:t>
            </w:r>
            <w:r>
              <w:rPr>
                <w:color w:val="231F20"/>
                <w:spacing w:val="13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=</w:t>
            </w:r>
            <w:r>
              <w:rPr>
                <w:rFonts w:ascii="UKIJ CJK" w:hAnsi="UKIJ CJK"/>
                <w:color w:val="231F20"/>
                <w:spacing w:val="10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Significantly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different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from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pre-treatment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values.</w:t>
            </w:r>
            <w:r>
              <w:rPr>
                <w:color w:val="231F20"/>
                <w:spacing w:val="16"/>
                <w:w w:val="105"/>
                <w:sz w:val="14"/>
              </w:rPr>
              <w:t> </w:t>
            </w:r>
            <w:r>
              <w:rPr>
                <w:color w:val="231F20"/>
                <w:w w:val="105"/>
                <w:position w:val="5"/>
                <w:sz w:val="9"/>
              </w:rPr>
              <w:t>†</w:t>
            </w:r>
            <w:r>
              <w:rPr>
                <w:color w:val="231F20"/>
                <w:spacing w:val="25"/>
                <w:w w:val="105"/>
                <w:position w:val="5"/>
                <w:sz w:val="9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=</w:t>
            </w:r>
            <w:r>
              <w:rPr>
                <w:rFonts w:ascii="UKIJ CJK" w:hAnsi="UKIJ CJK"/>
                <w:color w:val="231F20"/>
                <w:spacing w:val="10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Significantly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different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from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toxic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control</w:t>
            </w:r>
            <w:r>
              <w:rPr>
                <w:color w:val="231F20"/>
                <w:spacing w:val="22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(p</w:t>
            </w:r>
            <w:r>
              <w:rPr>
                <w:color w:val="231F20"/>
                <w:spacing w:val="13"/>
                <w:w w:val="105"/>
                <w:sz w:val="14"/>
              </w:rPr>
              <w:t> </w:t>
            </w:r>
            <w:r>
              <w:rPr>
                <w:rFonts w:ascii="UKIJ CJK" w:hAnsi="UKIJ CJK"/>
                <w:color w:val="231F20"/>
                <w:w w:val="105"/>
                <w:sz w:val="14"/>
              </w:rPr>
              <w:t>&lt;</w:t>
            </w:r>
            <w:r>
              <w:rPr>
                <w:rFonts w:ascii="UKIJ CJK" w:hAnsi="UKIJ CJK"/>
                <w:color w:val="231F20"/>
                <w:spacing w:val="10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0.05).</w:t>
            </w:r>
            <w:r>
              <w:rPr>
                <w:color w:val="231F20"/>
                <w:spacing w:val="40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AOGL, aqueous extract of </w:t>
            </w:r>
            <w:r>
              <w:rPr>
                <w:i/>
                <w:color w:val="231F20"/>
                <w:w w:val="105"/>
                <w:sz w:val="14"/>
              </w:rPr>
              <w:t>Ocimum gratissimum</w:t>
            </w:r>
            <w:r>
              <w:rPr>
                <w:color w:val="231F20"/>
                <w:w w:val="105"/>
                <w:sz w:val="14"/>
              </w:rPr>
              <w:t>.</w:t>
            </w:r>
          </w:p>
        </w:tc>
      </w:tr>
    </w:tbl>
    <w:p>
      <w:pPr>
        <w:spacing w:after="0" w:line="235" w:lineRule="auto"/>
        <w:rPr>
          <w:sz w:val="14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72"/>
        <w:rPr>
          <w:sz w:val="20"/>
        </w:rPr>
      </w:pPr>
    </w:p>
    <w:p>
      <w:pPr>
        <w:pStyle w:val="BodyText"/>
        <w:ind w:left="1909"/>
        <w:rPr>
          <w:sz w:val="20"/>
        </w:rPr>
      </w:pPr>
      <w:r>
        <w:rPr>
          <w:sz w:val="20"/>
        </w:rPr>
        <w:drawing>
          <wp:inline distT="0" distB="0" distL="0" distR="0">
            <wp:extent cx="4210789" cy="2456687"/>
            <wp:effectExtent l="0" t="0" r="0" b="0"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789" cy="245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9"/>
      </w:pPr>
    </w:p>
    <w:p>
      <w:pPr>
        <w:spacing w:line="271" w:lineRule="auto" w:before="0"/>
        <w:ind w:left="237" w:right="0" w:firstLine="0"/>
        <w:jc w:val="left"/>
        <w:rPr>
          <w:b/>
          <w:sz w:val="16"/>
        </w:rPr>
      </w:pPr>
      <w:bookmarkStart w:name="_bookmark5" w:id="28"/>
      <w:bookmarkEnd w:id="28"/>
      <w:r>
        <w:rPr/>
      </w:r>
      <w:r>
        <w:rPr>
          <w:b/>
          <w:color w:val="231F20"/>
          <w:spacing w:val="-2"/>
          <w:sz w:val="16"/>
        </w:rPr>
        <w:t>Fig.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1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–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Effect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aqueous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extract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8"/>
          <w:sz w:val="16"/>
        </w:rPr>
        <w:t> </w:t>
      </w:r>
      <w:r>
        <w:rPr>
          <w:b/>
          <w:i/>
          <w:color w:val="231F20"/>
          <w:spacing w:val="-2"/>
          <w:sz w:val="16"/>
        </w:rPr>
        <w:t>Ocimum</w:t>
      </w:r>
      <w:r>
        <w:rPr>
          <w:b/>
          <w:i/>
          <w:color w:val="231F20"/>
          <w:spacing w:val="-8"/>
          <w:sz w:val="16"/>
        </w:rPr>
        <w:t> </w:t>
      </w:r>
      <w:r>
        <w:rPr>
          <w:b/>
          <w:i/>
          <w:color w:val="231F20"/>
          <w:spacing w:val="-2"/>
          <w:sz w:val="16"/>
        </w:rPr>
        <w:t>gratissimum</w:t>
      </w:r>
      <w:r>
        <w:rPr>
          <w:b/>
          <w:i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on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plasma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creatinine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level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in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gentamicin-induced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kidney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injury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in</w:t>
      </w:r>
      <w:r>
        <w:rPr>
          <w:b/>
          <w:color w:val="231F20"/>
          <w:sz w:val="16"/>
        </w:rPr>
        <w:t> rats.</w:t>
      </w:r>
      <w:r>
        <w:rPr>
          <w:b/>
          <w:color w:val="231F20"/>
          <w:spacing w:val="-12"/>
          <w:sz w:val="16"/>
        </w:rPr>
        <w:t> </w:t>
      </w:r>
      <w:r>
        <w:rPr>
          <w:b/>
          <w:color w:val="231F20"/>
          <w:sz w:val="16"/>
        </w:rPr>
        <w:t>Values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are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given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as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mean</w:t>
      </w:r>
      <w:r>
        <w:rPr>
          <w:b/>
          <w:color w:val="231F20"/>
          <w:spacing w:val="-10"/>
          <w:sz w:val="16"/>
        </w:rPr>
        <w:t> </w:t>
      </w:r>
      <w:r>
        <w:rPr>
          <w:rFonts w:ascii="Noto Serif" w:hAnsi="Noto Serif"/>
          <w:b/>
          <w:color w:val="231F20"/>
          <w:sz w:val="16"/>
        </w:rPr>
        <w:t>±</w:t>
      </w:r>
      <w:r>
        <w:rPr>
          <w:rFonts w:ascii="Noto Serif" w:hAnsi="Noto Serif"/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SEM.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*</w:t>
      </w:r>
      <w:r>
        <w:rPr>
          <w:b/>
          <w:color w:val="231F20"/>
          <w:spacing w:val="-10"/>
          <w:sz w:val="16"/>
        </w:rPr>
        <w:t> </w:t>
      </w:r>
      <w:r>
        <w:rPr>
          <w:rFonts w:ascii="Noto Serif" w:hAnsi="Noto Serif"/>
          <w:b/>
          <w:color w:val="231F20"/>
          <w:sz w:val="16"/>
        </w:rPr>
        <w:t>=</w:t>
      </w:r>
      <w:r>
        <w:rPr>
          <w:rFonts w:ascii="Noto Serif" w:hAnsi="Noto Serif"/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Significantly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different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from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control.</w:t>
      </w:r>
      <w:r>
        <w:rPr>
          <w:b/>
          <w:color w:val="231F20"/>
          <w:spacing w:val="-10"/>
          <w:sz w:val="16"/>
        </w:rPr>
        <w:t> </w:t>
      </w:r>
      <w:r>
        <w:rPr>
          <w:rFonts w:ascii="Noto Serif" w:hAnsi="Noto Serif"/>
          <w:b/>
          <w:color w:val="231F20"/>
          <w:sz w:val="16"/>
        </w:rPr>
        <w:t>γ</w:t>
      </w:r>
      <w:r>
        <w:rPr>
          <w:rFonts w:ascii="Noto Serif" w:hAnsi="Noto Serif"/>
          <w:b/>
          <w:color w:val="231F20"/>
          <w:spacing w:val="-10"/>
          <w:sz w:val="16"/>
        </w:rPr>
        <w:t> </w:t>
      </w:r>
      <w:r>
        <w:rPr>
          <w:rFonts w:ascii="Noto Serif" w:hAnsi="Noto Serif"/>
          <w:b/>
          <w:color w:val="231F20"/>
          <w:sz w:val="16"/>
        </w:rPr>
        <w:t>=</w:t>
      </w:r>
      <w:r>
        <w:rPr>
          <w:rFonts w:ascii="Noto Serif" w:hAnsi="Noto Serif"/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Significantly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different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from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toxic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control</w:t>
      </w:r>
    </w:p>
    <w:p>
      <w:pPr>
        <w:spacing w:line="201" w:lineRule="exact" w:before="0"/>
        <w:ind w:left="237" w:right="0" w:firstLine="0"/>
        <w:jc w:val="left"/>
        <w:rPr>
          <w:b/>
          <w:sz w:val="16"/>
        </w:rPr>
      </w:pPr>
      <w:r>
        <w:rPr>
          <w:b/>
          <w:color w:val="231F20"/>
          <w:w w:val="95"/>
          <w:sz w:val="16"/>
        </w:rPr>
        <w:t>(p</w:t>
      </w:r>
      <w:r>
        <w:rPr>
          <w:b/>
          <w:color w:val="231F20"/>
          <w:spacing w:val="-2"/>
          <w:sz w:val="16"/>
        </w:rPr>
        <w:t> </w:t>
      </w:r>
      <w:r>
        <w:rPr>
          <w:rFonts w:ascii="Noto Serif"/>
          <w:b/>
          <w:color w:val="231F20"/>
          <w:w w:val="95"/>
          <w:sz w:val="16"/>
        </w:rPr>
        <w:t>&lt;</w:t>
      </w:r>
      <w:r>
        <w:rPr>
          <w:rFonts w:ascii="Noto Serif"/>
          <w:b/>
          <w:color w:val="231F20"/>
          <w:spacing w:val="-1"/>
          <w:w w:val="95"/>
          <w:sz w:val="16"/>
        </w:rPr>
        <w:t> </w:t>
      </w:r>
      <w:r>
        <w:rPr>
          <w:b/>
          <w:color w:val="231F20"/>
          <w:spacing w:val="-2"/>
          <w:w w:val="95"/>
          <w:sz w:val="16"/>
        </w:rPr>
        <w:t>0.05).</w:t>
      </w:r>
    </w:p>
    <w:p>
      <w:pPr>
        <w:pStyle w:val="BodyText"/>
        <w:rPr>
          <w:b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658622</wp:posOffset>
                </wp:positionH>
                <wp:positionV relativeFrom="paragraph">
                  <wp:posOffset>124043</wp:posOffset>
                </wp:positionV>
                <wp:extent cx="6318250" cy="1270"/>
                <wp:effectExtent l="0" t="0" r="0" b="0"/>
                <wp:wrapTopAndBottom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9.767237pt;width:497.5pt;height:.1pt;mso-position-horizontal-relative:page;mso-position-vertical-relative:paragraph;z-index:-15715840;mso-wrap-distance-left:0;mso-wrap-distance-right:0" id="docshape33" coordorigin="1037,195" coordsize="9950,0" path="m1037,195l10987,195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7"/>
        <w:rPr>
          <w:b/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230" w:lineRule="exact" w:before="64"/>
        <w:ind w:left="237" w:right="38"/>
        <w:jc w:val="both"/>
      </w:pPr>
      <w:r>
        <w:rPr>
          <w:color w:val="231F20"/>
          <w:w w:val="110"/>
        </w:rPr>
        <w:t>than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control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group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6">
        <w:r>
          <w:rPr>
            <w:color w:val="00699D"/>
            <w:w w:val="110"/>
          </w:rPr>
          <w:t>Fig.</w:t>
        </w:r>
        <w:r>
          <w:rPr>
            <w:color w:val="00699D"/>
            <w:spacing w:val="-11"/>
            <w:w w:val="110"/>
          </w:rPr>
          <w:t> </w:t>
        </w:r>
        <w:r>
          <w:rPr>
            <w:color w:val="00699D"/>
            <w:w w:val="110"/>
          </w:rPr>
          <w:t>4</w:t>
        </w:r>
      </w:hyperlink>
      <w:r>
        <w:rPr>
          <w:color w:val="231F20"/>
          <w:w w:val="110"/>
        </w:rPr>
        <w:t>).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urine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concentration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urea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toxic</w:t>
      </w:r>
      <w:r>
        <w:rPr>
          <w:color w:val="231F20"/>
          <w:spacing w:val="-3"/>
        </w:rPr>
        <w:t> </w:t>
      </w:r>
      <w:r>
        <w:rPr>
          <w:color w:val="231F20"/>
        </w:rPr>
        <w:t>control</w:t>
      </w:r>
      <w:r>
        <w:rPr>
          <w:color w:val="231F20"/>
          <w:spacing w:val="-3"/>
        </w:rPr>
        <w:t> </w:t>
      </w:r>
      <w:r>
        <w:rPr>
          <w:color w:val="231F20"/>
        </w:rPr>
        <w:t>group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significantly</w:t>
      </w:r>
      <w:r>
        <w:rPr>
          <w:color w:val="231F20"/>
          <w:spacing w:val="-3"/>
        </w:rPr>
        <w:t> </w:t>
      </w:r>
      <w:r>
        <w:rPr>
          <w:color w:val="231F20"/>
        </w:rPr>
        <w:t>higher</w:t>
      </w:r>
      <w:r>
        <w:rPr>
          <w:color w:val="231F20"/>
          <w:spacing w:val="-3"/>
        </w:rPr>
        <w:t> </w:t>
      </w:r>
      <w:r>
        <w:rPr>
          <w:color w:val="231F20"/>
        </w:rPr>
        <w:t>(p </w:t>
      </w:r>
      <w:r>
        <w:rPr>
          <w:rFonts w:ascii="UKIJ CJK"/>
          <w:color w:val="231F20"/>
        </w:rPr>
        <w:t>&lt; </w:t>
      </w:r>
      <w:r>
        <w:rPr>
          <w:color w:val="231F20"/>
        </w:rPr>
        <w:t>0.05)</w:t>
      </w:r>
      <w:r>
        <w:rPr>
          <w:color w:val="231F20"/>
          <w:w w:val="110"/>
        </w:rPr>
        <w:t> </w:t>
      </w:r>
      <w:bookmarkStart w:name=" Relative kidney weight, TBARS and GSH" w:id="29"/>
      <w:bookmarkEnd w:id="29"/>
      <w:r>
        <w:rPr>
          <w:color w:val="231F20"/>
          <w:w w:val="110"/>
        </w:rPr>
        <w:t>tha</w:t>
      </w:r>
      <w:r>
        <w:rPr>
          <w:color w:val="231F20"/>
          <w:w w:val="110"/>
        </w:rPr>
        <w:t>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control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group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7">
        <w:r>
          <w:rPr>
            <w:color w:val="00699D"/>
            <w:w w:val="110"/>
          </w:rPr>
          <w:t>Fig.</w:t>
        </w:r>
        <w:r>
          <w:rPr>
            <w:color w:val="00699D"/>
            <w:spacing w:val="-10"/>
            <w:w w:val="110"/>
          </w:rPr>
          <w:t> </w:t>
        </w:r>
        <w:r>
          <w:rPr>
            <w:color w:val="00699D"/>
            <w:w w:val="110"/>
          </w:rPr>
          <w:t>5</w:t>
        </w:r>
      </w:hyperlink>
      <w:r>
        <w:rPr>
          <w:color w:val="231F20"/>
          <w:w w:val="110"/>
        </w:rPr>
        <w:t>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However,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AOGL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treated groups and the toxic recovery group had a significantly lower </w:t>
      </w:r>
      <w:r>
        <w:rPr>
          <w:color w:val="231F20"/>
          <w:spacing w:val="-2"/>
          <w:w w:val="110"/>
        </w:rPr>
        <w:t>(p</w:t>
      </w:r>
      <w:r>
        <w:rPr>
          <w:color w:val="231F20"/>
          <w:spacing w:val="-3"/>
          <w:w w:val="110"/>
        </w:rPr>
        <w:t> </w:t>
      </w:r>
      <w:r>
        <w:rPr>
          <w:rFonts w:ascii="UKIJ CJK"/>
          <w:color w:val="231F20"/>
          <w:spacing w:val="-2"/>
          <w:w w:val="110"/>
        </w:rPr>
        <w:t>&lt;</w:t>
      </w:r>
      <w:r>
        <w:rPr>
          <w:rFonts w:ascii="UKIJ CJK"/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0.05)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urine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concentration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urea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when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compared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the </w:t>
      </w:r>
      <w:r>
        <w:rPr>
          <w:color w:val="231F20"/>
          <w:w w:val="110"/>
        </w:rPr>
        <w:t>toxic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control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group,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not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significantly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different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from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control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rats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(</w:t>
      </w:r>
      <w:hyperlink w:history="true" w:anchor="_bookmark7">
        <w:r>
          <w:rPr>
            <w:color w:val="00699D"/>
            <w:spacing w:val="-2"/>
            <w:w w:val="110"/>
          </w:rPr>
          <w:t>Fig.</w:t>
        </w:r>
        <w:r>
          <w:rPr>
            <w:color w:val="00699D"/>
            <w:spacing w:val="-9"/>
            <w:w w:val="110"/>
          </w:rPr>
          <w:t> </w:t>
        </w:r>
        <w:r>
          <w:rPr>
            <w:color w:val="00699D"/>
            <w:spacing w:val="-2"/>
            <w:w w:val="110"/>
          </w:rPr>
          <w:t>5</w:t>
        </w:r>
      </w:hyperlink>
      <w:r>
        <w:rPr>
          <w:color w:val="231F20"/>
          <w:spacing w:val="-2"/>
          <w:w w:val="110"/>
        </w:rPr>
        <w:t>).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urine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total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protein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concentration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toxic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control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significantly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higher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(p</w:t>
      </w:r>
      <w:r>
        <w:rPr>
          <w:color w:val="231F20"/>
          <w:spacing w:val="-11"/>
          <w:w w:val="110"/>
        </w:rPr>
        <w:t> </w:t>
      </w:r>
      <w:r>
        <w:rPr>
          <w:rFonts w:ascii="UKIJ CJK"/>
          <w:color w:val="231F20"/>
          <w:w w:val="110"/>
        </w:rPr>
        <w:t>&lt;</w:t>
      </w:r>
      <w:r>
        <w:rPr>
          <w:rFonts w:ascii="UKIJ CJK"/>
          <w:color w:val="231F20"/>
          <w:spacing w:val="-11"/>
          <w:w w:val="110"/>
        </w:rPr>
        <w:t> </w:t>
      </w:r>
      <w:r>
        <w:rPr>
          <w:color w:val="231F20"/>
          <w:w w:val="110"/>
        </w:rPr>
        <w:t>0.05)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when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com- </w:t>
      </w:r>
      <w:r>
        <w:rPr>
          <w:color w:val="231F20"/>
          <w:spacing w:val="-4"/>
          <w:w w:val="110"/>
        </w:rPr>
        <w:t>pared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control group (</w:t>
      </w:r>
      <w:hyperlink w:history="true" w:anchor="_bookmark7">
        <w:r>
          <w:rPr>
            <w:color w:val="00699D"/>
            <w:spacing w:val="-4"/>
            <w:w w:val="110"/>
          </w:rPr>
          <w:t>Fig.</w:t>
        </w:r>
        <w:r>
          <w:rPr>
            <w:color w:val="00699D"/>
            <w:spacing w:val="-7"/>
            <w:w w:val="110"/>
          </w:rPr>
          <w:t> </w:t>
        </w:r>
        <w:r>
          <w:rPr>
            <w:color w:val="00699D"/>
            <w:spacing w:val="-4"/>
            <w:w w:val="110"/>
          </w:rPr>
          <w:t>6</w:t>
        </w:r>
      </w:hyperlink>
      <w:r>
        <w:rPr>
          <w:color w:val="231F20"/>
          <w:spacing w:val="-4"/>
          <w:w w:val="110"/>
        </w:rPr>
        <w:t>).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toxic recovery group had</w:t>
      </w:r>
      <w:r>
        <w:rPr>
          <w:color w:val="231F20"/>
          <w:spacing w:val="-2"/>
          <w:w w:val="110"/>
        </w:rPr>
        <w:t> urine total protein concentration which was significantly lower </w:t>
      </w:r>
      <w:r>
        <w:rPr>
          <w:color w:val="231F20"/>
          <w:w w:val="110"/>
        </w:rPr>
        <w:t>(p</w:t>
      </w:r>
      <w:r>
        <w:rPr>
          <w:color w:val="231F20"/>
          <w:spacing w:val="-11"/>
          <w:w w:val="110"/>
        </w:rPr>
        <w:t> </w:t>
      </w:r>
      <w:r>
        <w:rPr>
          <w:rFonts w:ascii="UKIJ CJK"/>
          <w:color w:val="231F20"/>
          <w:w w:val="110"/>
        </w:rPr>
        <w:t>&lt;</w:t>
      </w:r>
      <w:r>
        <w:rPr>
          <w:rFonts w:ascii="UKIJ CJK"/>
          <w:color w:val="231F20"/>
          <w:spacing w:val="-12"/>
          <w:w w:val="110"/>
        </w:rPr>
        <w:t> </w:t>
      </w:r>
      <w:r>
        <w:rPr>
          <w:color w:val="231F20"/>
          <w:w w:val="110"/>
        </w:rPr>
        <w:t>0.05)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than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control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toxic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control.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group </w:t>
      </w:r>
      <w:r>
        <w:rPr>
          <w:color w:val="231F20"/>
          <w:spacing w:val="-2"/>
          <w:w w:val="110"/>
        </w:rPr>
        <w:t>treated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100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mg/kg/day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AOGL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had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significantly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higher </w:t>
      </w:r>
      <w:r>
        <w:rPr>
          <w:color w:val="231F20"/>
          <w:w w:val="110"/>
        </w:rPr>
        <w:t>(p</w:t>
      </w:r>
      <w:r>
        <w:rPr>
          <w:color w:val="231F20"/>
          <w:spacing w:val="-11"/>
          <w:w w:val="110"/>
        </w:rPr>
        <w:t> </w:t>
      </w:r>
      <w:r>
        <w:rPr>
          <w:rFonts w:ascii="UKIJ CJK"/>
          <w:color w:val="231F20"/>
          <w:w w:val="110"/>
        </w:rPr>
        <w:t>&lt;</w:t>
      </w:r>
      <w:r>
        <w:rPr>
          <w:rFonts w:ascii="UKIJ CJK"/>
          <w:color w:val="231F20"/>
          <w:spacing w:val="-12"/>
          <w:w w:val="110"/>
        </w:rPr>
        <w:t> </w:t>
      </w:r>
      <w:r>
        <w:rPr>
          <w:color w:val="231F20"/>
          <w:w w:val="110"/>
        </w:rPr>
        <w:t>0.05)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urine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total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protein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concentration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when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compared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to </w:t>
      </w:r>
      <w:r>
        <w:rPr>
          <w:color w:val="231F20"/>
        </w:rPr>
        <w:t>the toxic recovery group, which was significantly lower (p </w:t>
      </w:r>
      <w:r>
        <w:rPr>
          <w:rFonts w:ascii="UKIJ CJK"/>
          <w:color w:val="231F20"/>
        </w:rPr>
        <w:t>&lt; </w:t>
      </w:r>
      <w:r>
        <w:rPr>
          <w:color w:val="231F20"/>
        </w:rPr>
        <w:t>0.05)</w:t>
      </w:r>
      <w:r>
        <w:rPr>
          <w:color w:val="231F20"/>
          <w:w w:val="110"/>
        </w:rPr>
        <w:t> than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toxic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control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group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7">
        <w:r>
          <w:rPr>
            <w:color w:val="00699D"/>
            <w:w w:val="110"/>
          </w:rPr>
          <w:t>Fig. 6</w:t>
        </w:r>
      </w:hyperlink>
      <w:r>
        <w:rPr>
          <w:color w:val="231F20"/>
          <w:w w:val="110"/>
        </w:rPr>
        <w:t>).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plasma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2"/>
          <w:w w:val="110"/>
        </w:rPr>
        <w:t>total</w:t>
      </w:r>
    </w:p>
    <w:p>
      <w:pPr>
        <w:pStyle w:val="BodyText"/>
        <w:spacing w:line="244" w:lineRule="auto" w:before="101"/>
        <w:ind w:left="237" w:right="116"/>
        <w:jc w:val="both"/>
      </w:pPr>
      <w:r>
        <w:rPr/>
        <w:br w:type="column"/>
      </w:r>
      <w:r>
        <w:rPr>
          <w:color w:val="231F20"/>
          <w:w w:val="110"/>
        </w:rPr>
        <w:t>protein</w:t>
      </w:r>
      <w:r>
        <w:rPr>
          <w:color w:val="231F20"/>
          <w:w w:val="110"/>
        </w:rPr>
        <w:t> concentration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rats</w:t>
      </w:r>
      <w:r>
        <w:rPr>
          <w:color w:val="231F20"/>
          <w:w w:val="110"/>
        </w:rPr>
        <w:t> treated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400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mg/kg/day</w:t>
      </w:r>
      <w:r>
        <w:rPr>
          <w:color w:val="231F20"/>
          <w:w w:val="110"/>
        </w:rPr>
        <w:t> of AOGL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significantly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higher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(p</w:t>
      </w:r>
      <w:r>
        <w:rPr>
          <w:color w:val="231F20"/>
          <w:spacing w:val="-11"/>
          <w:w w:val="110"/>
        </w:rPr>
        <w:t> </w:t>
      </w:r>
      <w:r>
        <w:rPr>
          <w:rFonts w:ascii="UKIJ CJK"/>
          <w:color w:val="231F20"/>
          <w:w w:val="110"/>
        </w:rPr>
        <w:t>&lt;</w:t>
      </w:r>
      <w:r>
        <w:rPr>
          <w:rFonts w:ascii="UKIJ CJK"/>
          <w:color w:val="231F20"/>
          <w:spacing w:val="-12"/>
          <w:w w:val="110"/>
        </w:rPr>
        <w:t> </w:t>
      </w:r>
      <w:r>
        <w:rPr>
          <w:color w:val="231F20"/>
          <w:w w:val="110"/>
        </w:rPr>
        <w:t>0.05)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than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toxic recovery group.</w:t>
      </w:r>
    </w:p>
    <w:p>
      <w:pPr>
        <w:pStyle w:val="BodyText"/>
        <w:spacing w:before="88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Relative</w:t>
      </w:r>
      <w:r>
        <w:rPr>
          <w:i/>
          <w:color w:val="231F20"/>
          <w:spacing w:val="8"/>
        </w:rPr>
        <w:t> </w:t>
      </w:r>
      <w:r>
        <w:rPr>
          <w:i/>
          <w:color w:val="231F20"/>
          <w:w w:val="85"/>
        </w:rPr>
        <w:t>kidney</w:t>
      </w:r>
      <w:r>
        <w:rPr>
          <w:i/>
          <w:color w:val="231F20"/>
          <w:spacing w:val="9"/>
        </w:rPr>
        <w:t> </w:t>
      </w:r>
      <w:r>
        <w:rPr>
          <w:i/>
          <w:color w:val="231F20"/>
          <w:w w:val="85"/>
        </w:rPr>
        <w:t>weight,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w w:val="85"/>
        </w:rPr>
        <w:t>TBARS</w:t>
      </w:r>
      <w:r>
        <w:rPr>
          <w:i/>
          <w:color w:val="231F20"/>
          <w:spacing w:val="8"/>
        </w:rPr>
        <w:t> </w:t>
      </w:r>
      <w:r>
        <w:rPr>
          <w:i/>
          <w:color w:val="231F20"/>
          <w:w w:val="85"/>
        </w:rPr>
        <w:t>and</w:t>
      </w:r>
      <w:r>
        <w:rPr>
          <w:i/>
          <w:color w:val="231F20"/>
          <w:spacing w:val="9"/>
        </w:rPr>
        <w:t> </w:t>
      </w:r>
      <w:r>
        <w:rPr>
          <w:i/>
          <w:color w:val="231F20"/>
          <w:spacing w:val="-5"/>
          <w:w w:val="85"/>
        </w:rPr>
        <w:t>GSH</w:t>
      </w:r>
    </w:p>
    <w:p>
      <w:pPr>
        <w:pStyle w:val="BodyText"/>
        <w:spacing w:before="34"/>
        <w:rPr>
          <w:b/>
          <w:i/>
          <w:sz w:val="17"/>
        </w:rPr>
      </w:pPr>
    </w:p>
    <w:p>
      <w:pPr>
        <w:pStyle w:val="BodyText"/>
        <w:spacing w:line="230" w:lineRule="exact"/>
        <w:ind w:left="237" w:right="112"/>
        <w:jc w:val="both"/>
      </w:pPr>
      <w:r>
        <w:rPr>
          <w:color w:val="231F20"/>
          <w:w w:val="110"/>
        </w:rPr>
        <w:t>A</w:t>
      </w:r>
      <w:r>
        <w:rPr>
          <w:color w:val="231F20"/>
          <w:w w:val="110"/>
        </w:rPr>
        <w:t> significant</w:t>
      </w:r>
      <w:r>
        <w:rPr>
          <w:color w:val="231F20"/>
          <w:w w:val="110"/>
        </w:rPr>
        <w:t> increase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relative</w:t>
      </w:r>
      <w:r>
        <w:rPr>
          <w:color w:val="231F20"/>
          <w:w w:val="110"/>
        </w:rPr>
        <w:t> kidney</w:t>
      </w:r>
      <w:r>
        <w:rPr>
          <w:color w:val="231F20"/>
          <w:w w:val="110"/>
        </w:rPr>
        <w:t> weight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ob- served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toxic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control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group,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toxic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recovery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group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 AOGL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treated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rats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when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compared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control</w:t>
      </w:r>
      <w:r>
        <w:rPr>
          <w:color w:val="231F20"/>
          <w:spacing w:val="35"/>
          <w:w w:val="110"/>
        </w:rPr>
        <w:t> </w:t>
      </w:r>
      <w:r>
        <w:rPr>
          <w:color w:val="231F20"/>
          <w:w w:val="110"/>
        </w:rPr>
        <w:t>group (p </w:t>
      </w:r>
      <w:r>
        <w:rPr>
          <w:rFonts w:ascii="UKIJ CJK"/>
          <w:color w:val="231F20"/>
          <w:w w:val="110"/>
        </w:rPr>
        <w:t>&lt; </w:t>
      </w:r>
      <w:r>
        <w:rPr>
          <w:color w:val="231F20"/>
          <w:w w:val="110"/>
        </w:rPr>
        <w:t>0.05) (</w:t>
      </w:r>
      <w:hyperlink w:history="true" w:anchor="_bookmark8">
        <w:r>
          <w:rPr>
            <w:color w:val="00699D"/>
            <w:w w:val="110"/>
          </w:rPr>
          <w:t>Fig. 7</w:t>
        </w:r>
      </w:hyperlink>
      <w:r>
        <w:rPr>
          <w:color w:val="231F20"/>
          <w:w w:val="110"/>
        </w:rPr>
        <w:t>).</w:t>
      </w:r>
    </w:p>
    <w:p>
      <w:pPr>
        <w:pStyle w:val="BodyText"/>
        <w:spacing w:line="244" w:lineRule="auto" w:before="35"/>
        <w:ind w:left="237" w:right="114" w:firstLine="239"/>
        <w:jc w:val="both"/>
      </w:pPr>
      <w:r>
        <w:rPr>
          <w:color w:val="231F20"/>
          <w:w w:val="105"/>
        </w:rPr>
        <w:t>The TBARS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GSH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toxic</w:t>
      </w:r>
      <w:r>
        <w:rPr>
          <w:color w:val="231F20"/>
          <w:w w:val="105"/>
        </w:rPr>
        <w:t> control</w:t>
      </w:r>
      <w:r>
        <w:rPr>
          <w:color w:val="231F20"/>
          <w:w w:val="105"/>
        </w:rPr>
        <w:t> group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sig- nificantly</w:t>
      </w:r>
      <w:r>
        <w:rPr>
          <w:color w:val="231F20"/>
          <w:w w:val="105"/>
        </w:rPr>
        <w:t> higher</w:t>
      </w:r>
      <w:r>
        <w:rPr>
          <w:color w:val="231F20"/>
          <w:w w:val="105"/>
        </w:rPr>
        <w:t> (p </w:t>
      </w:r>
      <w:r>
        <w:rPr>
          <w:rFonts w:ascii="UKIJ CJK"/>
          <w:color w:val="231F20"/>
          <w:w w:val="105"/>
        </w:rPr>
        <w:t>&lt; </w:t>
      </w:r>
      <w:r>
        <w:rPr>
          <w:color w:val="231F20"/>
          <w:w w:val="105"/>
        </w:rPr>
        <w:t>0.05)</w:t>
      </w:r>
      <w:r>
        <w:rPr>
          <w:color w:val="231F20"/>
          <w:w w:val="105"/>
        </w:rPr>
        <w:t> when</w:t>
      </w:r>
      <w:r>
        <w:rPr>
          <w:color w:val="231F20"/>
          <w:w w:val="105"/>
        </w:rPr>
        <w:t> compared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control group, while the TBARS and GSH of the toxic recovery </w:t>
      </w:r>
      <w:r>
        <w:rPr>
          <w:color w:val="231F20"/>
          <w:w w:val="105"/>
        </w:rPr>
        <w:t>group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w w:val="105"/>
        </w:rPr>
        <w:t> rats</w:t>
      </w:r>
      <w:r>
        <w:rPr>
          <w:color w:val="231F20"/>
          <w:w w:val="105"/>
        </w:rPr>
        <w:t> treated</w:t>
      </w:r>
      <w:r>
        <w:rPr>
          <w:color w:val="231F20"/>
          <w:w w:val="105"/>
        </w:rPr>
        <w:t> with AOGL</w:t>
      </w:r>
      <w:r>
        <w:rPr>
          <w:color w:val="231F20"/>
          <w:w w:val="105"/>
        </w:rPr>
        <w:t> decreased</w:t>
      </w:r>
      <w:r>
        <w:rPr>
          <w:color w:val="231F20"/>
          <w:w w:val="105"/>
        </w:rPr>
        <w:t> significantly</w:t>
      </w:r>
      <w:r>
        <w:rPr>
          <w:color w:val="231F20"/>
          <w:w w:val="105"/>
        </w:rPr>
        <w:t> (p </w:t>
      </w:r>
      <w:r>
        <w:rPr>
          <w:rFonts w:ascii="UKIJ CJK"/>
          <w:color w:val="231F20"/>
          <w:w w:val="105"/>
        </w:rPr>
        <w:t>&lt; </w:t>
      </w:r>
      <w:r>
        <w:rPr>
          <w:color w:val="231F20"/>
          <w:w w:val="105"/>
        </w:rPr>
        <w:t>0.05) when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compared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toxic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control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group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8">
        <w:r>
          <w:rPr>
            <w:color w:val="00699D"/>
            <w:w w:val="105"/>
          </w:rPr>
          <w:t>Figs.</w:t>
        </w:r>
        <w:r>
          <w:rPr>
            <w:color w:val="00699D"/>
            <w:spacing w:val="24"/>
            <w:w w:val="105"/>
          </w:rPr>
          <w:t> </w:t>
        </w:r>
        <w:r>
          <w:rPr>
            <w:color w:val="00699D"/>
            <w:w w:val="105"/>
          </w:rPr>
          <w:t>8</w:t>
        </w:r>
        <w:r>
          <w:rPr>
            <w:color w:val="00699D"/>
            <w:spacing w:val="32"/>
            <w:w w:val="105"/>
          </w:rPr>
          <w:t> </w:t>
        </w:r>
        <w:r>
          <w:rPr>
            <w:color w:val="00699D"/>
            <w:w w:val="105"/>
          </w:rPr>
          <w:t>and</w:t>
        </w:r>
        <w:r>
          <w:rPr>
            <w:color w:val="00699D"/>
            <w:spacing w:val="32"/>
            <w:w w:val="105"/>
          </w:rPr>
          <w:t> </w:t>
        </w:r>
        <w:r>
          <w:rPr>
            <w:color w:val="00699D"/>
            <w:w w:val="105"/>
          </w:rPr>
          <w:t>9</w:t>
        </w:r>
      </w:hyperlink>
      <w:r>
        <w:rPr>
          <w:color w:val="231F20"/>
          <w:w w:val="105"/>
        </w:rPr>
        <w:t>).</w:t>
      </w:r>
    </w:p>
    <w:p>
      <w:pPr>
        <w:spacing w:after="0" w:line="244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68" w:space="92"/>
            <w:col w:w="5150"/>
          </w:cols>
        </w:sectPr>
      </w:pPr>
    </w:p>
    <w:p>
      <w:pPr>
        <w:pStyle w:val="BodyText"/>
        <w:spacing w:before="211"/>
        <w:rPr>
          <w:sz w:val="20"/>
        </w:rPr>
      </w:pPr>
    </w:p>
    <w:p>
      <w:pPr>
        <w:pStyle w:val="BodyText"/>
        <w:ind w:left="1909"/>
        <w:rPr>
          <w:sz w:val="20"/>
        </w:rPr>
      </w:pPr>
      <w:r>
        <w:rPr>
          <w:sz w:val="20"/>
        </w:rPr>
        <w:drawing>
          <wp:inline distT="0" distB="0" distL="0" distR="0">
            <wp:extent cx="4195924" cy="2584704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5924" cy="25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8"/>
      </w:pPr>
    </w:p>
    <w:p>
      <w:pPr>
        <w:spacing w:line="271" w:lineRule="auto" w:before="0"/>
        <w:ind w:left="237" w:right="218" w:firstLine="0"/>
        <w:jc w:val="left"/>
        <w:rPr>
          <w:b/>
          <w:sz w:val="16"/>
        </w:rPr>
      </w:pPr>
      <w:r>
        <w:rPr>
          <w:b/>
          <w:color w:val="231F20"/>
          <w:spacing w:val="-4"/>
          <w:sz w:val="16"/>
        </w:rPr>
        <w:t>Fig. 2 – Effect of aqueous extract of </w:t>
      </w:r>
      <w:r>
        <w:rPr>
          <w:b/>
          <w:i/>
          <w:color w:val="231F20"/>
          <w:spacing w:val="-4"/>
          <w:sz w:val="16"/>
        </w:rPr>
        <w:t>Ocimum gratissimum </w:t>
      </w:r>
      <w:r>
        <w:rPr>
          <w:b/>
          <w:color w:val="231F20"/>
          <w:spacing w:val="-4"/>
          <w:sz w:val="16"/>
        </w:rPr>
        <w:t>on plasma urea in gentamicin-induced kidney injury in rats.</w:t>
      </w:r>
      <w:r>
        <w:rPr>
          <w:b/>
          <w:color w:val="231F20"/>
          <w:spacing w:val="-12"/>
          <w:sz w:val="16"/>
        </w:rPr>
        <w:t> </w:t>
      </w:r>
      <w:r>
        <w:rPr>
          <w:b/>
          <w:color w:val="231F20"/>
          <w:spacing w:val="-4"/>
          <w:sz w:val="16"/>
        </w:rPr>
        <w:t>Values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2"/>
          <w:sz w:val="16"/>
        </w:rPr>
        <w:t>are given as mean </w:t>
      </w:r>
      <w:r>
        <w:rPr>
          <w:rFonts w:ascii="Noto Serif" w:hAnsi="Noto Serif"/>
          <w:b/>
          <w:color w:val="231F20"/>
          <w:spacing w:val="-2"/>
          <w:sz w:val="16"/>
        </w:rPr>
        <w:t>±</w:t>
      </w:r>
      <w:r>
        <w:rPr>
          <w:rFonts w:ascii="Noto Serif" w:hAnsi="Noto Serif"/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SEM.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* </w:t>
      </w:r>
      <w:r>
        <w:rPr>
          <w:rFonts w:ascii="Noto Serif" w:hAnsi="Noto Serif"/>
          <w:b/>
          <w:color w:val="231F20"/>
          <w:spacing w:val="-2"/>
          <w:sz w:val="16"/>
        </w:rPr>
        <w:t>=</w:t>
      </w:r>
      <w:r>
        <w:rPr>
          <w:rFonts w:ascii="Noto Serif" w:hAnsi="Noto Serif"/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Significantly different from control.</w:t>
      </w:r>
      <w:r>
        <w:rPr>
          <w:b/>
          <w:color w:val="231F20"/>
          <w:spacing w:val="-7"/>
          <w:sz w:val="16"/>
        </w:rPr>
        <w:t> </w:t>
      </w:r>
      <w:r>
        <w:rPr>
          <w:rFonts w:ascii="Noto Serif" w:hAnsi="Noto Serif"/>
          <w:b/>
          <w:color w:val="231F20"/>
          <w:spacing w:val="-2"/>
          <w:sz w:val="16"/>
        </w:rPr>
        <w:t>γ</w:t>
      </w:r>
      <w:r>
        <w:rPr>
          <w:rFonts w:ascii="Noto Serif" w:hAnsi="Noto Serif"/>
          <w:b/>
          <w:color w:val="231F20"/>
          <w:spacing w:val="-7"/>
          <w:sz w:val="16"/>
        </w:rPr>
        <w:t> </w:t>
      </w:r>
      <w:r>
        <w:rPr>
          <w:rFonts w:ascii="Noto Serif" w:hAnsi="Noto Serif"/>
          <w:b/>
          <w:color w:val="231F20"/>
          <w:spacing w:val="-2"/>
          <w:sz w:val="16"/>
        </w:rPr>
        <w:t>=</w:t>
      </w:r>
      <w:r>
        <w:rPr>
          <w:rFonts w:ascii="Noto Serif" w:hAnsi="Noto Serif"/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Significantly different from toxic control (p </w:t>
      </w:r>
      <w:r>
        <w:rPr>
          <w:rFonts w:ascii="Noto Serif" w:hAnsi="Noto Serif"/>
          <w:b/>
          <w:color w:val="231F20"/>
          <w:spacing w:val="-2"/>
          <w:sz w:val="16"/>
        </w:rPr>
        <w:t>&lt;</w:t>
      </w:r>
      <w:r>
        <w:rPr>
          <w:rFonts w:ascii="Noto Serif" w:hAnsi="Noto Serif"/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0.05).</w:t>
      </w:r>
    </w:p>
    <w:p>
      <w:pPr>
        <w:spacing w:after="0" w:line="271" w:lineRule="auto"/>
        <w:jc w:val="left"/>
        <w:rPr>
          <w:sz w:val="16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72"/>
        <w:rPr>
          <w:b/>
          <w:sz w:val="20"/>
        </w:rPr>
      </w:pPr>
    </w:p>
    <w:p>
      <w:pPr>
        <w:pStyle w:val="BodyText"/>
        <w:ind w:left="1788"/>
        <w:rPr>
          <w:sz w:val="20"/>
        </w:rPr>
      </w:pPr>
      <w:r>
        <w:rPr>
          <w:sz w:val="20"/>
        </w:rPr>
        <w:drawing>
          <wp:inline distT="0" distB="0" distL="0" distR="0">
            <wp:extent cx="4212110" cy="2584704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10" cy="25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6"/>
        <w:rPr>
          <w:b/>
        </w:rPr>
      </w:pPr>
    </w:p>
    <w:p>
      <w:pPr>
        <w:spacing w:line="271" w:lineRule="auto" w:before="0"/>
        <w:ind w:left="116" w:right="362" w:firstLine="0"/>
        <w:jc w:val="left"/>
        <w:rPr>
          <w:b/>
          <w:sz w:val="16"/>
        </w:rPr>
      </w:pPr>
      <w:bookmarkStart w:name="_bookmark6" w:id="30"/>
      <w:bookmarkEnd w:id="30"/>
      <w:r>
        <w:rPr/>
      </w:r>
      <w:r>
        <w:rPr>
          <w:b/>
          <w:color w:val="231F20"/>
          <w:spacing w:val="-4"/>
          <w:sz w:val="16"/>
        </w:rPr>
        <w:t>Fig. 3 – Effect of aqueous extract of </w:t>
      </w:r>
      <w:r>
        <w:rPr>
          <w:b/>
          <w:i/>
          <w:color w:val="231F20"/>
          <w:spacing w:val="-4"/>
          <w:sz w:val="16"/>
        </w:rPr>
        <w:t>Ocimum gratissimum </w:t>
      </w:r>
      <w:r>
        <w:rPr>
          <w:b/>
          <w:color w:val="231F20"/>
          <w:spacing w:val="-4"/>
          <w:sz w:val="16"/>
        </w:rPr>
        <w:t>on plasma total protein in gentamicin-induced kidney injury in</w:t>
      </w:r>
      <w:r>
        <w:rPr>
          <w:b/>
          <w:color w:val="231F20"/>
          <w:sz w:val="16"/>
        </w:rPr>
        <w:t> r</w:t>
      </w:r>
      <w:bookmarkStart w:name=" Creatinine clearance" w:id="31"/>
      <w:bookmarkEnd w:id="31"/>
      <w:r>
        <w:rPr>
          <w:b/>
          <w:color w:val="231F20"/>
          <w:sz w:val="16"/>
        </w:rPr>
        <w:t>a</w:t>
      </w:r>
      <w:r>
        <w:rPr>
          <w:b/>
          <w:color w:val="231F20"/>
          <w:sz w:val="16"/>
        </w:rPr>
        <w:t>ts.</w:t>
      </w:r>
      <w:r>
        <w:rPr>
          <w:b/>
          <w:color w:val="231F20"/>
          <w:spacing w:val="-12"/>
          <w:sz w:val="16"/>
        </w:rPr>
        <w:t> </w:t>
      </w:r>
      <w:r>
        <w:rPr>
          <w:b/>
          <w:color w:val="231F20"/>
          <w:sz w:val="16"/>
        </w:rPr>
        <w:t>Values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are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given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as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mean</w:t>
      </w:r>
      <w:r>
        <w:rPr>
          <w:b/>
          <w:color w:val="231F20"/>
          <w:spacing w:val="-10"/>
          <w:sz w:val="16"/>
        </w:rPr>
        <w:t> </w:t>
      </w:r>
      <w:r>
        <w:rPr>
          <w:rFonts w:ascii="Noto Serif" w:hAnsi="Noto Serif"/>
          <w:b/>
          <w:color w:val="231F20"/>
          <w:sz w:val="16"/>
        </w:rPr>
        <w:t>±</w:t>
      </w:r>
      <w:r>
        <w:rPr>
          <w:rFonts w:ascii="Noto Serif" w:hAnsi="Noto Serif"/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SEM.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*</w:t>
      </w:r>
      <w:r>
        <w:rPr>
          <w:b/>
          <w:color w:val="231F20"/>
          <w:spacing w:val="-9"/>
          <w:sz w:val="16"/>
        </w:rPr>
        <w:t> </w:t>
      </w:r>
      <w:r>
        <w:rPr>
          <w:rFonts w:ascii="Noto Serif" w:hAnsi="Noto Serif"/>
          <w:b/>
          <w:color w:val="231F20"/>
          <w:sz w:val="16"/>
        </w:rPr>
        <w:t>=</w:t>
      </w:r>
      <w:r>
        <w:rPr>
          <w:rFonts w:ascii="Noto Serif" w:hAnsi="Noto Serif"/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Significantly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different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from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control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(p</w:t>
      </w:r>
      <w:r>
        <w:rPr>
          <w:b/>
          <w:color w:val="231F20"/>
          <w:spacing w:val="-9"/>
          <w:sz w:val="16"/>
        </w:rPr>
        <w:t> </w:t>
      </w:r>
      <w:r>
        <w:rPr>
          <w:rFonts w:ascii="Noto Serif" w:hAnsi="Noto Serif"/>
          <w:b/>
          <w:color w:val="231F20"/>
          <w:sz w:val="16"/>
        </w:rPr>
        <w:t>&lt;</w:t>
      </w:r>
      <w:r>
        <w:rPr>
          <w:rFonts w:ascii="Noto Serif" w:hAnsi="Noto Serif"/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0.05).</w:t>
      </w:r>
    </w:p>
    <w:p>
      <w:pPr>
        <w:pStyle w:val="BodyText"/>
        <w:spacing w:before="6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581939</wp:posOffset>
                </wp:positionH>
                <wp:positionV relativeFrom="paragraph">
                  <wp:posOffset>106173</wp:posOffset>
                </wp:positionV>
                <wp:extent cx="6318250" cy="1270"/>
                <wp:effectExtent l="0" t="0" r="0" b="0"/>
                <wp:wrapTopAndBottom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360153pt;width:497.5pt;height:.1pt;mso-position-horizontal-relative:page;mso-position-vertical-relative:paragraph;z-index:-15715328;mso-wrap-distance-left:0;mso-wrap-distance-right:0" id="docshape34" coordorigin="916,167" coordsize="9950,0" path="m916,167l10866,16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"/>
        <w:rPr>
          <w:b/>
          <w:sz w:val="17"/>
        </w:rPr>
      </w:pPr>
    </w:p>
    <w:p>
      <w:pPr>
        <w:spacing w:after="0"/>
        <w:rPr>
          <w:sz w:val="17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02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Creatinine</w:t>
      </w:r>
      <w:r>
        <w:rPr>
          <w:i/>
          <w:color w:val="231F20"/>
          <w:spacing w:val="2"/>
        </w:rPr>
        <w:t> </w:t>
      </w:r>
      <w:r>
        <w:rPr>
          <w:i/>
          <w:color w:val="231F20"/>
          <w:spacing w:val="-2"/>
          <w:w w:val="95"/>
        </w:rPr>
        <w:t>clearance</w:t>
      </w:r>
    </w:p>
    <w:p>
      <w:pPr>
        <w:pStyle w:val="BodyText"/>
        <w:spacing w:before="35"/>
        <w:rPr>
          <w:b/>
          <w:i/>
          <w:sz w:val="17"/>
        </w:rPr>
      </w:pPr>
    </w:p>
    <w:p>
      <w:pPr>
        <w:pStyle w:val="BodyText"/>
        <w:spacing w:line="230" w:lineRule="exact"/>
        <w:ind w:left="116" w:right="38"/>
        <w:jc w:val="both"/>
      </w:pP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significant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decrease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renal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creatinine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clearance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ob- served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toxic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control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group,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toxic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recovery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group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 </w:t>
      </w:r>
      <w:bookmarkStart w:name=" Histological examination" w:id="32"/>
      <w:bookmarkEnd w:id="32"/>
      <w:r>
        <w:rPr>
          <w:color w:val="231F20"/>
          <w:w w:val="110"/>
        </w:rPr>
        <w:t>A</w:t>
      </w:r>
      <w:r>
        <w:rPr>
          <w:color w:val="231F20"/>
          <w:w w:val="110"/>
        </w:rPr>
        <w:t>OGL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treated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rats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when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compared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control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group (p </w:t>
      </w:r>
      <w:r>
        <w:rPr>
          <w:rFonts w:ascii="UKIJ CJK"/>
          <w:color w:val="231F20"/>
          <w:w w:val="110"/>
        </w:rPr>
        <w:t>&lt;</w:t>
      </w:r>
      <w:r>
        <w:rPr>
          <w:rFonts w:ascii="UKIJ CJK"/>
          <w:color w:val="231F20"/>
          <w:spacing w:val="-1"/>
          <w:w w:val="110"/>
        </w:rPr>
        <w:t> </w:t>
      </w:r>
      <w:r>
        <w:rPr>
          <w:color w:val="231F20"/>
          <w:w w:val="110"/>
        </w:rPr>
        <w:t>0.05) (</w:t>
      </w:r>
      <w:hyperlink w:history="true" w:anchor="_bookmark9">
        <w:r>
          <w:rPr>
            <w:color w:val="00699D"/>
            <w:w w:val="110"/>
          </w:rPr>
          <w:t>Fig. 10</w:t>
        </w:r>
      </w:hyperlink>
      <w:r>
        <w:rPr>
          <w:color w:val="231F20"/>
          <w:w w:val="110"/>
        </w:rPr>
        <w:t>).</w:t>
      </w:r>
    </w:p>
    <w:p>
      <w:pPr>
        <w:pStyle w:val="BodyText"/>
        <w:spacing w:before="83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" w:after="0"/>
        <w:ind w:left="754" w:right="0" w:hanging="638"/>
        <w:jc w:val="left"/>
        <w:rPr>
          <w:i/>
        </w:rPr>
      </w:pPr>
      <w:r>
        <w:rPr>
          <w:i/>
          <w:color w:val="231F20"/>
          <w:w w:val="80"/>
        </w:rPr>
        <w:t>Histological</w:t>
      </w:r>
      <w:r>
        <w:rPr>
          <w:i/>
          <w:color w:val="231F20"/>
          <w:spacing w:val="39"/>
        </w:rPr>
        <w:t> </w:t>
      </w:r>
      <w:r>
        <w:rPr>
          <w:i/>
          <w:color w:val="231F20"/>
          <w:spacing w:val="-2"/>
          <w:w w:val="95"/>
        </w:rPr>
        <w:t>examination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/>
        <w:ind w:left="116" w:right="40"/>
        <w:jc w:val="both"/>
      </w:pPr>
      <w:r>
        <w:rPr>
          <w:color w:val="231F20"/>
          <w:w w:val="110"/>
        </w:rPr>
        <w:t>The photomicrograph of the toxic control showed decreased cellularity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glomeruli</w:t>
      </w:r>
      <w:r>
        <w:rPr>
          <w:color w:val="231F20"/>
          <w:w w:val="110"/>
        </w:rPr>
        <w:t> (G),</w:t>
      </w:r>
      <w:r>
        <w:rPr>
          <w:color w:val="231F20"/>
          <w:w w:val="110"/>
        </w:rPr>
        <w:t> loss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cellular</w:t>
      </w:r>
      <w:r>
        <w:rPr>
          <w:color w:val="231F20"/>
          <w:w w:val="110"/>
        </w:rPr>
        <w:t> constituents (double arrow) and densely eosinophilic cast in the lumen of the</w:t>
      </w:r>
      <w:r>
        <w:rPr>
          <w:color w:val="231F20"/>
          <w:w w:val="110"/>
        </w:rPr>
        <w:t> tubules</w:t>
      </w:r>
      <w:r>
        <w:rPr>
          <w:color w:val="231F20"/>
          <w:w w:val="110"/>
        </w:rPr>
        <w:t> (dashed</w:t>
      </w:r>
      <w:r>
        <w:rPr>
          <w:color w:val="231F20"/>
          <w:w w:val="110"/>
        </w:rPr>
        <w:t> arrow)</w:t>
      </w:r>
      <w:r>
        <w:rPr>
          <w:color w:val="231F20"/>
          <w:w w:val="110"/>
        </w:rPr>
        <w:t> resulting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atrophy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severe cloudy swelling of the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distal convoluted tubule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(yellow </w:t>
      </w:r>
      <w:r>
        <w:rPr>
          <w:color w:val="231F20"/>
          <w:spacing w:val="-2"/>
          <w:w w:val="110"/>
        </w:rPr>
        <w:t>arrow)</w:t>
      </w:r>
    </w:p>
    <w:p>
      <w:pPr>
        <w:pStyle w:val="BodyText"/>
        <w:spacing w:line="302" w:lineRule="auto" w:before="101"/>
        <w:ind w:left="116" w:right="235"/>
        <w:jc w:val="both"/>
      </w:pPr>
      <w:r>
        <w:rPr/>
        <w:br w:type="column"/>
      </w:r>
      <w:r>
        <w:rPr>
          <w:color w:val="231F20"/>
          <w:w w:val="110"/>
        </w:rPr>
        <w:t>when compared with the control, which showed intact renal corpuscles with normal appearing glomeruli (G) and </w:t>
      </w:r>
      <w:r>
        <w:rPr>
          <w:color w:val="231F20"/>
          <w:w w:val="110"/>
        </w:rPr>
        <w:t>tubules (T), as</w:t>
      </w:r>
      <w:r>
        <w:rPr>
          <w:color w:val="231F20"/>
          <w:w w:val="110"/>
        </w:rPr>
        <w:t> well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intact</w:t>
      </w:r>
      <w:r>
        <w:rPr>
          <w:color w:val="231F20"/>
          <w:w w:val="110"/>
        </w:rPr>
        <w:t> Bowman’s</w:t>
      </w:r>
      <w:r>
        <w:rPr>
          <w:color w:val="231F20"/>
          <w:w w:val="110"/>
        </w:rPr>
        <w:t> space</w:t>
      </w:r>
      <w:r>
        <w:rPr>
          <w:color w:val="231F20"/>
          <w:w w:val="110"/>
        </w:rPr>
        <w:t> (black</w:t>
      </w:r>
      <w:r>
        <w:rPr>
          <w:color w:val="231F20"/>
          <w:w w:val="110"/>
        </w:rPr>
        <w:t> arrow)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epi- thelial lining of Bowman’s capsule (arrowhead) (</w:t>
      </w:r>
      <w:hyperlink w:history="true" w:anchor="_bookmark10">
        <w:r>
          <w:rPr>
            <w:color w:val="00699D"/>
            <w:w w:val="110"/>
          </w:rPr>
          <w:t>Figs. 11 and</w:t>
        </w:r>
      </w:hyperlink>
      <w:r>
        <w:rPr>
          <w:color w:val="00699D"/>
          <w:w w:val="110"/>
        </w:rPr>
        <w:t> </w:t>
      </w:r>
      <w:hyperlink w:history="true" w:anchor="_bookmark10">
        <w:r>
          <w:rPr>
            <w:color w:val="00699D"/>
            <w:w w:val="110"/>
          </w:rPr>
          <w:t>12</w:t>
        </w:r>
      </w:hyperlink>
      <w:r>
        <w:rPr>
          <w:color w:val="231F20"/>
          <w:w w:val="110"/>
        </w:rPr>
        <w:t>), while the toxic recovery group showed marked decrease cellularity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glomeruli,</w:t>
      </w:r>
      <w:r>
        <w:rPr>
          <w:color w:val="231F20"/>
          <w:w w:val="110"/>
        </w:rPr>
        <w:t> loss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cellular</w:t>
      </w:r>
      <w:r>
        <w:rPr>
          <w:color w:val="231F20"/>
          <w:w w:val="110"/>
        </w:rPr>
        <w:t> constituents</w:t>
      </w:r>
      <w:r>
        <w:rPr>
          <w:color w:val="231F20"/>
          <w:w w:val="110"/>
        </w:rPr>
        <w:t> of tubules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(double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arrow),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densely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eosinophilic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(‘colloid’)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cast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 the</w:t>
      </w:r>
      <w:r>
        <w:rPr>
          <w:color w:val="231F20"/>
          <w:w w:val="110"/>
        </w:rPr>
        <w:t> lumen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some</w:t>
      </w:r>
      <w:r>
        <w:rPr>
          <w:color w:val="231F20"/>
          <w:w w:val="110"/>
        </w:rPr>
        <w:t> tubules</w:t>
      </w:r>
      <w:r>
        <w:rPr>
          <w:color w:val="231F20"/>
          <w:w w:val="110"/>
        </w:rPr>
        <w:t> (dashed</w:t>
      </w:r>
      <w:r>
        <w:rPr>
          <w:color w:val="231F20"/>
          <w:w w:val="110"/>
        </w:rPr>
        <w:t> arrow), cloudy</w:t>
      </w:r>
      <w:r>
        <w:rPr>
          <w:color w:val="231F20"/>
          <w:w w:val="110"/>
        </w:rPr>
        <w:t> swelling/ inflammation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proximal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distal</w:t>
      </w:r>
      <w:r>
        <w:rPr>
          <w:color w:val="231F20"/>
          <w:w w:val="110"/>
        </w:rPr>
        <w:t> convoluted</w:t>
      </w:r>
      <w:r>
        <w:rPr>
          <w:color w:val="231F20"/>
          <w:w w:val="110"/>
        </w:rPr>
        <w:t> tubules (yellow arrow) (</w:t>
      </w:r>
      <w:hyperlink w:history="true" w:anchor="_bookmark10">
        <w:r>
          <w:rPr>
            <w:color w:val="00699D"/>
            <w:w w:val="110"/>
          </w:rPr>
          <w:t>Fig. 13</w:t>
        </w:r>
      </w:hyperlink>
      <w:r>
        <w:rPr>
          <w:color w:val="231F20"/>
          <w:w w:val="110"/>
        </w:rPr>
        <w:t>).</w:t>
      </w:r>
    </w:p>
    <w:p>
      <w:pPr>
        <w:pStyle w:val="BodyText"/>
        <w:spacing w:line="302" w:lineRule="auto" w:before="5"/>
        <w:ind w:left="116" w:right="233" w:firstLine="239"/>
        <w:jc w:val="both"/>
      </w:pPr>
      <w:r>
        <w:rPr>
          <w:color w:val="231F20"/>
          <w:w w:val="110"/>
        </w:rPr>
        <w:t>The photomicrographs of the kidneys of rats treated with graded</w:t>
      </w:r>
      <w:r>
        <w:rPr>
          <w:color w:val="231F20"/>
          <w:w w:val="110"/>
        </w:rPr>
        <w:t> doses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AOGL</w:t>
      </w:r>
      <w:r>
        <w:rPr>
          <w:color w:val="231F20"/>
          <w:w w:val="110"/>
        </w:rPr>
        <w:t> revealed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glomeruli</w:t>
      </w:r>
      <w:r>
        <w:rPr>
          <w:color w:val="231F20"/>
          <w:w w:val="110"/>
        </w:rPr>
        <w:t> (G)</w:t>
      </w:r>
      <w:r>
        <w:rPr>
          <w:color w:val="231F20"/>
          <w:w w:val="110"/>
        </w:rPr>
        <w:t> and surrounding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Bowman’s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space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(black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arrow)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mostly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intact. There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slight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loss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cellular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constituents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tubules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3"/>
          <w:w w:val="110"/>
        </w:rPr>
        <w:t> </w:t>
      </w:r>
      <w:r>
        <w:rPr>
          <w:color w:val="231F20"/>
          <w:spacing w:val="-5"/>
          <w:w w:val="110"/>
        </w:rPr>
        <w:t>no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0" w:space="210"/>
            <w:col w:w="51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7"/>
        <w:rPr>
          <w:sz w:val="20"/>
        </w:rPr>
      </w:pPr>
    </w:p>
    <w:p>
      <w:pPr>
        <w:pStyle w:val="BodyText"/>
        <w:ind w:left="1788"/>
        <w:rPr>
          <w:sz w:val="20"/>
        </w:rPr>
      </w:pPr>
      <w:r>
        <w:rPr>
          <w:sz w:val="20"/>
        </w:rPr>
        <w:drawing>
          <wp:inline distT="0" distB="0" distL="0" distR="0">
            <wp:extent cx="4198453" cy="2487168"/>
            <wp:effectExtent l="0" t="0" r="0" b="0"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453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5"/>
      </w:pPr>
    </w:p>
    <w:p>
      <w:pPr>
        <w:spacing w:before="1"/>
        <w:ind w:left="116" w:right="0" w:firstLine="0"/>
        <w:jc w:val="left"/>
        <w:rPr>
          <w:b/>
          <w:sz w:val="16"/>
        </w:rPr>
      </w:pPr>
      <w:r>
        <w:rPr>
          <w:b/>
          <w:color w:val="231F20"/>
          <w:spacing w:val="-4"/>
          <w:sz w:val="16"/>
        </w:rPr>
        <w:t>Fig.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4"/>
          <w:sz w:val="16"/>
        </w:rPr>
        <w:t>4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–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4"/>
          <w:sz w:val="16"/>
        </w:rPr>
        <w:t>Effect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of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4"/>
          <w:sz w:val="16"/>
        </w:rPr>
        <w:t>aqueous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extract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4"/>
          <w:sz w:val="16"/>
        </w:rPr>
        <w:t>of</w:t>
      </w:r>
      <w:r>
        <w:rPr>
          <w:b/>
          <w:color w:val="231F20"/>
          <w:spacing w:val="-1"/>
          <w:sz w:val="16"/>
        </w:rPr>
        <w:t> </w:t>
      </w:r>
      <w:r>
        <w:rPr>
          <w:b/>
          <w:i/>
          <w:color w:val="231F20"/>
          <w:spacing w:val="-4"/>
          <w:sz w:val="16"/>
        </w:rPr>
        <w:t>Ocimum</w:t>
      </w:r>
      <w:r>
        <w:rPr>
          <w:b/>
          <w:i/>
          <w:color w:val="231F20"/>
          <w:spacing w:val="-2"/>
          <w:sz w:val="16"/>
        </w:rPr>
        <w:t> </w:t>
      </w:r>
      <w:r>
        <w:rPr>
          <w:b/>
          <w:i/>
          <w:color w:val="231F20"/>
          <w:spacing w:val="-4"/>
          <w:sz w:val="16"/>
        </w:rPr>
        <w:t>gratissimum</w:t>
      </w:r>
      <w:r>
        <w:rPr>
          <w:b/>
          <w:i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on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4"/>
          <w:sz w:val="16"/>
        </w:rPr>
        <w:t>urine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creatinine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4"/>
          <w:sz w:val="16"/>
        </w:rPr>
        <w:t>in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gentamicin-induced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4"/>
          <w:sz w:val="16"/>
        </w:rPr>
        <w:t>kidney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injury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4"/>
          <w:sz w:val="16"/>
        </w:rPr>
        <w:t>in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rats.</w:t>
      </w:r>
    </w:p>
    <w:p>
      <w:pPr>
        <w:spacing w:line="252" w:lineRule="auto" w:before="23"/>
        <w:ind w:left="116" w:right="834" w:firstLine="0"/>
        <w:jc w:val="left"/>
        <w:rPr>
          <w:b/>
          <w:sz w:val="16"/>
        </w:rPr>
      </w:pPr>
      <w:r>
        <w:rPr>
          <w:b/>
          <w:color w:val="231F20"/>
          <w:spacing w:val="-2"/>
          <w:sz w:val="16"/>
        </w:rPr>
        <w:t>Values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are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given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as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mean</w:t>
      </w:r>
      <w:r>
        <w:rPr>
          <w:b/>
          <w:color w:val="231F20"/>
          <w:spacing w:val="-8"/>
          <w:sz w:val="16"/>
        </w:rPr>
        <w:t> </w:t>
      </w:r>
      <w:r>
        <w:rPr>
          <w:rFonts w:ascii="Noto Serif" w:hAnsi="Noto Serif"/>
          <w:b/>
          <w:color w:val="231F20"/>
          <w:spacing w:val="-2"/>
          <w:sz w:val="16"/>
        </w:rPr>
        <w:t>±</w:t>
      </w:r>
      <w:r>
        <w:rPr>
          <w:rFonts w:ascii="Noto Serif" w:hAnsi="Noto Serif"/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SEM.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*</w:t>
      </w:r>
      <w:r>
        <w:rPr>
          <w:b/>
          <w:color w:val="231F20"/>
          <w:spacing w:val="-8"/>
          <w:sz w:val="16"/>
        </w:rPr>
        <w:t> </w:t>
      </w:r>
      <w:r>
        <w:rPr>
          <w:rFonts w:ascii="Noto Serif" w:hAnsi="Noto Serif"/>
          <w:b/>
          <w:color w:val="231F20"/>
          <w:spacing w:val="-2"/>
          <w:sz w:val="16"/>
        </w:rPr>
        <w:t>=</w:t>
      </w:r>
      <w:r>
        <w:rPr>
          <w:rFonts w:ascii="Noto Serif" w:hAnsi="Noto Serif"/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Significantly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different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from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control.</w:t>
      </w:r>
      <w:r>
        <w:rPr>
          <w:b/>
          <w:color w:val="231F20"/>
          <w:spacing w:val="-8"/>
          <w:sz w:val="16"/>
        </w:rPr>
        <w:t> </w:t>
      </w:r>
      <w:r>
        <w:rPr>
          <w:rFonts w:ascii="Noto Serif" w:hAnsi="Noto Serif"/>
          <w:b/>
          <w:color w:val="231F20"/>
          <w:spacing w:val="-2"/>
          <w:sz w:val="16"/>
        </w:rPr>
        <w:t>γ</w:t>
      </w:r>
      <w:r>
        <w:rPr>
          <w:rFonts w:ascii="Noto Serif" w:hAnsi="Noto Serif"/>
          <w:b/>
          <w:color w:val="231F20"/>
          <w:spacing w:val="-8"/>
          <w:sz w:val="16"/>
        </w:rPr>
        <w:t> </w:t>
      </w:r>
      <w:r>
        <w:rPr>
          <w:rFonts w:ascii="Noto Serif" w:hAnsi="Noto Serif"/>
          <w:b/>
          <w:color w:val="231F20"/>
          <w:spacing w:val="-2"/>
          <w:sz w:val="16"/>
        </w:rPr>
        <w:t>=</w:t>
      </w:r>
      <w:r>
        <w:rPr>
          <w:rFonts w:ascii="Noto Serif" w:hAnsi="Noto Serif"/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Significantly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different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from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toxic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control</w:t>
      </w:r>
      <w:r>
        <w:rPr>
          <w:b/>
          <w:color w:val="231F20"/>
          <w:sz w:val="16"/>
        </w:rPr>
        <w:t> (p </w:t>
      </w:r>
      <w:r>
        <w:rPr>
          <w:rFonts w:ascii="Noto Serif" w:hAnsi="Noto Serif"/>
          <w:b/>
          <w:color w:val="231F20"/>
          <w:sz w:val="16"/>
        </w:rPr>
        <w:t>&lt; </w:t>
      </w:r>
      <w:r>
        <w:rPr>
          <w:b/>
          <w:color w:val="231F20"/>
          <w:sz w:val="16"/>
        </w:rPr>
        <w:t>0.05).</w:t>
      </w:r>
    </w:p>
    <w:p>
      <w:pPr>
        <w:spacing w:after="0" w:line="252" w:lineRule="auto"/>
        <w:jc w:val="left"/>
        <w:rPr>
          <w:sz w:val="16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78"/>
        <w:rPr>
          <w:b/>
          <w:sz w:val="20"/>
        </w:rPr>
      </w:pPr>
    </w:p>
    <w:p>
      <w:pPr>
        <w:pStyle w:val="BodyText"/>
        <w:ind w:left="1909"/>
        <w:rPr>
          <w:sz w:val="20"/>
        </w:rPr>
      </w:pPr>
      <w:r>
        <w:rPr>
          <w:sz w:val="20"/>
        </w:rPr>
        <w:drawing>
          <wp:inline distT="0" distB="0" distL="0" distR="0">
            <wp:extent cx="4211698" cy="2529839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1698" cy="252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8"/>
        <w:rPr>
          <w:b/>
        </w:rPr>
      </w:pPr>
    </w:p>
    <w:p>
      <w:pPr>
        <w:spacing w:line="271" w:lineRule="auto" w:before="0"/>
        <w:ind w:left="237" w:right="218" w:firstLine="0"/>
        <w:jc w:val="left"/>
        <w:rPr>
          <w:b/>
          <w:sz w:val="16"/>
        </w:rPr>
      </w:pPr>
      <w:bookmarkStart w:name="_bookmark7" w:id="33"/>
      <w:bookmarkEnd w:id="33"/>
      <w:r>
        <w:rPr/>
      </w:r>
      <w:r>
        <w:rPr>
          <w:b/>
          <w:color w:val="231F20"/>
          <w:spacing w:val="-4"/>
          <w:sz w:val="16"/>
        </w:rPr>
        <w:t>Fig. 5 – Effect of aqueous extract of </w:t>
      </w:r>
      <w:r>
        <w:rPr>
          <w:b/>
          <w:i/>
          <w:color w:val="231F20"/>
          <w:spacing w:val="-4"/>
          <w:sz w:val="16"/>
        </w:rPr>
        <w:t>Ocimum gratissimum </w:t>
      </w:r>
      <w:r>
        <w:rPr>
          <w:b/>
          <w:color w:val="231F20"/>
          <w:spacing w:val="-4"/>
          <w:sz w:val="16"/>
        </w:rPr>
        <w:t>on urine urea in gentamicin-induced kidney injury in rats.</w:t>
      </w:r>
      <w:r>
        <w:rPr>
          <w:b/>
          <w:color w:val="231F20"/>
          <w:spacing w:val="-12"/>
          <w:sz w:val="16"/>
        </w:rPr>
        <w:t> </w:t>
      </w:r>
      <w:r>
        <w:rPr>
          <w:b/>
          <w:color w:val="231F20"/>
          <w:spacing w:val="-4"/>
          <w:sz w:val="16"/>
        </w:rPr>
        <w:t>Values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2"/>
          <w:sz w:val="16"/>
        </w:rPr>
        <w:t>are given as mean </w:t>
      </w:r>
      <w:r>
        <w:rPr>
          <w:rFonts w:ascii="Noto Serif" w:hAnsi="Noto Serif"/>
          <w:b/>
          <w:color w:val="231F20"/>
          <w:spacing w:val="-2"/>
          <w:sz w:val="16"/>
        </w:rPr>
        <w:t>±</w:t>
      </w:r>
      <w:r>
        <w:rPr>
          <w:rFonts w:ascii="Noto Serif" w:hAnsi="Noto Serif"/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SEM.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* </w:t>
      </w:r>
      <w:r>
        <w:rPr>
          <w:rFonts w:ascii="Noto Serif" w:hAnsi="Noto Serif"/>
          <w:b/>
          <w:color w:val="231F20"/>
          <w:spacing w:val="-2"/>
          <w:sz w:val="16"/>
        </w:rPr>
        <w:t>=</w:t>
      </w:r>
      <w:r>
        <w:rPr>
          <w:rFonts w:ascii="Noto Serif" w:hAnsi="Noto Serif"/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Significantly different from control.</w:t>
      </w:r>
      <w:r>
        <w:rPr>
          <w:b/>
          <w:color w:val="231F20"/>
          <w:spacing w:val="-7"/>
          <w:sz w:val="16"/>
        </w:rPr>
        <w:t> </w:t>
      </w:r>
      <w:r>
        <w:rPr>
          <w:rFonts w:ascii="Noto Serif" w:hAnsi="Noto Serif"/>
          <w:b/>
          <w:color w:val="231F20"/>
          <w:spacing w:val="-2"/>
          <w:sz w:val="16"/>
        </w:rPr>
        <w:t>γ</w:t>
      </w:r>
      <w:r>
        <w:rPr>
          <w:rFonts w:ascii="Noto Serif" w:hAnsi="Noto Serif"/>
          <w:b/>
          <w:color w:val="231F20"/>
          <w:spacing w:val="-7"/>
          <w:sz w:val="16"/>
        </w:rPr>
        <w:t> </w:t>
      </w:r>
      <w:r>
        <w:rPr>
          <w:rFonts w:ascii="Noto Serif" w:hAnsi="Noto Serif"/>
          <w:b/>
          <w:color w:val="231F20"/>
          <w:spacing w:val="-2"/>
          <w:sz w:val="16"/>
        </w:rPr>
        <w:t>=</w:t>
      </w:r>
      <w:r>
        <w:rPr>
          <w:rFonts w:ascii="Noto Serif" w:hAnsi="Noto Serif"/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Significantly different from toxic control (p </w:t>
      </w:r>
      <w:r>
        <w:rPr>
          <w:rFonts w:ascii="Noto Serif" w:hAnsi="Noto Serif"/>
          <w:b/>
          <w:color w:val="231F20"/>
          <w:spacing w:val="-2"/>
          <w:sz w:val="16"/>
        </w:rPr>
        <w:t>&lt;</w:t>
      </w:r>
      <w:r>
        <w:rPr>
          <w:rFonts w:ascii="Noto Serif" w:hAnsi="Noto Serif"/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0.05).</w:t>
      </w:r>
    </w:p>
    <w:p>
      <w:pPr>
        <w:pStyle w:val="BodyText"/>
        <w:spacing w:before="6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658622</wp:posOffset>
                </wp:positionH>
                <wp:positionV relativeFrom="paragraph">
                  <wp:posOffset>106085</wp:posOffset>
                </wp:positionV>
                <wp:extent cx="6318250" cy="1270"/>
                <wp:effectExtent l="0" t="0" r="0" b="0"/>
                <wp:wrapTopAndBottom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353153pt;width:497.5pt;height:.1pt;mso-position-horizontal-relative:page;mso-position-vertical-relative:paragraph;z-index:-15714816;mso-wrap-distance-left:0;mso-wrap-distance-right:0" id="docshape35" coordorigin="1037,167" coordsize="9950,0" path="m1037,167l10987,16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93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2" w:lineRule="auto" w:before="101"/>
        <w:ind w:left="237" w:right="39"/>
        <w:jc w:val="both"/>
      </w:pPr>
      <w:r>
        <w:rPr>
          <w:color w:val="231F20"/>
          <w:spacing w:val="-4"/>
          <w:w w:val="110"/>
        </w:rPr>
        <w:t>eosinophilic (‘colloid’) casts are observed in the lumen of tubules</w:t>
      </w:r>
      <w:r>
        <w:rPr>
          <w:color w:val="231F20"/>
          <w:w w:val="110"/>
        </w:rPr>
        <w:t> (</w:t>
      </w:r>
      <w:hyperlink w:history="true" w:anchor="_bookmark10">
        <w:r>
          <w:rPr>
            <w:color w:val="00699D"/>
            <w:w w:val="110"/>
          </w:rPr>
          <w:t>Figs. 14–16</w:t>
        </w:r>
      </w:hyperlink>
      <w:r>
        <w:rPr>
          <w:color w:val="231F20"/>
          <w:w w:val="110"/>
        </w:rPr>
        <w:t>).</w:t>
      </w:r>
    </w:p>
    <w:p>
      <w:pPr>
        <w:pStyle w:val="BodyText"/>
        <w:rPr>
          <w:sz w:val="20"/>
        </w:rPr>
      </w:pPr>
    </w:p>
    <w:p>
      <w:pPr>
        <w:pStyle w:val="BodyText"/>
        <w:spacing w:before="4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658622</wp:posOffset>
                </wp:positionH>
                <wp:positionV relativeFrom="paragraph">
                  <wp:posOffset>187280</wp:posOffset>
                </wp:positionV>
                <wp:extent cx="3041650" cy="1270"/>
                <wp:effectExtent l="0" t="0" r="0" b="0"/>
                <wp:wrapTopAndBottom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4.746485pt;width:239.5pt;height:.1pt;mso-position-horizontal-relative:page;mso-position-vertical-relative:paragraph;z-index:-15714304;mso-wrap-distance-left:0;mso-wrap-distance-right:0" id="docshape36" coordorigin="1037,295" coordsize="4790,0" path="m1037,295l5827,295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bookmarkStart w:name=" Discussion" w:id="34"/>
      <w:bookmarkEnd w:id="34"/>
      <w:r>
        <w:rPr>
          <w:b w:val="0"/>
        </w:rPr>
      </w:r>
      <w:r>
        <w:rPr>
          <w:color w:val="231F20"/>
          <w:spacing w:val="-2"/>
        </w:rPr>
        <w:t>Discussion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237" w:right="38"/>
        <w:jc w:val="both"/>
      </w:pPr>
      <w:r>
        <w:rPr>
          <w:color w:val="231F20"/>
          <w:spacing w:val="-2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this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study,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insignificant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increase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food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consumption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 </w:t>
      </w:r>
      <w:r>
        <w:rPr>
          <w:color w:val="231F20"/>
          <w:w w:val="110"/>
        </w:rPr>
        <w:t>body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weight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observed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gentamicin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treated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rats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when </w:t>
      </w:r>
      <w:r>
        <w:rPr>
          <w:color w:val="231F20"/>
          <w:spacing w:val="-2"/>
          <w:w w:val="110"/>
        </w:rPr>
        <w:t>compared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its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pre-treatment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values.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This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contrast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with </w:t>
      </w:r>
      <w:r>
        <w:rPr>
          <w:color w:val="231F20"/>
        </w:rPr>
        <w:t>the findings of Erdem et al. </w:t>
      </w:r>
      <w:hyperlink w:history="true" w:anchor="_bookmark14">
        <w:r>
          <w:rPr>
            <w:color w:val="00699D"/>
          </w:rPr>
          <w:t>[4]</w:t>
        </w:r>
      </w:hyperlink>
      <w:r>
        <w:rPr>
          <w:color w:val="00699D"/>
        </w:rPr>
        <w:t> </w:t>
      </w:r>
      <w:r>
        <w:rPr>
          <w:color w:val="231F20"/>
        </w:rPr>
        <w:t>and El-Zawahry and Abu El Kheir</w:t>
      </w:r>
      <w:r>
        <w:rPr>
          <w:color w:val="231F20"/>
          <w:w w:val="110"/>
        </w:rPr>
        <w:t> </w:t>
      </w:r>
      <w:hyperlink w:history="true" w:anchor="_bookmark26">
        <w:r>
          <w:rPr>
            <w:color w:val="00699D"/>
            <w:w w:val="110"/>
          </w:rPr>
          <w:t>[17]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who reported that gentamicin administration caused </w:t>
      </w:r>
      <w:r>
        <w:rPr>
          <w:color w:val="231F20"/>
          <w:w w:val="110"/>
        </w:rPr>
        <w:t>re- duction in food intake and body weight.</w:t>
      </w:r>
    </w:p>
    <w:p>
      <w:pPr>
        <w:pStyle w:val="BodyText"/>
        <w:spacing w:line="302" w:lineRule="auto" w:before="101"/>
        <w:ind w:left="237" w:right="111" w:firstLine="239"/>
        <w:jc w:val="both"/>
      </w:pPr>
      <w:r>
        <w:rPr/>
        <w:br w:type="column"/>
      </w:r>
      <w:r>
        <w:rPr>
          <w:color w:val="231F20"/>
          <w:w w:val="110"/>
        </w:rPr>
        <w:t>Morley</w:t>
      </w:r>
      <w:r>
        <w:rPr>
          <w:color w:val="231F20"/>
          <w:w w:val="110"/>
        </w:rPr>
        <w:t> et</w:t>
      </w:r>
      <w:r>
        <w:rPr>
          <w:color w:val="231F20"/>
          <w:w w:val="110"/>
        </w:rPr>
        <w:t> al. </w:t>
      </w:r>
      <w:hyperlink w:history="true" w:anchor="_bookmark27">
        <w:r>
          <w:rPr>
            <w:color w:val="00699D"/>
            <w:w w:val="110"/>
          </w:rPr>
          <w:t>[18]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reported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there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physiological decline in food intake with aging which is multi-factorial and involves</w:t>
      </w:r>
      <w:r>
        <w:rPr>
          <w:color w:val="231F20"/>
          <w:w w:val="110"/>
        </w:rPr>
        <w:t> both</w:t>
      </w:r>
      <w:r>
        <w:rPr>
          <w:color w:val="231F20"/>
          <w:w w:val="110"/>
        </w:rPr>
        <w:t> peripheral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central</w:t>
      </w:r>
      <w:r>
        <w:rPr>
          <w:color w:val="231F20"/>
          <w:w w:val="110"/>
        </w:rPr>
        <w:t> mechanisms. Altered hedonic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qualities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food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occur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due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alterations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taste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and, </w:t>
      </w:r>
      <w:r>
        <w:rPr>
          <w:color w:val="231F20"/>
          <w:spacing w:val="-2"/>
          <w:w w:val="110"/>
        </w:rPr>
        <w:t>more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particularly,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smell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aging.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further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explained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that </w:t>
      </w:r>
      <w:r>
        <w:rPr>
          <w:color w:val="231F20"/>
          <w:w w:val="110"/>
        </w:rPr>
        <w:t>a decline in adaptive relaxation of the fundus of the stomach and an increased rate of antral filling appear to play a role in the early satiation seen in many aged persons. </w:t>
      </w:r>
      <w:r>
        <w:rPr>
          <w:color w:val="231F20"/>
          <w:w w:val="110"/>
        </w:rPr>
        <w:t>Cholecystoki- nin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levels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increased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aging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aged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persons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more sensitive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satiating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effects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gut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hormone.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these reasons, the</w:t>
      </w:r>
      <w:r>
        <w:rPr>
          <w:color w:val="231F20"/>
          <w:w w:val="110"/>
        </w:rPr>
        <w:t> increase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food</w:t>
      </w:r>
      <w:r>
        <w:rPr>
          <w:color w:val="231F20"/>
          <w:w w:val="110"/>
        </w:rPr>
        <w:t> consumption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body</w:t>
      </w:r>
      <w:r>
        <w:rPr>
          <w:color w:val="231F20"/>
          <w:w w:val="110"/>
        </w:rPr>
        <w:t> weight that was observed in the gentamicin treated rats may be due to the wide differences in the age and body weight of the rats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68" w:space="92"/>
            <w:col w:w="51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2"/>
        <w:rPr>
          <w:sz w:val="20"/>
        </w:rPr>
      </w:pPr>
    </w:p>
    <w:p>
      <w:pPr>
        <w:pStyle w:val="BodyText"/>
        <w:ind w:left="1909"/>
        <w:rPr>
          <w:sz w:val="20"/>
        </w:rPr>
      </w:pPr>
      <w:r>
        <w:rPr>
          <w:sz w:val="20"/>
        </w:rPr>
        <w:drawing>
          <wp:inline distT="0" distB="0" distL="0" distR="0">
            <wp:extent cx="4211886" cy="2584704"/>
            <wp:effectExtent l="0" t="0" r="0" b="0"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1886" cy="25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1"/>
      </w:pPr>
    </w:p>
    <w:p>
      <w:pPr>
        <w:spacing w:before="1"/>
        <w:ind w:left="237" w:right="0" w:firstLine="0"/>
        <w:jc w:val="left"/>
        <w:rPr>
          <w:b/>
          <w:sz w:val="16"/>
        </w:rPr>
      </w:pPr>
      <w:r>
        <w:rPr>
          <w:b/>
          <w:color w:val="231F20"/>
          <w:spacing w:val="-4"/>
          <w:sz w:val="16"/>
        </w:rPr>
        <w:t>Fig.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4"/>
          <w:sz w:val="16"/>
        </w:rPr>
        <w:t>6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–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Effect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4"/>
          <w:sz w:val="16"/>
        </w:rPr>
        <w:t>of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aqueous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extract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of</w:t>
      </w:r>
      <w:r>
        <w:rPr>
          <w:b/>
          <w:color w:val="231F20"/>
          <w:spacing w:val="-2"/>
          <w:sz w:val="16"/>
        </w:rPr>
        <w:t> </w:t>
      </w:r>
      <w:r>
        <w:rPr>
          <w:b/>
          <w:i/>
          <w:color w:val="231F20"/>
          <w:spacing w:val="-4"/>
          <w:sz w:val="16"/>
        </w:rPr>
        <w:t>Ocimum</w:t>
      </w:r>
      <w:r>
        <w:rPr>
          <w:b/>
          <w:i/>
          <w:color w:val="231F20"/>
          <w:spacing w:val="-1"/>
          <w:sz w:val="16"/>
        </w:rPr>
        <w:t> </w:t>
      </w:r>
      <w:r>
        <w:rPr>
          <w:b/>
          <w:i/>
          <w:color w:val="231F20"/>
          <w:spacing w:val="-4"/>
          <w:sz w:val="16"/>
        </w:rPr>
        <w:t>gratissimum</w:t>
      </w:r>
      <w:r>
        <w:rPr>
          <w:b/>
          <w:i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on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4"/>
          <w:sz w:val="16"/>
        </w:rPr>
        <w:t>urine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total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protein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in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4"/>
          <w:sz w:val="16"/>
        </w:rPr>
        <w:t>gentamicin-induced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kidney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injury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in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4"/>
          <w:sz w:val="16"/>
        </w:rPr>
        <w:t>rats.</w:t>
      </w:r>
    </w:p>
    <w:p>
      <w:pPr>
        <w:spacing w:line="252" w:lineRule="auto" w:before="23"/>
        <w:ind w:left="237" w:right="834" w:firstLine="0"/>
        <w:jc w:val="left"/>
        <w:rPr>
          <w:b/>
          <w:sz w:val="16"/>
        </w:rPr>
      </w:pPr>
      <w:r>
        <w:rPr>
          <w:b/>
          <w:color w:val="231F20"/>
          <w:spacing w:val="-2"/>
          <w:sz w:val="16"/>
        </w:rPr>
        <w:t>Values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are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given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as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mean</w:t>
      </w:r>
      <w:r>
        <w:rPr>
          <w:b/>
          <w:color w:val="231F20"/>
          <w:spacing w:val="-8"/>
          <w:sz w:val="16"/>
        </w:rPr>
        <w:t> </w:t>
      </w:r>
      <w:r>
        <w:rPr>
          <w:rFonts w:ascii="Noto Serif" w:hAnsi="Noto Serif"/>
          <w:b/>
          <w:color w:val="231F20"/>
          <w:spacing w:val="-2"/>
          <w:sz w:val="16"/>
        </w:rPr>
        <w:t>±</w:t>
      </w:r>
      <w:r>
        <w:rPr>
          <w:rFonts w:ascii="Noto Serif" w:hAnsi="Noto Serif"/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SEM.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*</w:t>
      </w:r>
      <w:r>
        <w:rPr>
          <w:b/>
          <w:color w:val="231F20"/>
          <w:spacing w:val="-8"/>
          <w:sz w:val="16"/>
        </w:rPr>
        <w:t> </w:t>
      </w:r>
      <w:r>
        <w:rPr>
          <w:rFonts w:ascii="Noto Serif" w:hAnsi="Noto Serif"/>
          <w:b/>
          <w:color w:val="231F20"/>
          <w:spacing w:val="-2"/>
          <w:sz w:val="16"/>
        </w:rPr>
        <w:t>=</w:t>
      </w:r>
      <w:r>
        <w:rPr>
          <w:rFonts w:ascii="Noto Serif" w:hAnsi="Noto Serif"/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Significantly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different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from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control.</w:t>
      </w:r>
      <w:r>
        <w:rPr>
          <w:b/>
          <w:color w:val="231F20"/>
          <w:spacing w:val="-8"/>
          <w:sz w:val="16"/>
        </w:rPr>
        <w:t> </w:t>
      </w:r>
      <w:r>
        <w:rPr>
          <w:rFonts w:ascii="Noto Serif" w:hAnsi="Noto Serif"/>
          <w:b/>
          <w:color w:val="231F20"/>
          <w:spacing w:val="-2"/>
          <w:sz w:val="16"/>
        </w:rPr>
        <w:t>γ</w:t>
      </w:r>
      <w:r>
        <w:rPr>
          <w:rFonts w:ascii="Noto Serif" w:hAnsi="Noto Serif"/>
          <w:b/>
          <w:color w:val="231F20"/>
          <w:spacing w:val="-8"/>
          <w:sz w:val="16"/>
        </w:rPr>
        <w:t> </w:t>
      </w:r>
      <w:r>
        <w:rPr>
          <w:rFonts w:ascii="Noto Serif" w:hAnsi="Noto Serif"/>
          <w:b/>
          <w:color w:val="231F20"/>
          <w:spacing w:val="-2"/>
          <w:sz w:val="16"/>
        </w:rPr>
        <w:t>=</w:t>
      </w:r>
      <w:r>
        <w:rPr>
          <w:rFonts w:ascii="Noto Serif" w:hAnsi="Noto Serif"/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Significantly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different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from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toxic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control</w:t>
      </w:r>
      <w:r>
        <w:rPr>
          <w:b/>
          <w:color w:val="231F20"/>
          <w:sz w:val="16"/>
        </w:rPr>
        <w:t> (p</w:t>
      </w:r>
      <w:r>
        <w:rPr>
          <w:b/>
          <w:color w:val="231F20"/>
          <w:spacing w:val="-13"/>
          <w:sz w:val="16"/>
        </w:rPr>
        <w:t> </w:t>
      </w:r>
      <w:r>
        <w:rPr>
          <w:rFonts w:ascii="Noto Serif" w:hAnsi="Noto Serif"/>
          <w:b/>
          <w:color w:val="231F20"/>
          <w:sz w:val="16"/>
        </w:rPr>
        <w:t>&lt;</w:t>
      </w:r>
      <w:r>
        <w:rPr>
          <w:rFonts w:ascii="Noto Serif" w:hAnsi="Noto Serif"/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0.05).</w:t>
      </w:r>
      <w:r>
        <w:rPr>
          <w:b/>
          <w:color w:val="231F20"/>
          <w:spacing w:val="-10"/>
          <w:sz w:val="16"/>
        </w:rPr>
        <w:t> </w:t>
      </w:r>
      <w:r>
        <w:rPr>
          <w:rFonts w:ascii="Noto Serif" w:hAnsi="Noto Serif"/>
          <w:b/>
          <w:color w:val="231F20"/>
          <w:sz w:val="16"/>
          <w:vertAlign w:val="superscript"/>
        </w:rPr>
        <w:t>α</w:t>
      </w:r>
      <w:r>
        <w:rPr>
          <w:rFonts w:ascii="Noto Serif" w:hAnsi="Noto Serif"/>
          <w:b/>
          <w:color w:val="231F20"/>
          <w:spacing w:val="-11"/>
          <w:sz w:val="16"/>
          <w:vertAlign w:val="baseline"/>
        </w:rPr>
        <w:t> </w:t>
      </w:r>
      <w:r>
        <w:rPr>
          <w:rFonts w:ascii="Noto Serif" w:hAnsi="Noto Serif"/>
          <w:b/>
          <w:color w:val="231F20"/>
          <w:sz w:val="16"/>
          <w:vertAlign w:val="baseline"/>
        </w:rPr>
        <w:t>=</w:t>
      </w:r>
      <w:r>
        <w:rPr>
          <w:rFonts w:ascii="Noto Serif" w:hAnsi="Noto Serif"/>
          <w:b/>
          <w:color w:val="231F20"/>
          <w:spacing w:val="-10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Significantly</w:t>
      </w:r>
      <w:r>
        <w:rPr>
          <w:b/>
          <w:color w:val="231F20"/>
          <w:spacing w:val="-10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different</w:t>
      </w:r>
      <w:r>
        <w:rPr>
          <w:b/>
          <w:color w:val="231F20"/>
          <w:spacing w:val="-10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from</w:t>
      </w:r>
      <w:r>
        <w:rPr>
          <w:b/>
          <w:color w:val="231F20"/>
          <w:spacing w:val="-10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toxic</w:t>
      </w:r>
      <w:r>
        <w:rPr>
          <w:b/>
          <w:color w:val="231F20"/>
          <w:spacing w:val="-11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recovery</w:t>
      </w:r>
      <w:r>
        <w:rPr>
          <w:b/>
          <w:color w:val="231F20"/>
          <w:spacing w:val="-10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group</w:t>
      </w:r>
      <w:r>
        <w:rPr>
          <w:b/>
          <w:color w:val="231F20"/>
          <w:spacing w:val="-10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(p</w:t>
      </w:r>
      <w:r>
        <w:rPr>
          <w:b/>
          <w:color w:val="231F20"/>
          <w:spacing w:val="-10"/>
          <w:sz w:val="16"/>
          <w:vertAlign w:val="baseline"/>
        </w:rPr>
        <w:t> </w:t>
      </w:r>
      <w:r>
        <w:rPr>
          <w:rFonts w:ascii="Noto Serif" w:hAnsi="Noto Serif"/>
          <w:b/>
          <w:color w:val="231F20"/>
          <w:sz w:val="16"/>
          <w:vertAlign w:val="baseline"/>
        </w:rPr>
        <w:t>&lt;</w:t>
      </w:r>
      <w:r>
        <w:rPr>
          <w:rFonts w:ascii="Noto Serif" w:hAnsi="Noto Serif"/>
          <w:b/>
          <w:color w:val="231F20"/>
          <w:spacing w:val="-10"/>
          <w:sz w:val="16"/>
          <w:vertAlign w:val="baseline"/>
        </w:rPr>
        <w:t> </w:t>
      </w:r>
      <w:r>
        <w:rPr>
          <w:b/>
          <w:color w:val="231F20"/>
          <w:sz w:val="16"/>
          <w:vertAlign w:val="baseline"/>
        </w:rPr>
        <w:t>0.05).</w:t>
      </w:r>
    </w:p>
    <w:p>
      <w:pPr>
        <w:spacing w:after="0" w:line="252" w:lineRule="auto"/>
        <w:jc w:val="left"/>
        <w:rPr>
          <w:sz w:val="16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87"/>
        <w:rPr>
          <w:b/>
          <w:sz w:val="20"/>
        </w:rPr>
      </w:pPr>
    </w:p>
    <w:p>
      <w:pPr>
        <w:pStyle w:val="BodyText"/>
        <w:ind w:left="1788"/>
        <w:rPr>
          <w:sz w:val="20"/>
        </w:rPr>
      </w:pPr>
      <w:r>
        <w:rPr>
          <w:sz w:val="20"/>
        </w:rPr>
        <w:drawing>
          <wp:inline distT="0" distB="0" distL="0" distR="0">
            <wp:extent cx="4209287" cy="2560320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9287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0"/>
        <w:rPr>
          <w:b/>
        </w:rPr>
      </w:pPr>
    </w:p>
    <w:p>
      <w:pPr>
        <w:spacing w:line="271" w:lineRule="auto" w:before="0"/>
        <w:ind w:left="116" w:right="218" w:firstLine="0"/>
        <w:jc w:val="left"/>
        <w:rPr>
          <w:b/>
          <w:sz w:val="16"/>
        </w:rPr>
      </w:pPr>
      <w:bookmarkStart w:name="_bookmark8" w:id="35"/>
      <w:bookmarkEnd w:id="35"/>
      <w:r>
        <w:rPr/>
      </w:r>
      <w:r>
        <w:rPr>
          <w:b/>
          <w:color w:val="231F20"/>
          <w:spacing w:val="-2"/>
          <w:sz w:val="16"/>
        </w:rPr>
        <w:t>Fig.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7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–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Effect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aqueous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extract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8"/>
          <w:sz w:val="16"/>
        </w:rPr>
        <w:t> </w:t>
      </w:r>
      <w:r>
        <w:rPr>
          <w:b/>
          <w:i/>
          <w:color w:val="231F20"/>
          <w:spacing w:val="-2"/>
          <w:sz w:val="16"/>
        </w:rPr>
        <w:t>Ocimum</w:t>
      </w:r>
      <w:r>
        <w:rPr>
          <w:b/>
          <w:i/>
          <w:color w:val="231F20"/>
          <w:spacing w:val="-8"/>
          <w:sz w:val="16"/>
        </w:rPr>
        <w:t> </w:t>
      </w:r>
      <w:r>
        <w:rPr>
          <w:b/>
          <w:i/>
          <w:color w:val="231F20"/>
          <w:spacing w:val="-2"/>
          <w:sz w:val="16"/>
        </w:rPr>
        <w:t>gratissimum</w:t>
      </w:r>
      <w:r>
        <w:rPr>
          <w:b/>
          <w:i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on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relative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kidney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weight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in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gentamicin-induced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kidney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injury</w:t>
      </w:r>
      <w:r>
        <w:rPr>
          <w:b/>
          <w:color w:val="231F20"/>
          <w:sz w:val="16"/>
        </w:rPr>
        <w:t> in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rats.</w:t>
      </w:r>
      <w:r>
        <w:rPr>
          <w:b/>
          <w:color w:val="231F20"/>
          <w:spacing w:val="-12"/>
          <w:sz w:val="16"/>
        </w:rPr>
        <w:t> </w:t>
      </w:r>
      <w:r>
        <w:rPr>
          <w:b/>
          <w:color w:val="231F20"/>
          <w:sz w:val="16"/>
        </w:rPr>
        <w:t>Values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are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given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as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mean</w:t>
      </w:r>
      <w:r>
        <w:rPr>
          <w:b/>
          <w:color w:val="231F20"/>
          <w:spacing w:val="-8"/>
          <w:sz w:val="16"/>
        </w:rPr>
        <w:t> </w:t>
      </w:r>
      <w:r>
        <w:rPr>
          <w:rFonts w:ascii="Noto Serif" w:hAnsi="Noto Serif"/>
          <w:b/>
          <w:color w:val="231F20"/>
          <w:sz w:val="16"/>
        </w:rPr>
        <w:t>±</w:t>
      </w:r>
      <w:r>
        <w:rPr>
          <w:rFonts w:ascii="Noto Serif" w:hAnsi="Noto Serif"/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SEM.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*</w:t>
      </w:r>
      <w:r>
        <w:rPr>
          <w:b/>
          <w:color w:val="231F20"/>
          <w:spacing w:val="-7"/>
          <w:sz w:val="16"/>
        </w:rPr>
        <w:t> </w:t>
      </w:r>
      <w:r>
        <w:rPr>
          <w:rFonts w:ascii="Noto Serif" w:hAnsi="Noto Serif"/>
          <w:b/>
          <w:color w:val="231F20"/>
          <w:sz w:val="16"/>
        </w:rPr>
        <w:t>=</w:t>
      </w:r>
      <w:r>
        <w:rPr>
          <w:rFonts w:ascii="Noto Serif" w:hAnsi="Noto Serif"/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Significantly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different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from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control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(p</w:t>
      </w:r>
      <w:r>
        <w:rPr>
          <w:b/>
          <w:color w:val="231F20"/>
          <w:spacing w:val="-8"/>
          <w:sz w:val="16"/>
        </w:rPr>
        <w:t> </w:t>
      </w:r>
      <w:r>
        <w:rPr>
          <w:rFonts w:ascii="Noto Serif" w:hAnsi="Noto Serif"/>
          <w:b/>
          <w:color w:val="231F20"/>
          <w:sz w:val="16"/>
        </w:rPr>
        <w:t>&lt;</w:t>
      </w:r>
      <w:r>
        <w:rPr>
          <w:rFonts w:ascii="Noto Serif" w:hAnsi="Noto Serif"/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0.05).</w:t>
      </w:r>
    </w:p>
    <w:p>
      <w:pPr>
        <w:pStyle w:val="BodyText"/>
        <w:spacing w:before="7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581939</wp:posOffset>
                </wp:positionH>
                <wp:positionV relativeFrom="paragraph">
                  <wp:posOffset>106275</wp:posOffset>
                </wp:positionV>
                <wp:extent cx="6318250" cy="1270"/>
                <wp:effectExtent l="0" t="0" r="0" b="0"/>
                <wp:wrapTopAndBottom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368153pt;width:497.5pt;height:.1pt;mso-position-horizontal-relative:page;mso-position-vertical-relative:paragraph;z-index:-15713792;mso-wrap-distance-left:0;mso-wrap-distance-right:0" id="docshape37" coordorigin="916,167" coordsize="9950,0" path="m916,167l10866,16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8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2" w:lineRule="auto" w:before="101"/>
        <w:ind w:left="116" w:right="39"/>
        <w:jc w:val="both"/>
      </w:pPr>
      <w:r>
        <w:rPr>
          <w:color w:val="231F20"/>
          <w:w w:val="105"/>
        </w:rPr>
        <w:t>used in this study (100–150 g) compared with that of the </w:t>
      </w:r>
      <w:r>
        <w:rPr>
          <w:color w:val="231F20"/>
          <w:w w:val="105"/>
        </w:rPr>
        <w:t>rats used by El-Zawahry and Abu El Kheir </w:t>
      </w:r>
      <w:hyperlink w:history="true" w:anchor="_bookmark26">
        <w:r>
          <w:rPr>
            <w:color w:val="00699D"/>
            <w:w w:val="105"/>
          </w:rPr>
          <w:t>[17]</w:t>
        </w:r>
      </w:hyperlink>
      <w:r>
        <w:rPr>
          <w:color w:val="00699D"/>
          <w:w w:val="105"/>
        </w:rPr>
        <w:t> </w:t>
      </w:r>
      <w:r>
        <w:rPr>
          <w:color w:val="231F20"/>
          <w:w w:val="105"/>
        </w:rPr>
        <w:t>(210–230 g).</w:t>
      </w:r>
    </w:p>
    <w:p>
      <w:pPr>
        <w:pStyle w:val="BodyText"/>
        <w:spacing w:line="223" w:lineRule="auto" w:before="11"/>
        <w:ind w:left="116" w:right="38" w:firstLine="239"/>
        <w:jc w:val="both"/>
      </w:pPr>
      <w:r>
        <w:rPr>
          <w:color w:val="231F20"/>
          <w:w w:val="105"/>
        </w:rPr>
        <w:t>Gentamicin has been reported to cause a decrease in the number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cytokines</w:t>
      </w:r>
      <w:r>
        <w:rPr>
          <w:color w:val="231F20"/>
          <w:w w:val="105"/>
        </w:rPr>
        <w:t> cells</w:t>
      </w:r>
      <w:r>
        <w:rPr>
          <w:color w:val="231F20"/>
          <w:w w:val="105"/>
        </w:rPr>
        <w:t> (such</w:t>
      </w:r>
      <w:r>
        <w:rPr>
          <w:color w:val="231F20"/>
          <w:w w:val="105"/>
        </w:rPr>
        <w:t> as</w:t>
      </w:r>
      <w:r>
        <w:rPr>
          <w:color w:val="231F20"/>
          <w:w w:val="105"/>
        </w:rPr>
        <w:t> CD3(</w:t>
      </w:r>
      <w:r>
        <w:rPr>
          <w:rFonts w:ascii="UKIJ CJK"/>
          <w:color w:val="231F20"/>
          <w:w w:val="105"/>
        </w:rPr>
        <w:t>+</w:t>
      </w:r>
      <w:r>
        <w:rPr>
          <w:color w:val="231F20"/>
          <w:w w:val="105"/>
        </w:rPr>
        <w:t>),</w:t>
      </w:r>
      <w:r>
        <w:rPr>
          <w:color w:val="231F20"/>
          <w:w w:val="105"/>
        </w:rPr>
        <w:t> CD56(</w:t>
      </w:r>
      <w:r>
        <w:rPr>
          <w:rFonts w:ascii="UKIJ CJK"/>
          <w:color w:val="231F20"/>
          <w:w w:val="105"/>
        </w:rPr>
        <w:t>+</w:t>
      </w:r>
      <w:r>
        <w:rPr>
          <w:color w:val="231F20"/>
          <w:w w:val="105"/>
        </w:rPr>
        <w:t>),</w:t>
      </w:r>
      <w:r>
        <w:rPr>
          <w:color w:val="231F20"/>
          <w:w w:val="105"/>
        </w:rPr>
        <w:t> CD3(</w:t>
      </w:r>
      <w:r>
        <w:rPr>
          <w:rFonts w:ascii="UKIJ CJK"/>
          <w:color w:val="231F20"/>
          <w:w w:val="105"/>
        </w:rPr>
        <w:t>+</w:t>
      </w:r>
      <w:r>
        <w:rPr>
          <w:color w:val="231F20"/>
          <w:w w:val="105"/>
        </w:rPr>
        <w:t>), </w:t>
      </w:r>
      <w:r>
        <w:rPr>
          <w:color w:val="231F20"/>
          <w:spacing w:val="-2"/>
          <w:w w:val="105"/>
        </w:rPr>
        <w:t>CD8(</w:t>
      </w:r>
      <w:r>
        <w:rPr>
          <w:rFonts w:ascii="UKIJ CJK"/>
          <w:color w:val="231F20"/>
          <w:spacing w:val="-2"/>
          <w:w w:val="105"/>
        </w:rPr>
        <w:t>+</w:t>
      </w:r>
      <w:r>
        <w:rPr>
          <w:color w:val="231F20"/>
          <w:spacing w:val="-2"/>
          <w:w w:val="105"/>
        </w:rPr>
        <w:t>),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CD3(</w:t>
      </w:r>
      <w:r>
        <w:rPr>
          <w:rFonts w:ascii="UKIJ CJK"/>
          <w:color w:val="231F20"/>
          <w:spacing w:val="-2"/>
          <w:w w:val="105"/>
        </w:rPr>
        <w:t>+</w:t>
      </w:r>
      <w:r>
        <w:rPr>
          <w:color w:val="231F20"/>
          <w:spacing w:val="-2"/>
          <w:w w:val="105"/>
        </w:rPr>
        <w:t>),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CD56(</w:t>
      </w:r>
      <w:r>
        <w:rPr>
          <w:rFonts w:ascii="UKIJ CJK"/>
          <w:color w:val="231F20"/>
          <w:spacing w:val="-2"/>
          <w:w w:val="105"/>
        </w:rPr>
        <w:t>+</w:t>
      </w:r>
      <w:r>
        <w:rPr>
          <w:color w:val="231F20"/>
          <w:spacing w:val="-2"/>
          <w:w w:val="105"/>
        </w:rPr>
        <w:t>))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2"/>
          <w:w w:val="105"/>
        </w:rPr>
        <w:t>some</w:t>
      </w:r>
      <w:r>
        <w:rPr>
          <w:color w:val="231F20"/>
          <w:spacing w:val="2"/>
          <w:w w:val="105"/>
        </w:rPr>
        <w:t> </w:t>
      </w:r>
      <w:r>
        <w:rPr>
          <w:color w:val="231F20"/>
          <w:spacing w:val="-2"/>
          <w:w w:val="105"/>
        </w:rPr>
        <w:t>cytotoxicity</w:t>
      </w:r>
      <w:r>
        <w:rPr>
          <w:color w:val="231F20"/>
          <w:spacing w:val="3"/>
          <w:w w:val="105"/>
        </w:rPr>
        <w:t> </w:t>
      </w:r>
      <w:hyperlink w:history="true" w:anchor="_bookmark28">
        <w:r>
          <w:rPr>
            <w:color w:val="00699D"/>
            <w:spacing w:val="-2"/>
            <w:w w:val="105"/>
          </w:rPr>
          <w:t>[19]</w:t>
        </w:r>
      </w:hyperlink>
      <w:r>
        <w:rPr>
          <w:color w:val="231F20"/>
          <w:spacing w:val="-2"/>
          <w:w w:val="105"/>
        </w:rPr>
        <w:t>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Cytokines</w:t>
      </w:r>
    </w:p>
    <w:p>
      <w:pPr>
        <w:pStyle w:val="BodyText"/>
        <w:spacing w:line="302" w:lineRule="auto" w:before="3"/>
        <w:ind w:left="116" w:right="38"/>
        <w:jc w:val="both"/>
      </w:pPr>
      <w:r>
        <w:rPr>
          <w:color w:val="231F20"/>
          <w:spacing w:val="-4"/>
          <w:w w:val="110"/>
        </w:rPr>
        <w:t>are immune-regulatory peptides released in response to chronic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6"/>
          <w:w w:val="110"/>
        </w:rPr>
        <w:t>inflammation,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infections,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injuries,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and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6"/>
          <w:w w:val="110"/>
        </w:rPr>
        <w:t>neoplasms</w:t>
      </w:r>
      <w:r>
        <w:rPr>
          <w:color w:val="231F20"/>
          <w:spacing w:val="8"/>
          <w:w w:val="110"/>
        </w:rPr>
        <w:t> </w:t>
      </w:r>
      <w:hyperlink w:history="true" w:anchor="_bookmark29">
        <w:r>
          <w:rPr>
            <w:color w:val="00699D"/>
            <w:spacing w:val="-6"/>
            <w:w w:val="110"/>
          </w:rPr>
          <w:t>[20]</w:t>
        </w:r>
      </w:hyperlink>
      <w:r>
        <w:rPr>
          <w:color w:val="231F20"/>
          <w:spacing w:val="-6"/>
          <w:w w:val="110"/>
        </w:rPr>
        <w:t>.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Cytokines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potent</w:t>
      </w:r>
      <w:r>
        <w:rPr>
          <w:color w:val="231F20"/>
          <w:w w:val="110"/>
        </w:rPr>
        <w:t> anorectic</w:t>
      </w:r>
      <w:r>
        <w:rPr>
          <w:color w:val="231F20"/>
          <w:w w:val="110"/>
        </w:rPr>
        <w:t> agents,</w:t>
      </w:r>
      <w:r>
        <w:rPr>
          <w:color w:val="231F20"/>
          <w:w w:val="110"/>
        </w:rPr>
        <w:t> they</w:t>
      </w:r>
      <w:r>
        <w:rPr>
          <w:color w:val="231F20"/>
          <w:w w:val="110"/>
        </w:rPr>
        <w:t> decrease</w:t>
      </w:r>
      <w:r>
        <w:rPr>
          <w:color w:val="231F20"/>
          <w:w w:val="110"/>
        </w:rPr>
        <w:t> serum</w:t>
      </w:r>
      <w:r>
        <w:rPr>
          <w:color w:val="231F20"/>
          <w:w w:val="110"/>
        </w:rPr>
        <w:t> albumin, </w:t>
      </w:r>
      <w:r>
        <w:rPr>
          <w:color w:val="231F20"/>
          <w:spacing w:val="-4"/>
          <w:w w:val="110"/>
        </w:rPr>
        <w:t>induce lipolysis,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produce muscle protein breakdown,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and induce</w:t>
      </w:r>
      <w:r>
        <w:rPr>
          <w:color w:val="231F20"/>
          <w:w w:val="110"/>
        </w:rPr>
        <w:t> nitrogen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loss</w:t>
      </w:r>
      <w:r>
        <w:rPr>
          <w:color w:val="231F20"/>
          <w:spacing w:val="-8"/>
          <w:w w:val="110"/>
        </w:rPr>
        <w:t> </w:t>
      </w:r>
      <w:hyperlink w:history="true" w:anchor="_bookmark29">
        <w:r>
          <w:rPr>
            <w:color w:val="00699D"/>
            <w:w w:val="110"/>
          </w:rPr>
          <w:t>[20]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variety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effects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lead to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severe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malnutrition</w:t>
      </w:r>
      <w:r>
        <w:rPr>
          <w:color w:val="231F20"/>
          <w:spacing w:val="-1"/>
          <w:w w:val="110"/>
        </w:rPr>
        <w:t> </w:t>
      </w:r>
      <w:hyperlink w:history="true" w:anchor="_bookmark29">
        <w:r>
          <w:rPr>
            <w:color w:val="00699D"/>
            <w:w w:val="110"/>
          </w:rPr>
          <w:t>[20]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Hence,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significant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increase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 food consumption and body weight that was observed in </w:t>
      </w:r>
      <w:r>
        <w:rPr>
          <w:color w:val="231F20"/>
          <w:w w:val="110"/>
        </w:rPr>
        <w:t>the toxic recovery group when compared with the pre-treatment values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an</w:t>
      </w:r>
      <w:r>
        <w:rPr>
          <w:color w:val="231F20"/>
          <w:w w:val="110"/>
        </w:rPr>
        <w:t> indication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ability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gentamicin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de- crease the numbers of cytokines in the rats’ body.</w:t>
      </w:r>
    </w:p>
    <w:p>
      <w:pPr>
        <w:pStyle w:val="BodyText"/>
        <w:spacing w:line="302" w:lineRule="auto" w:before="101"/>
        <w:ind w:left="116" w:right="233" w:firstLine="239"/>
        <w:jc w:val="both"/>
      </w:pPr>
      <w:r>
        <w:rPr/>
        <w:br w:type="column"/>
      </w:r>
      <w:r>
        <w:rPr>
          <w:color w:val="231F20"/>
          <w:spacing w:val="-2"/>
          <w:w w:val="110"/>
        </w:rPr>
        <w:t>Study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has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shown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that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administration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AOGL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rats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caused </w:t>
      </w:r>
      <w:r>
        <w:rPr>
          <w:color w:val="231F20"/>
          <w:w w:val="110"/>
        </w:rPr>
        <w:t>significant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histological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changes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intestines,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revealing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 presence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increased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villi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larger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goblets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cells</w:t>
      </w:r>
      <w:r>
        <w:rPr>
          <w:color w:val="231F20"/>
          <w:spacing w:val="-5"/>
          <w:w w:val="110"/>
        </w:rPr>
        <w:t> </w:t>
      </w:r>
      <w:hyperlink w:history="true" w:anchor="_bookmark30">
        <w:r>
          <w:rPr>
            <w:color w:val="00699D"/>
            <w:w w:val="110"/>
          </w:rPr>
          <w:t>[21]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in- </w:t>
      </w:r>
      <w:r>
        <w:rPr>
          <w:color w:val="231F20"/>
          <w:spacing w:val="-2"/>
          <w:w w:val="110"/>
        </w:rPr>
        <w:t>crease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numbers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villi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intestine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facilitates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increase </w:t>
      </w:r>
      <w:r>
        <w:rPr>
          <w:color w:val="231F20"/>
          <w:w w:val="110"/>
        </w:rPr>
        <w:t>in nutrient absorption due to increase in the surface area of 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intestine</w:t>
      </w:r>
      <w:r>
        <w:rPr>
          <w:color w:val="231F20"/>
          <w:spacing w:val="-11"/>
          <w:w w:val="110"/>
        </w:rPr>
        <w:t> </w:t>
      </w:r>
      <w:hyperlink w:history="true" w:anchor="_bookmark31">
        <w:r>
          <w:rPr>
            <w:color w:val="00699D"/>
            <w:w w:val="110"/>
          </w:rPr>
          <w:t>[22]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Furthermore,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AOGL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enhances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anti-diarrhea </w:t>
      </w:r>
      <w:r>
        <w:rPr>
          <w:color w:val="231F20"/>
          <w:spacing w:val="-2"/>
          <w:w w:val="110"/>
        </w:rPr>
        <w:t>effect by inhibiting intestinal motility,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partly via muscarinic re- </w:t>
      </w:r>
      <w:r>
        <w:rPr>
          <w:color w:val="231F20"/>
          <w:w w:val="110"/>
        </w:rPr>
        <w:t>ceptor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inhibition</w:t>
      </w:r>
      <w:r>
        <w:rPr>
          <w:color w:val="231F20"/>
          <w:spacing w:val="-6"/>
          <w:w w:val="110"/>
        </w:rPr>
        <w:t> </w:t>
      </w:r>
      <w:hyperlink w:history="true" w:anchor="_bookmark32">
        <w:r>
          <w:rPr>
            <w:color w:val="00699D"/>
            <w:w w:val="110"/>
          </w:rPr>
          <w:t>[23]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thereby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facilitating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nutrient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absorption in the intestine.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 significant increase in body weight that was seen in the experimental groups treated with AOGL may be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result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AOGL-induced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inhibition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intestinal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mo- tility,</w:t>
      </w:r>
      <w:r>
        <w:rPr>
          <w:color w:val="231F20"/>
          <w:w w:val="110"/>
        </w:rPr>
        <w:t> together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increase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number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villi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 intestine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larger</w:t>
      </w:r>
      <w:r>
        <w:rPr>
          <w:color w:val="231F20"/>
          <w:w w:val="110"/>
        </w:rPr>
        <w:t> goblets</w:t>
      </w:r>
      <w:r>
        <w:rPr>
          <w:color w:val="231F20"/>
          <w:w w:val="110"/>
        </w:rPr>
        <w:t> cells, which</w:t>
      </w:r>
      <w:r>
        <w:rPr>
          <w:color w:val="231F20"/>
          <w:w w:val="110"/>
        </w:rPr>
        <w:t> favor</w:t>
      </w:r>
      <w:r>
        <w:rPr>
          <w:color w:val="231F20"/>
          <w:w w:val="110"/>
        </w:rPr>
        <w:t> rapid</w:t>
      </w:r>
      <w:r>
        <w:rPr>
          <w:color w:val="231F20"/>
          <w:w w:val="110"/>
        </w:rPr>
        <w:t> absorp- tion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nutrient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gastro-intestinal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tract.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However,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this is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not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agreement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report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Ajibade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et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al.</w:t>
      </w:r>
      <w:r>
        <w:rPr>
          <w:color w:val="231F20"/>
          <w:spacing w:val="-4"/>
          <w:w w:val="110"/>
        </w:rPr>
        <w:t> </w:t>
      </w:r>
      <w:hyperlink w:history="true" w:anchor="_bookmark33">
        <w:r>
          <w:rPr>
            <w:color w:val="00699D"/>
            <w:w w:val="110"/>
          </w:rPr>
          <w:t>[24]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5"/>
          <w:w w:val="110"/>
        </w:rPr>
        <w:t>who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49" w:space="211"/>
            <w:col w:w="51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20"/>
        <w:rPr>
          <w:sz w:val="20"/>
        </w:rPr>
      </w:pPr>
    </w:p>
    <w:p>
      <w:pPr>
        <w:pStyle w:val="BodyText"/>
        <w:ind w:left="1788"/>
        <w:rPr>
          <w:sz w:val="20"/>
        </w:rPr>
      </w:pPr>
      <w:r>
        <w:rPr>
          <w:sz w:val="20"/>
        </w:rPr>
        <w:drawing>
          <wp:inline distT="0" distB="0" distL="0" distR="0">
            <wp:extent cx="4213063" cy="2414016"/>
            <wp:effectExtent l="0" t="0" r="0" b="0"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063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1"/>
      </w:pPr>
    </w:p>
    <w:p>
      <w:pPr>
        <w:spacing w:line="271" w:lineRule="auto" w:before="0"/>
        <w:ind w:left="116" w:right="218" w:firstLine="0"/>
        <w:jc w:val="left"/>
        <w:rPr>
          <w:b/>
          <w:sz w:val="16"/>
        </w:rPr>
      </w:pPr>
      <w:r>
        <w:rPr>
          <w:b/>
          <w:color w:val="231F20"/>
          <w:spacing w:val="-4"/>
          <w:sz w:val="16"/>
        </w:rPr>
        <w:t>Fig.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8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– Effect of aqueous extract of </w:t>
      </w:r>
      <w:r>
        <w:rPr>
          <w:b/>
          <w:i/>
          <w:color w:val="231F20"/>
          <w:spacing w:val="-4"/>
          <w:sz w:val="16"/>
        </w:rPr>
        <w:t>Ocimum gratissimum </w:t>
      </w:r>
      <w:r>
        <w:rPr>
          <w:b/>
          <w:color w:val="231F20"/>
          <w:spacing w:val="-4"/>
          <w:sz w:val="16"/>
        </w:rPr>
        <w:t>on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TBARS in gentamicin-induced kidney injury in rats.</w:t>
      </w:r>
      <w:r>
        <w:rPr>
          <w:b/>
          <w:color w:val="231F20"/>
          <w:spacing w:val="-12"/>
          <w:sz w:val="16"/>
        </w:rPr>
        <w:t> </w:t>
      </w:r>
      <w:r>
        <w:rPr>
          <w:b/>
          <w:color w:val="231F20"/>
          <w:spacing w:val="-4"/>
          <w:sz w:val="16"/>
        </w:rPr>
        <w:t>Values are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2"/>
          <w:sz w:val="16"/>
        </w:rPr>
        <w:t>given as mean </w:t>
      </w:r>
      <w:r>
        <w:rPr>
          <w:rFonts w:ascii="Noto Serif" w:hAnsi="Noto Serif"/>
          <w:b/>
          <w:color w:val="231F20"/>
          <w:spacing w:val="-2"/>
          <w:sz w:val="16"/>
        </w:rPr>
        <w:t>±</w:t>
      </w:r>
      <w:r>
        <w:rPr>
          <w:rFonts w:ascii="Noto Serif" w:hAnsi="Noto Serif"/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SEM.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* </w:t>
      </w:r>
      <w:r>
        <w:rPr>
          <w:rFonts w:ascii="Noto Serif" w:hAnsi="Noto Serif"/>
          <w:b/>
          <w:color w:val="231F20"/>
          <w:spacing w:val="-2"/>
          <w:sz w:val="16"/>
        </w:rPr>
        <w:t>=</w:t>
      </w:r>
      <w:r>
        <w:rPr>
          <w:rFonts w:ascii="Noto Serif" w:hAnsi="Noto Serif"/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Significantly different from control.</w:t>
      </w:r>
      <w:r>
        <w:rPr>
          <w:b/>
          <w:color w:val="231F20"/>
          <w:spacing w:val="-7"/>
          <w:sz w:val="16"/>
        </w:rPr>
        <w:t> </w:t>
      </w:r>
      <w:r>
        <w:rPr>
          <w:rFonts w:ascii="Noto Serif" w:hAnsi="Noto Serif"/>
          <w:b/>
          <w:color w:val="231F20"/>
          <w:spacing w:val="-2"/>
          <w:sz w:val="16"/>
        </w:rPr>
        <w:t>γ</w:t>
      </w:r>
      <w:r>
        <w:rPr>
          <w:rFonts w:ascii="Noto Serif" w:hAnsi="Noto Serif"/>
          <w:b/>
          <w:color w:val="231F20"/>
          <w:spacing w:val="-7"/>
          <w:sz w:val="16"/>
        </w:rPr>
        <w:t> </w:t>
      </w:r>
      <w:r>
        <w:rPr>
          <w:rFonts w:ascii="Noto Serif" w:hAnsi="Noto Serif"/>
          <w:b/>
          <w:color w:val="231F20"/>
          <w:spacing w:val="-2"/>
          <w:sz w:val="16"/>
        </w:rPr>
        <w:t>=</w:t>
      </w:r>
      <w:r>
        <w:rPr>
          <w:rFonts w:ascii="Noto Serif" w:hAnsi="Noto Serif"/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Significantly different from toxic control (p </w:t>
      </w:r>
      <w:r>
        <w:rPr>
          <w:rFonts w:ascii="Noto Serif" w:hAnsi="Noto Serif"/>
          <w:b/>
          <w:color w:val="231F20"/>
          <w:spacing w:val="-2"/>
          <w:sz w:val="16"/>
        </w:rPr>
        <w:t>&lt;</w:t>
      </w:r>
      <w:r>
        <w:rPr>
          <w:rFonts w:ascii="Noto Serif" w:hAnsi="Noto Serif"/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0.05).</w:t>
      </w:r>
    </w:p>
    <w:p>
      <w:pPr>
        <w:spacing w:after="0" w:line="271" w:lineRule="auto"/>
        <w:jc w:val="left"/>
        <w:rPr>
          <w:sz w:val="16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88" w:after="1"/>
        <w:rPr>
          <w:b/>
          <w:sz w:val="20"/>
        </w:rPr>
      </w:pPr>
    </w:p>
    <w:p>
      <w:pPr>
        <w:pStyle w:val="BodyText"/>
        <w:ind w:left="1909"/>
        <w:rPr>
          <w:sz w:val="20"/>
        </w:rPr>
      </w:pPr>
      <w:r>
        <w:rPr>
          <w:sz w:val="20"/>
        </w:rPr>
        <w:drawing>
          <wp:inline distT="0" distB="0" distL="0" distR="0">
            <wp:extent cx="4213407" cy="2676144"/>
            <wp:effectExtent l="0" t="0" r="0" b="0"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407" cy="267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5"/>
        <w:rPr>
          <w:b/>
        </w:rPr>
      </w:pPr>
    </w:p>
    <w:p>
      <w:pPr>
        <w:spacing w:line="271" w:lineRule="auto" w:before="1"/>
        <w:ind w:left="237" w:right="218" w:firstLine="0"/>
        <w:jc w:val="left"/>
        <w:rPr>
          <w:b/>
          <w:sz w:val="16"/>
        </w:rPr>
      </w:pPr>
      <w:bookmarkStart w:name="_bookmark9" w:id="36"/>
      <w:bookmarkEnd w:id="36"/>
      <w:r>
        <w:rPr/>
      </w:r>
      <w:r>
        <w:rPr>
          <w:b/>
          <w:color w:val="231F20"/>
          <w:spacing w:val="-4"/>
          <w:sz w:val="16"/>
        </w:rPr>
        <w:t>Fig.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9 – Effect of aqueous extract of </w:t>
      </w:r>
      <w:r>
        <w:rPr>
          <w:b/>
          <w:i/>
          <w:color w:val="231F20"/>
          <w:spacing w:val="-4"/>
          <w:sz w:val="16"/>
        </w:rPr>
        <w:t>Ocimum gratissimum </w:t>
      </w:r>
      <w:r>
        <w:rPr>
          <w:b/>
          <w:color w:val="231F20"/>
          <w:spacing w:val="-4"/>
          <w:sz w:val="16"/>
        </w:rPr>
        <w:t>on GSH in gentamicin-induced kidney injury in rats.</w:t>
      </w:r>
      <w:r>
        <w:rPr>
          <w:b/>
          <w:color w:val="231F20"/>
          <w:spacing w:val="-12"/>
          <w:sz w:val="16"/>
        </w:rPr>
        <w:t> </w:t>
      </w:r>
      <w:r>
        <w:rPr>
          <w:b/>
          <w:color w:val="231F20"/>
          <w:spacing w:val="-4"/>
          <w:sz w:val="16"/>
        </w:rPr>
        <w:t>Values are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2"/>
          <w:sz w:val="16"/>
        </w:rPr>
        <w:t>given as mean </w:t>
      </w:r>
      <w:r>
        <w:rPr>
          <w:rFonts w:ascii="Noto Serif" w:hAnsi="Noto Serif"/>
          <w:b/>
          <w:color w:val="231F20"/>
          <w:spacing w:val="-2"/>
          <w:sz w:val="16"/>
        </w:rPr>
        <w:t>±</w:t>
      </w:r>
      <w:r>
        <w:rPr>
          <w:rFonts w:ascii="Noto Serif" w:hAnsi="Noto Serif"/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SEM.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* </w:t>
      </w:r>
      <w:r>
        <w:rPr>
          <w:rFonts w:ascii="Noto Serif" w:hAnsi="Noto Serif"/>
          <w:b/>
          <w:color w:val="231F20"/>
          <w:spacing w:val="-2"/>
          <w:sz w:val="16"/>
        </w:rPr>
        <w:t>=</w:t>
      </w:r>
      <w:r>
        <w:rPr>
          <w:rFonts w:ascii="Noto Serif" w:hAnsi="Noto Serif"/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Significantly different from control.</w:t>
      </w:r>
      <w:r>
        <w:rPr>
          <w:b/>
          <w:color w:val="231F20"/>
          <w:spacing w:val="-7"/>
          <w:sz w:val="16"/>
        </w:rPr>
        <w:t> </w:t>
      </w:r>
      <w:r>
        <w:rPr>
          <w:rFonts w:ascii="Noto Serif" w:hAnsi="Noto Serif"/>
          <w:b/>
          <w:color w:val="231F20"/>
          <w:spacing w:val="-2"/>
          <w:sz w:val="16"/>
        </w:rPr>
        <w:t>γ</w:t>
      </w:r>
      <w:r>
        <w:rPr>
          <w:rFonts w:ascii="Noto Serif" w:hAnsi="Noto Serif"/>
          <w:b/>
          <w:color w:val="231F20"/>
          <w:spacing w:val="-7"/>
          <w:sz w:val="16"/>
        </w:rPr>
        <w:t> </w:t>
      </w:r>
      <w:r>
        <w:rPr>
          <w:rFonts w:ascii="Noto Serif" w:hAnsi="Noto Serif"/>
          <w:b/>
          <w:color w:val="231F20"/>
          <w:spacing w:val="-2"/>
          <w:sz w:val="16"/>
        </w:rPr>
        <w:t>=</w:t>
      </w:r>
      <w:r>
        <w:rPr>
          <w:rFonts w:ascii="Noto Serif" w:hAnsi="Noto Serif"/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Significantly different from toxic control (p </w:t>
      </w:r>
      <w:r>
        <w:rPr>
          <w:rFonts w:ascii="Noto Serif" w:hAnsi="Noto Serif"/>
          <w:b/>
          <w:color w:val="231F20"/>
          <w:spacing w:val="-2"/>
          <w:sz w:val="16"/>
        </w:rPr>
        <w:t>&lt;</w:t>
      </w:r>
      <w:r>
        <w:rPr>
          <w:rFonts w:ascii="Noto Serif" w:hAnsi="Noto Serif"/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0.05).</w:t>
      </w:r>
    </w:p>
    <w:p>
      <w:pPr>
        <w:pStyle w:val="BodyText"/>
        <w:spacing w:before="6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658622</wp:posOffset>
                </wp:positionH>
                <wp:positionV relativeFrom="paragraph">
                  <wp:posOffset>105818</wp:posOffset>
                </wp:positionV>
                <wp:extent cx="6318250" cy="1270"/>
                <wp:effectExtent l="0" t="0" r="0" b="0"/>
                <wp:wrapTopAndBottom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332152pt;width:497.5pt;height:.1pt;mso-position-horizontal-relative:page;mso-position-vertical-relative:paragraph;z-index:-15713280;mso-wrap-distance-left:0;mso-wrap-distance-right:0" id="docshape38" coordorigin="1037,167" coordsize="9950,0" path="m1037,167l10987,16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"/>
        <w:rPr>
          <w:b/>
          <w:sz w:val="18"/>
        </w:rPr>
      </w:pPr>
    </w:p>
    <w:p>
      <w:pPr>
        <w:spacing w:after="0"/>
        <w:rPr>
          <w:sz w:val="18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2" w:lineRule="auto" w:before="101"/>
        <w:ind w:left="237" w:right="38"/>
        <w:jc w:val="both"/>
      </w:pPr>
      <w:r>
        <w:rPr>
          <w:color w:val="231F20"/>
          <w:w w:val="110"/>
        </w:rPr>
        <w:t>reported that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AOGL administered at different doses caused </w:t>
      </w:r>
      <w:r>
        <w:rPr>
          <w:color w:val="231F20"/>
          <w:w w:val="110"/>
        </w:rPr>
        <w:t>a </w:t>
      </w:r>
      <w:r>
        <w:rPr>
          <w:color w:val="231F20"/>
          <w:spacing w:val="-2"/>
          <w:w w:val="110"/>
        </w:rPr>
        <w:t>significant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decrease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body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weight.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This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disparity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may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have </w:t>
      </w:r>
      <w:r>
        <w:rPr>
          <w:color w:val="231F20"/>
          <w:w w:val="110"/>
        </w:rPr>
        <w:t>resulted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differences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doses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administered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 </w:t>
      </w:r>
      <w:r>
        <w:rPr>
          <w:color w:val="231F20"/>
        </w:rPr>
        <w:t>rats. While Ajibade et al. used 400, 800, 1600 and 3200 mg/kg/</w:t>
      </w:r>
      <w:r>
        <w:rPr>
          <w:color w:val="231F20"/>
          <w:spacing w:val="40"/>
        </w:rPr>
        <w:t> </w:t>
      </w:r>
      <w:r>
        <w:rPr>
          <w:color w:val="231F20"/>
        </w:rPr>
        <w:t>bw, in this study 100, 200 and 400 mg/kg/bw were used.</w:t>
      </w:r>
      <w:r>
        <w:rPr>
          <w:color w:val="231F20"/>
          <w:spacing w:val="-5"/>
        </w:rPr>
        <w:t> </w:t>
      </w:r>
      <w:r>
        <w:rPr>
          <w:color w:val="231F20"/>
        </w:rPr>
        <w:t>Another</w:t>
      </w:r>
      <w:r>
        <w:rPr>
          <w:color w:val="231F20"/>
          <w:w w:val="110"/>
        </w:rPr>
        <w:t> possible explanation for the significant increase in food con- sumption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body</w:t>
      </w:r>
      <w:r>
        <w:rPr>
          <w:color w:val="231F20"/>
          <w:w w:val="110"/>
        </w:rPr>
        <w:t> weight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observed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groups treated with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AOGL could be due to its hypoglycemic property attributed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flavonoids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other</w:t>
      </w:r>
      <w:r>
        <w:rPr>
          <w:color w:val="231F20"/>
          <w:w w:val="110"/>
        </w:rPr>
        <w:t> phytochemical</w:t>
      </w:r>
      <w:r>
        <w:rPr>
          <w:color w:val="231F20"/>
          <w:w w:val="110"/>
        </w:rPr>
        <w:t> constitu- ents</w:t>
      </w:r>
      <w:r>
        <w:rPr>
          <w:color w:val="231F20"/>
          <w:spacing w:val="13"/>
          <w:w w:val="110"/>
        </w:rPr>
        <w:t> </w:t>
      </w:r>
      <w:hyperlink w:history="true" w:anchor="_bookmark34">
        <w:r>
          <w:rPr>
            <w:color w:val="00699D"/>
            <w:w w:val="110"/>
          </w:rPr>
          <w:t>[25]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extract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also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contains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major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mineral</w:t>
      </w:r>
      <w:r>
        <w:rPr>
          <w:color w:val="231F20"/>
          <w:spacing w:val="13"/>
          <w:w w:val="110"/>
        </w:rPr>
        <w:t> </w:t>
      </w:r>
      <w:r>
        <w:rPr>
          <w:color w:val="231F20"/>
          <w:spacing w:val="-2"/>
          <w:w w:val="110"/>
        </w:rPr>
        <w:t>elements,</w:t>
      </w:r>
    </w:p>
    <w:p>
      <w:pPr>
        <w:pStyle w:val="BodyText"/>
        <w:spacing w:line="302" w:lineRule="auto" w:before="4"/>
        <w:ind w:left="237" w:right="40"/>
        <w:jc w:val="both"/>
      </w:pPr>
      <w:r>
        <w:rPr>
          <w:color w:val="231F20"/>
          <w:w w:val="110"/>
        </w:rPr>
        <w:t>e.g. calcium, chloride, manganese, magnesium, zinc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po- </w:t>
      </w:r>
      <w:r>
        <w:rPr>
          <w:color w:val="231F20"/>
          <w:spacing w:val="-2"/>
          <w:w w:val="110"/>
        </w:rPr>
        <w:t>tassium,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which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might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also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play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contributory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role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enhancing </w:t>
      </w:r>
      <w:r>
        <w:rPr>
          <w:color w:val="231F20"/>
          <w:w w:val="110"/>
        </w:rPr>
        <w:t>its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hypoglycemic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property</w:t>
      </w:r>
      <w:r>
        <w:rPr>
          <w:color w:val="231F20"/>
          <w:spacing w:val="22"/>
          <w:w w:val="110"/>
        </w:rPr>
        <w:t> </w:t>
      </w:r>
      <w:hyperlink w:history="true" w:anchor="_bookmark34">
        <w:r>
          <w:rPr>
            <w:color w:val="00699D"/>
            <w:w w:val="110"/>
          </w:rPr>
          <w:t>[25]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Administration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7"/>
          <w:w w:val="110"/>
        </w:rPr>
        <w:t> </w:t>
      </w:r>
      <w:r>
        <w:rPr>
          <w:color w:val="231F20"/>
          <w:spacing w:val="-4"/>
          <w:w w:val="105"/>
        </w:rPr>
        <w:t>AOGL</w:t>
      </w:r>
    </w:p>
    <w:p>
      <w:pPr>
        <w:pStyle w:val="BodyText"/>
        <w:spacing w:line="302" w:lineRule="auto" w:before="101"/>
        <w:ind w:left="237" w:right="112"/>
        <w:jc w:val="both"/>
      </w:pPr>
      <w:r>
        <w:rPr/>
        <w:br w:type="column"/>
      </w:r>
      <w:r>
        <w:rPr>
          <w:color w:val="231F20"/>
          <w:w w:val="110"/>
        </w:rPr>
        <w:t>caused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significant</w:t>
      </w:r>
      <w:r>
        <w:rPr>
          <w:color w:val="231F20"/>
          <w:w w:val="110"/>
        </w:rPr>
        <w:t> reduction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plasma</w:t>
      </w:r>
      <w:r>
        <w:rPr>
          <w:color w:val="231F20"/>
          <w:w w:val="110"/>
        </w:rPr>
        <w:t> glucose</w:t>
      </w:r>
      <w:r>
        <w:rPr>
          <w:color w:val="231F20"/>
          <w:w w:val="110"/>
        </w:rPr>
        <w:t> level</w:t>
      </w:r>
      <w:r>
        <w:rPr>
          <w:color w:val="231F20"/>
          <w:w w:val="110"/>
        </w:rPr>
        <w:t> in </w:t>
      </w:r>
      <w:r>
        <w:rPr>
          <w:color w:val="231F20"/>
          <w:spacing w:val="-4"/>
          <w:w w:val="110"/>
        </w:rPr>
        <w:t>streptozotocin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induced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diabetic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rats</w:t>
      </w:r>
      <w:r>
        <w:rPr>
          <w:color w:val="231F20"/>
          <w:spacing w:val="-6"/>
          <w:w w:val="110"/>
        </w:rPr>
        <w:t> </w:t>
      </w:r>
      <w:hyperlink w:history="true" w:anchor="_bookmark35">
        <w:r>
          <w:rPr>
            <w:color w:val="00699D"/>
            <w:spacing w:val="-4"/>
            <w:w w:val="110"/>
          </w:rPr>
          <w:t>[26]</w:t>
        </w:r>
      </w:hyperlink>
      <w:r>
        <w:rPr>
          <w:color w:val="231F20"/>
          <w:spacing w:val="-4"/>
          <w:w w:val="110"/>
        </w:rPr>
        <w:t>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Decrease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plasma</w:t>
      </w:r>
      <w:r>
        <w:rPr>
          <w:color w:val="231F20"/>
          <w:w w:val="110"/>
        </w:rPr>
        <w:t> glucose level is said to inhibit the satiety center, thus activat- ing the feeding center to increase appetite leading to increase </w:t>
      </w:r>
      <w:r>
        <w:rPr>
          <w:color w:val="231F20"/>
          <w:spacing w:val="-4"/>
          <w:w w:val="110"/>
        </w:rPr>
        <w:t>in food intake </w:t>
      </w:r>
      <w:hyperlink w:history="true" w:anchor="_bookmark36">
        <w:r>
          <w:rPr>
            <w:color w:val="00699D"/>
            <w:spacing w:val="-4"/>
            <w:w w:val="110"/>
          </w:rPr>
          <w:t>[27]</w:t>
        </w:r>
      </w:hyperlink>
      <w:r>
        <w:rPr>
          <w:color w:val="231F20"/>
          <w:spacing w:val="-4"/>
          <w:w w:val="110"/>
        </w:rPr>
        <w:t>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Leptin,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a cytokine-like peptide hormone that</w:t>
      </w:r>
      <w:r>
        <w:rPr>
          <w:color w:val="231F20"/>
          <w:w w:val="110"/>
        </w:rPr>
        <w:t> is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secreted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adipose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cells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deficiency,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has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been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found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be responsible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hyperphagia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obesity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geneti- </w:t>
      </w:r>
      <w:r>
        <w:rPr>
          <w:color w:val="231F20"/>
          <w:spacing w:val="-4"/>
          <w:w w:val="110"/>
        </w:rPr>
        <w:t>cally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obese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mouse</w:t>
      </w:r>
      <w:r>
        <w:rPr>
          <w:color w:val="231F20"/>
          <w:spacing w:val="-6"/>
          <w:w w:val="110"/>
        </w:rPr>
        <w:t> </w:t>
      </w:r>
      <w:hyperlink w:history="true" w:anchor="_bookmark37">
        <w:r>
          <w:rPr>
            <w:color w:val="00699D"/>
            <w:spacing w:val="-4"/>
            <w:w w:val="110"/>
          </w:rPr>
          <w:t>[28]</w:t>
        </w:r>
      </w:hyperlink>
      <w:r>
        <w:rPr>
          <w:color w:val="231F20"/>
          <w:spacing w:val="-4"/>
          <w:w w:val="110"/>
        </w:rPr>
        <w:t>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Hence,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increase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food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consumption</w:t>
      </w:r>
      <w:r>
        <w:rPr>
          <w:color w:val="231F20"/>
          <w:w w:val="110"/>
        </w:rPr>
        <w:t> and body weight of rats treated with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AOGL is indicative of its ability to reduce the secretion of leptin.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This requires </w:t>
      </w:r>
      <w:r>
        <w:rPr>
          <w:color w:val="231F20"/>
          <w:w w:val="110"/>
        </w:rPr>
        <w:t>further </w:t>
      </w:r>
      <w:r>
        <w:rPr>
          <w:color w:val="231F20"/>
          <w:spacing w:val="-2"/>
          <w:w w:val="110"/>
        </w:rPr>
        <w:t>study.</w:t>
      </w:r>
    </w:p>
    <w:p>
      <w:pPr>
        <w:pStyle w:val="BodyText"/>
        <w:spacing w:line="302" w:lineRule="auto" w:before="5"/>
        <w:ind w:left="237" w:right="112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significant</w:t>
      </w:r>
      <w:r>
        <w:rPr>
          <w:color w:val="231F20"/>
          <w:w w:val="110"/>
        </w:rPr>
        <w:t> increase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urine</w:t>
      </w:r>
      <w:r>
        <w:rPr>
          <w:color w:val="231F20"/>
          <w:w w:val="110"/>
        </w:rPr>
        <w:t> volume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ob- </w:t>
      </w:r>
      <w:r>
        <w:rPr>
          <w:color w:val="231F20"/>
          <w:spacing w:val="-4"/>
          <w:w w:val="110"/>
        </w:rPr>
        <w:t>served in the toxic control rats without a corresponding increase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1" w:space="89"/>
            <w:col w:w="51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1" w:after="1"/>
        <w:rPr>
          <w:sz w:val="20"/>
        </w:rPr>
      </w:pPr>
    </w:p>
    <w:p>
      <w:pPr>
        <w:pStyle w:val="BodyText"/>
        <w:ind w:left="1909"/>
        <w:rPr>
          <w:sz w:val="20"/>
        </w:rPr>
      </w:pPr>
      <w:r>
        <w:rPr>
          <w:sz w:val="20"/>
        </w:rPr>
        <w:drawing>
          <wp:inline distT="0" distB="0" distL="0" distR="0">
            <wp:extent cx="4211698" cy="2529840"/>
            <wp:effectExtent l="0" t="0" r="0" b="0"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1698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8"/>
      </w:pPr>
    </w:p>
    <w:p>
      <w:pPr>
        <w:spacing w:line="261" w:lineRule="auto" w:before="0"/>
        <w:ind w:left="237" w:right="362" w:firstLine="0"/>
        <w:jc w:val="left"/>
        <w:rPr>
          <w:b/>
          <w:sz w:val="16"/>
        </w:rPr>
      </w:pPr>
      <w:r>
        <w:rPr>
          <w:b/>
          <w:color w:val="231F20"/>
          <w:spacing w:val="-4"/>
          <w:sz w:val="16"/>
        </w:rPr>
        <w:t>Fig. 10 – Effect of aqueous extract of </w:t>
      </w:r>
      <w:r>
        <w:rPr>
          <w:b/>
          <w:i/>
          <w:color w:val="231F20"/>
          <w:spacing w:val="-4"/>
          <w:sz w:val="16"/>
        </w:rPr>
        <w:t>Ocimum gratissimum </w:t>
      </w:r>
      <w:r>
        <w:rPr>
          <w:b/>
          <w:color w:val="231F20"/>
          <w:spacing w:val="-4"/>
          <w:sz w:val="16"/>
        </w:rPr>
        <w:t>on creatinine clearance in gentamicin-induced kidney injury in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2"/>
          <w:sz w:val="16"/>
        </w:rPr>
        <w:t>rats.</w:t>
      </w:r>
      <w:r>
        <w:rPr>
          <w:b/>
          <w:color w:val="231F20"/>
          <w:spacing w:val="-12"/>
          <w:sz w:val="16"/>
        </w:rPr>
        <w:t> </w:t>
      </w:r>
      <w:r>
        <w:rPr>
          <w:b/>
          <w:color w:val="231F20"/>
          <w:spacing w:val="-2"/>
          <w:sz w:val="16"/>
        </w:rPr>
        <w:t>Values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are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given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as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mean</w:t>
      </w:r>
      <w:r>
        <w:rPr>
          <w:b/>
          <w:color w:val="231F20"/>
          <w:spacing w:val="-5"/>
          <w:sz w:val="16"/>
        </w:rPr>
        <w:t> </w:t>
      </w:r>
      <w:r>
        <w:rPr>
          <w:rFonts w:ascii="Noto Serif" w:hAnsi="Noto Serif"/>
          <w:b/>
          <w:color w:val="231F20"/>
          <w:spacing w:val="-2"/>
          <w:sz w:val="16"/>
        </w:rPr>
        <w:t>±</w:t>
      </w:r>
      <w:r>
        <w:rPr>
          <w:rFonts w:ascii="Noto Serif" w:hAnsi="Noto Serif"/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SEM.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*</w:t>
      </w:r>
      <w:r>
        <w:rPr>
          <w:b/>
          <w:color w:val="231F20"/>
          <w:spacing w:val="-4"/>
          <w:sz w:val="16"/>
        </w:rPr>
        <w:t> </w:t>
      </w:r>
      <w:r>
        <w:rPr>
          <w:rFonts w:ascii="Noto Serif" w:hAnsi="Noto Serif"/>
          <w:b/>
          <w:color w:val="231F20"/>
          <w:spacing w:val="-2"/>
          <w:sz w:val="16"/>
        </w:rPr>
        <w:t>=</w:t>
      </w:r>
      <w:r>
        <w:rPr>
          <w:rFonts w:ascii="Noto Serif" w:hAnsi="Noto Serif"/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Significantly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different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from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control.</w:t>
      </w:r>
      <w:r>
        <w:rPr>
          <w:b/>
          <w:color w:val="231F20"/>
          <w:spacing w:val="-9"/>
          <w:sz w:val="16"/>
        </w:rPr>
        <w:t> </w:t>
      </w:r>
      <w:r>
        <w:rPr>
          <w:rFonts w:ascii="Noto Serif" w:hAnsi="Noto Serif"/>
          <w:b/>
          <w:color w:val="231F20"/>
          <w:spacing w:val="-2"/>
          <w:sz w:val="16"/>
        </w:rPr>
        <w:t>γ</w:t>
      </w:r>
      <w:r>
        <w:rPr>
          <w:rFonts w:ascii="Noto Serif" w:hAnsi="Noto Serif"/>
          <w:b/>
          <w:color w:val="231F20"/>
          <w:spacing w:val="-8"/>
          <w:sz w:val="16"/>
        </w:rPr>
        <w:t> </w:t>
      </w:r>
      <w:r>
        <w:rPr>
          <w:rFonts w:ascii="Noto Serif" w:hAnsi="Noto Serif"/>
          <w:b/>
          <w:color w:val="231F20"/>
          <w:spacing w:val="-2"/>
          <w:sz w:val="16"/>
        </w:rPr>
        <w:t>=</w:t>
      </w:r>
      <w:r>
        <w:rPr>
          <w:rFonts w:ascii="Noto Serif" w:hAnsi="Noto Serif"/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Significantly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different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from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toxic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control</w:t>
      </w:r>
      <w:r>
        <w:rPr>
          <w:b/>
          <w:color w:val="231F20"/>
          <w:sz w:val="16"/>
        </w:rPr>
        <w:t> (p </w:t>
      </w:r>
      <w:r>
        <w:rPr>
          <w:rFonts w:ascii="Noto Serif" w:hAnsi="Noto Serif"/>
          <w:b/>
          <w:color w:val="231F20"/>
          <w:sz w:val="16"/>
        </w:rPr>
        <w:t>&lt; </w:t>
      </w:r>
      <w:r>
        <w:rPr>
          <w:b/>
          <w:color w:val="231F20"/>
          <w:sz w:val="16"/>
        </w:rPr>
        <w:t>0.05).</w:t>
      </w:r>
    </w:p>
    <w:p>
      <w:pPr>
        <w:spacing w:after="0" w:line="261" w:lineRule="auto"/>
        <w:jc w:val="left"/>
        <w:rPr>
          <w:sz w:val="16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before="78"/>
        <w:rPr>
          <w:b/>
          <w:sz w:val="20"/>
        </w:rPr>
      </w:pPr>
    </w:p>
    <w:p>
      <w:pPr>
        <w:tabs>
          <w:tab w:pos="5276" w:val="left" w:leader="none"/>
        </w:tabs>
        <w:spacing w:line="240" w:lineRule="auto"/>
        <w:ind w:left="11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050132" cy="2289048"/>
            <wp:effectExtent l="0" t="0" r="0" b="0"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132" cy="228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3050132" cy="2289048"/>
            <wp:effectExtent l="0" t="0" r="0" b="0"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132" cy="228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b/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38" w:footer="0" w:top="1060" w:bottom="280" w:left="800" w:right="800"/>
        </w:sectPr>
      </w:pPr>
    </w:p>
    <w:p>
      <w:pPr>
        <w:spacing w:line="292" w:lineRule="auto" w:before="103"/>
        <w:ind w:left="116" w:right="15" w:firstLine="0"/>
        <w:jc w:val="left"/>
        <w:rPr>
          <w:b/>
          <w:sz w:val="16"/>
        </w:rPr>
      </w:pPr>
      <w:bookmarkStart w:name="_bookmark10" w:id="37"/>
      <w:bookmarkEnd w:id="37"/>
      <w:r>
        <w:rPr/>
      </w:r>
      <w:r>
        <w:rPr>
          <w:b/>
          <w:color w:val="231F20"/>
          <w:spacing w:val="-2"/>
          <w:sz w:val="16"/>
        </w:rPr>
        <w:t>Fig.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11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–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Photomicrograph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kidney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control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(CN).</w:t>
      </w:r>
      <w:r>
        <w:rPr>
          <w:b/>
          <w:color w:val="231F20"/>
          <w:sz w:val="16"/>
        </w:rPr>
        <w:t> H&amp;E</w:t>
      </w:r>
      <w:r>
        <w:rPr>
          <w:b/>
          <w:color w:val="231F20"/>
          <w:spacing w:val="-6"/>
          <w:sz w:val="16"/>
        </w:rPr>
        <w:t> </w:t>
      </w:r>
      <w:r>
        <w:rPr>
          <w:rFonts w:ascii="Noto Serif" w:hAnsi="Noto Serif"/>
          <w:b/>
          <w:color w:val="231F20"/>
          <w:sz w:val="16"/>
        </w:rPr>
        <w:t>×</w:t>
      </w:r>
      <w:r>
        <w:rPr>
          <w:b/>
          <w:color w:val="231F20"/>
          <w:sz w:val="16"/>
        </w:rPr>
        <w:t>400.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Intact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z w:val="16"/>
        </w:rPr>
        <w:t>renal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z w:val="16"/>
        </w:rPr>
        <w:t>corpuscles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z w:val="16"/>
        </w:rPr>
        <w:t>with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z w:val="16"/>
        </w:rPr>
        <w:t>normal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z w:val="16"/>
        </w:rPr>
        <w:t>appearing </w:t>
      </w:r>
      <w:r>
        <w:rPr>
          <w:b/>
          <w:color w:val="231F20"/>
          <w:spacing w:val="-4"/>
          <w:sz w:val="16"/>
        </w:rPr>
        <w:t>glomeruli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(G)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and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tubules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(T),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including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the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PCT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(P)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and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DCT</w:t>
      </w:r>
      <w:r>
        <w:rPr>
          <w:b/>
          <w:color w:val="231F20"/>
          <w:sz w:val="16"/>
        </w:rPr>
        <w:t> (D),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z w:val="16"/>
        </w:rPr>
        <w:t>are seen in control,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z w:val="16"/>
        </w:rPr>
        <w:t>as well as intact Bowman space (black arrow) and epithelial lining of Bowman capsule </w:t>
      </w:r>
      <w:r>
        <w:rPr>
          <w:b/>
          <w:color w:val="231F20"/>
          <w:spacing w:val="-2"/>
          <w:sz w:val="16"/>
        </w:rPr>
        <w:t>(arrowhead).</w:t>
      </w:r>
    </w:p>
    <w:p>
      <w:pPr>
        <w:spacing w:line="292" w:lineRule="auto" w:before="103"/>
        <w:ind w:left="116" w:right="121" w:firstLine="0"/>
        <w:jc w:val="left"/>
        <w:rPr>
          <w:b/>
          <w:sz w:val="16"/>
        </w:rPr>
      </w:pPr>
      <w:r>
        <w:rPr/>
        <w:br w:type="column"/>
      </w:r>
      <w:r>
        <w:rPr>
          <w:b/>
          <w:color w:val="231F20"/>
          <w:sz w:val="16"/>
        </w:rPr>
        <w:t>Fig.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13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–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Photomicrograph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kidney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toxic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recovery group.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H&amp;E</w:t>
      </w:r>
      <w:r>
        <w:rPr>
          <w:b/>
          <w:color w:val="231F20"/>
          <w:spacing w:val="-6"/>
          <w:sz w:val="16"/>
        </w:rPr>
        <w:t> </w:t>
      </w:r>
      <w:r>
        <w:rPr>
          <w:rFonts w:ascii="Noto Serif" w:hAnsi="Noto Serif"/>
          <w:b/>
          <w:color w:val="231F20"/>
          <w:sz w:val="16"/>
        </w:rPr>
        <w:t>×</w:t>
      </w:r>
      <w:r>
        <w:rPr>
          <w:b/>
          <w:color w:val="231F20"/>
          <w:sz w:val="16"/>
        </w:rPr>
        <w:t>400.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Marked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decreased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z w:val="16"/>
        </w:rPr>
        <w:t>cellularity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z w:val="16"/>
        </w:rPr>
        <w:t>in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z w:val="16"/>
        </w:rPr>
        <w:t>the glomeruli,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loss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cellular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constituents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tubules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(double </w:t>
      </w:r>
      <w:r>
        <w:rPr>
          <w:b/>
          <w:color w:val="231F20"/>
          <w:spacing w:val="-2"/>
          <w:sz w:val="16"/>
        </w:rPr>
        <w:t>arrow),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densely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eosinophilic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(‘colloid’)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cast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in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lumen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z w:val="16"/>
        </w:rPr>
        <w:t> some tubules (dashed arrow), and cloudy swelling/ inflammation of the proximal and distal convoluted</w:t>
      </w:r>
    </w:p>
    <w:p>
      <w:pPr>
        <w:spacing w:after="0" w:line="292" w:lineRule="auto"/>
        <w:jc w:val="left"/>
        <w:rPr>
          <w:sz w:val="16"/>
        </w:rPr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7" w:space="203"/>
            <w:col w:w="5150"/>
          </w:cols>
        </w:sectPr>
      </w:pPr>
    </w:p>
    <w:p>
      <w:pPr>
        <w:tabs>
          <w:tab w:pos="4789" w:val="left" w:leader="none"/>
          <w:tab w:pos="5160" w:val="left" w:leader="none"/>
        </w:tabs>
        <w:spacing w:before="8"/>
        <w:ind w:left="0" w:right="722" w:firstLine="0"/>
        <w:jc w:val="center"/>
        <w:rPr>
          <w:b/>
          <w:sz w:val="16"/>
        </w:rPr>
      </w:pPr>
      <w:r>
        <w:rPr>
          <w:b/>
          <w:color w:val="231F20"/>
          <w:sz w:val="16"/>
          <w:u w:val="single" w:color="231F20"/>
        </w:rPr>
        <w:tab/>
      </w:r>
      <w:r>
        <w:rPr>
          <w:b/>
          <w:color w:val="231F20"/>
          <w:sz w:val="16"/>
          <w:u w:val="none"/>
        </w:rPr>
        <w:tab/>
      </w:r>
      <w:r>
        <w:rPr>
          <w:b/>
          <w:color w:val="231F20"/>
          <w:spacing w:val="-2"/>
          <w:sz w:val="16"/>
          <w:u w:val="none"/>
        </w:rPr>
        <w:t>tubules</w:t>
      </w:r>
      <w:r>
        <w:rPr>
          <w:b/>
          <w:color w:val="231F20"/>
          <w:spacing w:val="-4"/>
          <w:sz w:val="16"/>
          <w:u w:val="none"/>
        </w:rPr>
        <w:t> </w:t>
      </w:r>
      <w:r>
        <w:rPr>
          <w:b/>
          <w:color w:val="231F20"/>
          <w:spacing w:val="-2"/>
          <w:sz w:val="16"/>
          <w:u w:val="none"/>
        </w:rPr>
        <w:t>(yellow</w:t>
      </w:r>
      <w:r>
        <w:rPr>
          <w:b/>
          <w:color w:val="231F20"/>
          <w:spacing w:val="-3"/>
          <w:sz w:val="16"/>
          <w:u w:val="none"/>
        </w:rPr>
        <w:t> </w:t>
      </w:r>
      <w:r>
        <w:rPr>
          <w:b/>
          <w:color w:val="231F20"/>
          <w:spacing w:val="-2"/>
          <w:sz w:val="16"/>
          <w:u w:val="none"/>
        </w:rPr>
        <w:t>arrow)</w:t>
      </w:r>
      <w:r>
        <w:rPr>
          <w:b/>
          <w:color w:val="231F20"/>
          <w:spacing w:val="-4"/>
          <w:sz w:val="16"/>
          <w:u w:val="none"/>
        </w:rPr>
        <w:t> </w:t>
      </w:r>
      <w:r>
        <w:rPr>
          <w:b/>
          <w:color w:val="231F20"/>
          <w:spacing w:val="-2"/>
          <w:sz w:val="16"/>
          <w:u w:val="none"/>
        </w:rPr>
        <w:t>are</w:t>
      </w:r>
      <w:r>
        <w:rPr>
          <w:b/>
          <w:color w:val="231F20"/>
          <w:spacing w:val="-3"/>
          <w:sz w:val="16"/>
          <w:u w:val="none"/>
        </w:rPr>
        <w:t> </w:t>
      </w:r>
      <w:r>
        <w:rPr>
          <w:b/>
          <w:color w:val="231F20"/>
          <w:spacing w:val="-2"/>
          <w:sz w:val="16"/>
          <w:u w:val="none"/>
        </w:rPr>
        <w:t>seen</w:t>
      </w:r>
      <w:r>
        <w:rPr>
          <w:b/>
          <w:color w:val="231F20"/>
          <w:spacing w:val="-4"/>
          <w:sz w:val="16"/>
          <w:u w:val="none"/>
        </w:rPr>
        <w:t> </w:t>
      </w:r>
      <w:r>
        <w:rPr>
          <w:b/>
          <w:color w:val="231F20"/>
          <w:spacing w:val="-2"/>
          <w:sz w:val="16"/>
          <w:u w:val="none"/>
        </w:rPr>
        <w:t>in</w:t>
      </w:r>
      <w:r>
        <w:rPr>
          <w:b/>
          <w:color w:val="231F20"/>
          <w:spacing w:val="-3"/>
          <w:sz w:val="16"/>
          <w:u w:val="none"/>
        </w:rPr>
        <w:t> </w:t>
      </w:r>
      <w:r>
        <w:rPr>
          <w:b/>
          <w:color w:val="231F20"/>
          <w:spacing w:val="-2"/>
          <w:sz w:val="16"/>
          <w:u w:val="none"/>
        </w:rPr>
        <w:t>the</w:t>
      </w:r>
      <w:r>
        <w:rPr>
          <w:b/>
          <w:color w:val="231F20"/>
          <w:spacing w:val="-4"/>
          <w:sz w:val="16"/>
          <w:u w:val="none"/>
        </w:rPr>
        <w:t> </w:t>
      </w:r>
      <w:r>
        <w:rPr>
          <w:b/>
          <w:color w:val="231F20"/>
          <w:spacing w:val="-2"/>
          <w:sz w:val="16"/>
          <w:u w:val="none"/>
        </w:rPr>
        <w:t>toxic</w:t>
      </w:r>
      <w:r>
        <w:rPr>
          <w:b/>
          <w:color w:val="231F20"/>
          <w:spacing w:val="-3"/>
          <w:sz w:val="16"/>
          <w:u w:val="none"/>
        </w:rPr>
        <w:t> </w:t>
      </w:r>
      <w:r>
        <w:rPr>
          <w:b/>
          <w:color w:val="231F20"/>
          <w:spacing w:val="-2"/>
          <w:sz w:val="16"/>
          <w:u w:val="none"/>
        </w:rPr>
        <w:t>recovery</w:t>
      </w:r>
    </w:p>
    <w:p>
      <w:pPr>
        <w:spacing w:line="169" w:lineRule="exact" w:before="47"/>
        <w:ind w:left="1821" w:right="1064" w:firstLine="0"/>
        <w:jc w:val="center"/>
        <w:rPr>
          <w:b/>
          <w:sz w:val="16"/>
        </w:rPr>
      </w:pPr>
      <w:r>
        <w:rPr>
          <w:b/>
          <w:color w:val="231F20"/>
          <w:spacing w:val="-2"/>
          <w:sz w:val="16"/>
        </w:rPr>
        <w:t>group.</w:t>
      </w:r>
    </w:p>
    <w:p>
      <w:pPr>
        <w:spacing w:after="0" w:line="169" w:lineRule="exact"/>
        <w:jc w:val="center"/>
        <w:rPr>
          <w:sz w:val="16"/>
        </w:rPr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BodyText"/>
        <w:spacing w:line="302" w:lineRule="auto" w:before="2"/>
        <w:ind w:left="116" w:right="44"/>
        <w:jc w:val="both"/>
      </w:pPr>
      <w:r>
        <w:rPr>
          <w:color w:val="231F20"/>
          <w:w w:val="110"/>
        </w:rPr>
        <w:t>in</w:t>
      </w:r>
      <w:r>
        <w:rPr>
          <w:color w:val="231F20"/>
          <w:w w:val="110"/>
        </w:rPr>
        <w:t> water</w:t>
      </w:r>
      <w:r>
        <w:rPr>
          <w:color w:val="231F20"/>
          <w:w w:val="110"/>
        </w:rPr>
        <w:t> intake</w:t>
      </w:r>
      <w:r>
        <w:rPr>
          <w:color w:val="231F20"/>
          <w:w w:val="110"/>
        </w:rPr>
        <w:t> may</w:t>
      </w:r>
      <w:r>
        <w:rPr>
          <w:color w:val="231F20"/>
          <w:w w:val="110"/>
        </w:rPr>
        <w:t> lead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dehydration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severe</w:t>
      </w:r>
      <w:r>
        <w:rPr>
          <w:color w:val="231F20"/>
          <w:w w:val="110"/>
        </w:rPr>
        <w:t> deple- 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major</w:t>
      </w:r>
      <w:r>
        <w:rPr>
          <w:color w:val="231F20"/>
          <w:w w:val="110"/>
        </w:rPr>
        <w:t> electrolytes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their</w:t>
      </w:r>
      <w:r>
        <w:rPr>
          <w:color w:val="231F20"/>
          <w:w w:val="110"/>
        </w:rPr>
        <w:t> body</w:t>
      </w:r>
      <w:r>
        <w:rPr>
          <w:color w:val="231F20"/>
          <w:w w:val="110"/>
        </w:rPr>
        <w:t> fluid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the </w:t>
      </w:r>
      <w:r>
        <w:rPr>
          <w:color w:val="231F20"/>
          <w:spacing w:val="-2"/>
          <w:w w:val="110"/>
        </w:rPr>
        <w:t>attendant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consequences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on the cardiovascular system.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This ob- served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change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urine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volume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accordance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finding </w:t>
      </w:r>
      <w:r>
        <w:rPr>
          <w:color w:val="231F20"/>
          <w:w w:val="110"/>
        </w:rPr>
        <w:t>of El-Zawahry and Abu El Kheir </w:t>
      </w:r>
      <w:hyperlink w:history="true" w:anchor="_bookmark26">
        <w:r>
          <w:rPr>
            <w:color w:val="00699D"/>
            <w:w w:val="110"/>
          </w:rPr>
          <w:t>[17]</w:t>
        </w:r>
      </w:hyperlink>
      <w:r>
        <w:rPr>
          <w:color w:val="231F20"/>
          <w:w w:val="110"/>
        </w:rPr>
        <w:t>, who reported that gen- tamicin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administration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rats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induced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polyuria.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However,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water intake of the toxic recovery group and rats treated with AOGL</w:t>
      </w:r>
      <w:r>
        <w:rPr>
          <w:color w:val="231F20"/>
          <w:w w:val="110"/>
        </w:rPr>
        <w:t> increased</w:t>
      </w:r>
      <w:r>
        <w:rPr>
          <w:color w:val="231F20"/>
          <w:w w:val="110"/>
        </w:rPr>
        <w:t> significantly</w:t>
      </w:r>
      <w:r>
        <w:rPr>
          <w:color w:val="231F20"/>
          <w:w w:val="110"/>
        </w:rPr>
        <w:t> without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corresponding</w:t>
      </w:r>
      <w:r>
        <w:rPr>
          <w:color w:val="231F20"/>
          <w:w w:val="110"/>
        </w:rPr>
        <w:t> in- crease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 urine output.</w:t>
      </w:r>
      <w:r>
        <w:rPr>
          <w:color w:val="231F20"/>
          <w:spacing w:val="-18"/>
          <w:w w:val="110"/>
        </w:rPr>
        <w:t> </w:t>
      </w:r>
      <w:r>
        <w:rPr>
          <w:color w:val="231F20"/>
          <w:w w:val="110"/>
        </w:rPr>
        <w:t>This could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be due to an attempt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by </w:t>
      </w:r>
      <w:r>
        <w:rPr>
          <w:color w:val="231F20"/>
          <w:spacing w:val="-5"/>
          <w:w w:val="110"/>
        </w:rPr>
        <w:t>the</w:t>
      </w:r>
    </w:p>
    <w:p>
      <w:pPr>
        <w:pStyle w:val="BodyText"/>
        <w:spacing w:before="18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581939</wp:posOffset>
            </wp:positionH>
            <wp:positionV relativeFrom="paragraph">
              <wp:posOffset>275932</wp:posOffset>
            </wp:positionV>
            <wp:extent cx="3050132" cy="2289048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132" cy="228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"/>
      </w:pPr>
    </w:p>
    <w:p>
      <w:pPr>
        <w:spacing w:line="292" w:lineRule="auto" w:before="0"/>
        <w:ind w:left="116" w:right="15" w:firstLine="0"/>
        <w:jc w:val="left"/>
        <w:rPr>
          <w:b/>
          <w:sz w:val="16"/>
        </w:rPr>
      </w:pPr>
      <w:r>
        <w:rPr>
          <w:b/>
          <w:color w:val="231F20"/>
          <w:spacing w:val="-2"/>
          <w:sz w:val="16"/>
        </w:rPr>
        <w:t>Fig.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12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–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Photomicrograph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kidney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toxic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control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(TX).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H&amp;E </w:t>
      </w:r>
      <w:r>
        <w:rPr>
          <w:rFonts w:ascii="Noto Serif" w:hAnsi="Noto Serif"/>
          <w:b/>
          <w:color w:val="231F20"/>
          <w:spacing w:val="-4"/>
          <w:sz w:val="16"/>
        </w:rPr>
        <w:t>×</w:t>
      </w:r>
      <w:r>
        <w:rPr>
          <w:b/>
          <w:color w:val="231F20"/>
          <w:spacing w:val="-4"/>
          <w:sz w:val="16"/>
        </w:rPr>
        <w:t>400.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Decreased cellularity in the glomeruli,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loss</w:t>
      </w:r>
      <w:r>
        <w:rPr>
          <w:b/>
          <w:color w:val="231F20"/>
          <w:sz w:val="16"/>
        </w:rPr>
        <w:t> of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cellular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constituents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tubules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(double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arrow),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densely eosinophilic (‘colloid’) cast in the lumen of some tubules (dashed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arrow)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resulting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in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atrophy,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loss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epithelia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cells and severe cloudy swelling/inflammation of the distal convoluted tubules (yellow arrow) are observed in the</w:t>
      </w:r>
    </w:p>
    <w:p>
      <w:pPr>
        <w:spacing w:before="10"/>
        <w:ind w:left="116" w:right="0" w:firstLine="0"/>
        <w:jc w:val="left"/>
        <w:rPr>
          <w:b/>
          <w:sz w:val="16"/>
        </w:rPr>
      </w:pPr>
      <w:r>
        <w:rPr>
          <w:b/>
          <w:color w:val="231F20"/>
          <w:spacing w:val="-4"/>
          <w:sz w:val="16"/>
        </w:rPr>
        <w:t>toxic</w:t>
      </w:r>
      <w:r>
        <w:rPr>
          <w:b/>
          <w:color w:val="231F20"/>
          <w:spacing w:val="2"/>
          <w:sz w:val="16"/>
        </w:rPr>
        <w:t> </w:t>
      </w:r>
      <w:r>
        <w:rPr>
          <w:b/>
          <w:color w:val="231F20"/>
          <w:spacing w:val="-4"/>
          <w:sz w:val="16"/>
        </w:rPr>
        <w:t>control</w:t>
      </w:r>
      <w:r>
        <w:rPr>
          <w:b/>
          <w:color w:val="231F20"/>
          <w:spacing w:val="2"/>
          <w:sz w:val="16"/>
        </w:rPr>
        <w:t> </w:t>
      </w:r>
      <w:r>
        <w:rPr>
          <w:b/>
          <w:color w:val="231F20"/>
          <w:spacing w:val="-4"/>
          <w:sz w:val="16"/>
        </w:rPr>
        <w:t>group.</w:t>
      </w:r>
    </w:p>
    <w:p>
      <w:pPr>
        <w:spacing w:line="240" w:lineRule="auto" w:before="3" w:after="25"/>
        <w:rPr>
          <w:b/>
          <w:sz w:val="17"/>
        </w:rPr>
      </w:pPr>
      <w:r>
        <w:rPr/>
        <w:br w:type="column"/>
      </w:r>
      <w:r>
        <w:rPr>
          <w:b/>
          <w:sz w:val="17"/>
        </w:rPr>
      </w: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3810"/>
                <wp:effectExtent l="9525" t="0" r="0" b="5715"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3041650" cy="3810"/>
                          <a:chExt cx="3041650" cy="381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1708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.3pt;mso-position-horizontal-relative:char;mso-position-vertical-relative:line" id="docshapegroup39" coordorigin="0,0" coordsize="4790,6">
                <v:line style="position:absolute" from="0,3" to="4789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7"/>
        <w:rPr>
          <w:b/>
        </w:rPr>
      </w:pPr>
    </w:p>
    <w:p>
      <w:pPr>
        <w:pStyle w:val="BodyText"/>
        <w:spacing w:line="302" w:lineRule="auto" w:before="1"/>
        <w:ind w:left="116" w:right="235"/>
        <w:jc w:val="both"/>
      </w:pPr>
      <w:r>
        <w:rPr>
          <w:color w:val="231F20"/>
          <w:w w:val="110"/>
        </w:rPr>
        <w:t>rats to restore the body fluid volume resulting from </w:t>
      </w:r>
      <w:r>
        <w:rPr>
          <w:color w:val="231F20"/>
          <w:w w:val="110"/>
        </w:rPr>
        <w:t>dehydra- </w:t>
      </w:r>
      <w:r>
        <w:rPr>
          <w:color w:val="231F20"/>
          <w:spacing w:val="-4"/>
          <w:w w:val="110"/>
        </w:rPr>
        <w:t>tion that followed gentamicin treatment or increased osmolarity</w:t>
      </w:r>
      <w:r>
        <w:rPr>
          <w:color w:val="231F20"/>
          <w:w w:val="110"/>
        </w:rPr>
        <w:t> caused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depletion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their</w:t>
      </w:r>
      <w:r>
        <w:rPr>
          <w:color w:val="231F20"/>
          <w:w w:val="110"/>
        </w:rPr>
        <w:t> body</w:t>
      </w:r>
      <w:r>
        <w:rPr>
          <w:color w:val="231F20"/>
          <w:w w:val="110"/>
        </w:rPr>
        <w:t> fluid. This</w:t>
      </w:r>
      <w:r>
        <w:rPr>
          <w:color w:val="231F20"/>
          <w:w w:val="110"/>
        </w:rPr>
        <w:t> leads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stimu- lation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osmoreceptor</w:t>
      </w:r>
      <w:r>
        <w:rPr>
          <w:color w:val="231F20"/>
          <w:w w:val="110"/>
        </w:rPr>
        <w:t> cells</w:t>
      </w:r>
      <w:r>
        <w:rPr>
          <w:color w:val="231F20"/>
          <w:w w:val="110"/>
        </w:rPr>
        <w:t> which</w:t>
      </w:r>
      <w:r>
        <w:rPr>
          <w:color w:val="231F20"/>
          <w:w w:val="110"/>
        </w:rPr>
        <w:t> activate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thirst</w:t>
      </w:r>
      <w:r>
        <w:rPr>
          <w:color w:val="231F20"/>
          <w:w w:val="110"/>
        </w:rPr>
        <w:t> center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in the hypothalamus to facilitate increase in water intake.</w:t>
      </w:r>
    </w:p>
    <w:p>
      <w:pPr>
        <w:pStyle w:val="BodyText"/>
        <w:spacing w:line="302" w:lineRule="auto" w:before="2"/>
        <w:ind w:left="116" w:right="233" w:firstLine="239"/>
        <w:jc w:val="both"/>
      </w:pPr>
      <w:r>
        <w:rPr>
          <w:color w:val="231F20"/>
          <w:w w:val="110"/>
        </w:rPr>
        <w:t>The significant increase in relative kidney weight that was observed in the toxic control group and toxic recovery </w:t>
      </w:r>
      <w:r>
        <w:rPr>
          <w:color w:val="231F20"/>
          <w:w w:val="110"/>
        </w:rPr>
        <w:t>group may be due to inflammation in response to injury caused by this drug.</w:t>
      </w:r>
      <w:r>
        <w:rPr>
          <w:color w:val="231F20"/>
          <w:spacing w:val="-15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corroborated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photomicrograph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pStyle w:val="BodyText"/>
        <w:spacing w:before="18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3858653</wp:posOffset>
            </wp:positionH>
            <wp:positionV relativeFrom="paragraph">
              <wp:posOffset>274743</wp:posOffset>
            </wp:positionV>
            <wp:extent cx="3050132" cy="2289048"/>
            <wp:effectExtent l="0" t="0" r="0" b="0"/>
            <wp:wrapTopAndBottom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132" cy="228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"/>
      </w:pPr>
    </w:p>
    <w:p>
      <w:pPr>
        <w:spacing w:line="292" w:lineRule="auto" w:before="0"/>
        <w:ind w:left="116" w:right="121" w:firstLine="0"/>
        <w:jc w:val="left"/>
        <w:rPr>
          <w:b/>
          <w:sz w:val="16"/>
        </w:rPr>
      </w:pPr>
      <w:r>
        <w:rPr>
          <w:b/>
          <w:color w:val="231F20"/>
          <w:sz w:val="16"/>
        </w:rPr>
        <w:t>Fig. 14 – Photomicrograph of the kidney of 2 weeks’ treatment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with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100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mg/kg/day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AOGL.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H&amp;E</w:t>
      </w:r>
      <w:r>
        <w:rPr>
          <w:b/>
          <w:color w:val="231F20"/>
          <w:spacing w:val="-8"/>
          <w:sz w:val="16"/>
        </w:rPr>
        <w:t> </w:t>
      </w:r>
      <w:r>
        <w:rPr>
          <w:rFonts w:ascii="Noto Serif" w:hAnsi="Noto Serif"/>
          <w:b/>
          <w:color w:val="231F20"/>
          <w:sz w:val="16"/>
        </w:rPr>
        <w:t>×</w:t>
      </w:r>
      <w:r>
        <w:rPr>
          <w:b/>
          <w:color w:val="231F20"/>
          <w:sz w:val="16"/>
        </w:rPr>
        <w:t>400. Glomeruli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(G)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and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surrounding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Bowman’s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space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(black arrow) are mostly intact.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There is slight loss of cellular </w:t>
      </w:r>
      <w:r>
        <w:rPr>
          <w:b/>
          <w:color w:val="231F20"/>
          <w:spacing w:val="-2"/>
          <w:sz w:val="16"/>
        </w:rPr>
        <w:t>constituents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tubules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and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no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eosinophilic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(‘colloid’)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casts</w:t>
      </w:r>
      <w:r>
        <w:rPr>
          <w:b/>
          <w:color w:val="231F20"/>
          <w:sz w:val="16"/>
        </w:rPr>
        <w:t> are observed in the lumen of tubules.</w:t>
      </w:r>
    </w:p>
    <w:p>
      <w:pPr>
        <w:spacing w:after="0" w:line="292" w:lineRule="auto"/>
        <w:jc w:val="left"/>
        <w:rPr>
          <w:sz w:val="16"/>
        </w:rPr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7" w:space="203"/>
            <w:col w:w="5150"/>
          </w:cols>
        </w:sectPr>
      </w:pPr>
    </w:p>
    <w:p>
      <w:pPr>
        <w:pStyle w:val="BodyText"/>
        <w:spacing w:before="2"/>
        <w:rPr>
          <w:b/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before="8"/>
        <w:rPr>
          <w:b/>
          <w:sz w:val="11"/>
        </w:rPr>
      </w:pPr>
    </w:p>
    <w:p>
      <w:pPr>
        <w:pStyle w:val="BodyText"/>
        <w:ind w:left="237" w:right="-15"/>
        <w:rPr>
          <w:sz w:val="20"/>
        </w:rPr>
      </w:pPr>
      <w:r>
        <w:rPr>
          <w:sz w:val="20"/>
        </w:rPr>
        <w:drawing>
          <wp:inline distT="0" distB="0" distL="0" distR="0">
            <wp:extent cx="3050132" cy="2289048"/>
            <wp:effectExtent l="0" t="0" r="0" b="0"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132" cy="228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"/>
        <w:rPr>
          <w:b/>
        </w:rPr>
      </w:pPr>
    </w:p>
    <w:p>
      <w:pPr>
        <w:spacing w:line="292" w:lineRule="auto" w:before="1"/>
        <w:ind w:left="237" w:right="129" w:firstLine="0"/>
        <w:jc w:val="left"/>
        <w:rPr>
          <w:b/>
          <w:sz w:val="16"/>
        </w:rPr>
      </w:pPr>
      <w:r>
        <w:rPr>
          <w:b/>
          <w:color w:val="231F20"/>
          <w:sz w:val="16"/>
        </w:rPr>
        <w:t>Fig. 15 – Photomicrograph of the kidney of 2 weeks’ treatment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with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200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mg/kg/day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AOGL.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H&amp;E</w:t>
      </w:r>
      <w:r>
        <w:rPr>
          <w:b/>
          <w:color w:val="231F20"/>
          <w:spacing w:val="-11"/>
          <w:sz w:val="16"/>
        </w:rPr>
        <w:t> </w:t>
      </w:r>
      <w:r>
        <w:rPr>
          <w:rFonts w:ascii="Noto Serif" w:hAnsi="Noto Serif"/>
          <w:b/>
          <w:color w:val="231F20"/>
          <w:sz w:val="16"/>
        </w:rPr>
        <w:t>×</w:t>
      </w:r>
      <w:r>
        <w:rPr>
          <w:b/>
          <w:color w:val="231F20"/>
          <w:sz w:val="16"/>
        </w:rPr>
        <w:t>400. Glomeruli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(G)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and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surrounding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Bowman’s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space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(black arrow) are mostly intact.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There is slight loss of cellular </w:t>
      </w:r>
      <w:r>
        <w:rPr>
          <w:b/>
          <w:color w:val="231F20"/>
          <w:spacing w:val="-2"/>
          <w:sz w:val="16"/>
        </w:rPr>
        <w:t>constituents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tubules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and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no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eosinophilic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(‘colloid’)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casts</w:t>
      </w:r>
      <w:r>
        <w:rPr>
          <w:b/>
          <w:color w:val="231F20"/>
          <w:sz w:val="16"/>
        </w:rPr>
        <w:t> are observed in the lumen of tubules.</w:t>
      </w:r>
    </w:p>
    <w:p>
      <w:pPr>
        <w:pStyle w:val="BodyText"/>
        <w:spacing w:before="1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658622</wp:posOffset>
                </wp:positionH>
                <wp:positionV relativeFrom="paragraph">
                  <wp:posOffset>102539</wp:posOffset>
                </wp:positionV>
                <wp:extent cx="3041650" cy="1270"/>
                <wp:effectExtent l="0" t="0" r="0" b="0"/>
                <wp:wrapTopAndBottom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073989pt;width:239.5pt;height:.1pt;mso-position-horizontal-relative:page;mso-position-vertical-relative:paragraph;z-index:-15711232;mso-wrap-distance-left:0;mso-wrap-distance-right:0" id="docshape40" coordorigin="1037,161" coordsize="4790,0" path="m1037,161l5827,16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5"/>
        <w:rPr>
          <w:b/>
        </w:rPr>
      </w:pPr>
    </w:p>
    <w:p>
      <w:pPr>
        <w:pStyle w:val="BodyText"/>
        <w:spacing w:line="302" w:lineRule="auto"/>
        <w:ind w:left="237" w:right="45"/>
        <w:jc w:val="both"/>
      </w:pPr>
      <w:r>
        <w:rPr>
          <w:color w:val="231F20"/>
          <w:w w:val="110"/>
        </w:rPr>
        <w:t>kidney of this group which showed severe cloudy swelling of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renal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tubules.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Similar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observation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made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El-Zawahry </w:t>
      </w:r>
      <w:r>
        <w:rPr>
          <w:color w:val="231F20"/>
          <w:w w:val="110"/>
        </w:rPr>
        <w:t>and Abu</w:t>
      </w:r>
      <w:r>
        <w:rPr>
          <w:color w:val="231F20"/>
          <w:w w:val="110"/>
        </w:rPr>
        <w:t> El</w:t>
      </w:r>
      <w:r>
        <w:rPr>
          <w:color w:val="231F20"/>
          <w:w w:val="110"/>
        </w:rPr>
        <w:t> Kheir</w:t>
      </w:r>
      <w:r>
        <w:rPr>
          <w:color w:val="231F20"/>
          <w:w w:val="110"/>
        </w:rPr>
        <w:t> </w:t>
      </w:r>
      <w:hyperlink w:history="true" w:anchor="_bookmark26">
        <w:r>
          <w:rPr>
            <w:color w:val="00699D"/>
            <w:w w:val="110"/>
          </w:rPr>
          <w:t>[17]</w:t>
        </w:r>
      </w:hyperlink>
      <w:r>
        <w:rPr>
          <w:color w:val="231F20"/>
          <w:w w:val="110"/>
        </w:rPr>
        <w:t>. Also, a</w:t>
      </w:r>
      <w:r>
        <w:rPr>
          <w:color w:val="231F20"/>
          <w:w w:val="110"/>
        </w:rPr>
        <w:t> significant</w:t>
      </w:r>
      <w:r>
        <w:rPr>
          <w:color w:val="231F20"/>
          <w:w w:val="110"/>
        </w:rPr>
        <w:t> increase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relative kidney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weight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observed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groups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treated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AOGL. This finding is not in agreement with Sahouo et al. </w:t>
      </w:r>
      <w:hyperlink w:history="true" w:anchor="_bookmark38">
        <w:r>
          <w:rPr>
            <w:color w:val="00699D"/>
            <w:w w:val="110"/>
          </w:rPr>
          <w:t>[29]</w:t>
        </w:r>
      </w:hyperlink>
      <w:r>
        <w:rPr>
          <w:color w:val="231F20"/>
          <w:w w:val="110"/>
        </w:rPr>
        <w:t>, who reported that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AOGL exhibited an anti-inflammatory effect </w:t>
      </w:r>
      <w:r>
        <w:rPr>
          <w:color w:val="231F20"/>
          <w:w w:val="110"/>
        </w:rPr>
        <w:t>on the</w:t>
      </w:r>
      <w:r>
        <w:rPr>
          <w:color w:val="231F20"/>
          <w:w w:val="110"/>
        </w:rPr>
        <w:t> kidney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rats. The</w:t>
      </w:r>
      <w:r>
        <w:rPr>
          <w:color w:val="231F20"/>
          <w:w w:val="110"/>
        </w:rPr>
        <w:t> observed</w:t>
      </w:r>
      <w:r>
        <w:rPr>
          <w:color w:val="231F20"/>
          <w:w w:val="110"/>
        </w:rPr>
        <w:t> discrepancy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likely</w:t>
      </w:r>
      <w:r>
        <w:rPr>
          <w:color w:val="231F20"/>
          <w:w w:val="110"/>
        </w:rPr>
        <w:t> attrib- utable to the duration of administration of AOGL.</w:t>
      </w:r>
    </w:p>
    <w:p>
      <w:pPr>
        <w:pStyle w:val="BodyText"/>
        <w:spacing w:line="302" w:lineRule="auto" w:before="3"/>
        <w:ind w:left="237" w:right="47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plasma</w:t>
      </w:r>
      <w:r>
        <w:rPr>
          <w:color w:val="231F20"/>
          <w:w w:val="110"/>
        </w:rPr>
        <w:t> creatinine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urea</w:t>
      </w:r>
      <w:r>
        <w:rPr>
          <w:color w:val="231F20"/>
          <w:w w:val="110"/>
        </w:rPr>
        <w:t> concentrations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toxic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control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group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significantly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higher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than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 the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control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rats.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creatinine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urea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concentrations</w:t>
      </w:r>
      <w:r>
        <w:rPr>
          <w:color w:val="231F20"/>
          <w:spacing w:val="32"/>
          <w:w w:val="110"/>
        </w:rPr>
        <w:t> </w:t>
      </w:r>
      <w:r>
        <w:rPr>
          <w:color w:val="231F20"/>
          <w:spacing w:val="-5"/>
          <w:w w:val="110"/>
        </w:rPr>
        <w:t>in</w:t>
      </w:r>
    </w:p>
    <w:p>
      <w:pPr>
        <w:pStyle w:val="BodyText"/>
        <w:spacing w:before="18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658622</wp:posOffset>
            </wp:positionH>
            <wp:positionV relativeFrom="paragraph">
              <wp:posOffset>277195</wp:posOffset>
            </wp:positionV>
            <wp:extent cx="3049545" cy="2279904"/>
            <wp:effectExtent l="0" t="0" r="0" b="0"/>
            <wp:wrapTopAndBottom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545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"/>
      </w:pPr>
    </w:p>
    <w:p>
      <w:pPr>
        <w:spacing w:line="292" w:lineRule="auto" w:before="1"/>
        <w:ind w:left="237" w:right="129" w:firstLine="0"/>
        <w:jc w:val="left"/>
        <w:rPr>
          <w:b/>
          <w:sz w:val="16"/>
        </w:rPr>
      </w:pPr>
      <w:r>
        <w:rPr>
          <w:b/>
          <w:color w:val="231F20"/>
          <w:sz w:val="16"/>
        </w:rPr>
        <w:t>Fig. 16 – Photomicrograph of the kidney of 2 weeks’ </w:t>
      </w:r>
      <w:r>
        <w:rPr>
          <w:b/>
          <w:color w:val="231F20"/>
          <w:spacing w:val="-2"/>
          <w:sz w:val="16"/>
        </w:rPr>
        <w:t>treatment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with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400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mg/kg/day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AOGL.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H&amp;E</w:t>
      </w:r>
      <w:r>
        <w:rPr>
          <w:b/>
          <w:color w:val="231F20"/>
          <w:spacing w:val="-9"/>
          <w:sz w:val="16"/>
        </w:rPr>
        <w:t> </w:t>
      </w:r>
      <w:r>
        <w:rPr>
          <w:rFonts w:ascii="Noto Serif" w:hAnsi="Noto Serif"/>
          <w:b/>
          <w:color w:val="231F20"/>
          <w:spacing w:val="-2"/>
          <w:sz w:val="16"/>
        </w:rPr>
        <w:t>×</w:t>
      </w:r>
      <w:r>
        <w:rPr>
          <w:b/>
          <w:color w:val="231F20"/>
          <w:spacing w:val="-2"/>
          <w:sz w:val="16"/>
        </w:rPr>
        <w:t>400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(right).</w:t>
      </w:r>
      <w:r>
        <w:rPr>
          <w:b/>
          <w:color w:val="231F20"/>
          <w:sz w:val="16"/>
        </w:rPr>
        <w:t> Glomeruli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(G)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and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surrounding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Bowman’s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space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(black arrow) are mostly intact.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There is slight loss of cellular </w:t>
      </w:r>
      <w:r>
        <w:rPr>
          <w:b/>
          <w:color w:val="231F20"/>
          <w:spacing w:val="-2"/>
          <w:sz w:val="16"/>
        </w:rPr>
        <w:t>constituents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tubules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and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no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eosinophilic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(‘colloid’)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casts</w:t>
      </w:r>
      <w:r>
        <w:rPr>
          <w:b/>
          <w:color w:val="231F20"/>
          <w:sz w:val="16"/>
        </w:rPr>
        <w:t> are observed in the lumen of tubules.</w:t>
      </w:r>
    </w:p>
    <w:p>
      <w:pPr>
        <w:pStyle w:val="BodyText"/>
        <w:spacing w:line="302" w:lineRule="auto" w:before="101"/>
        <w:ind w:left="237" w:right="113"/>
        <w:jc w:val="both"/>
      </w:pPr>
      <w:r>
        <w:rPr/>
        <w:br w:type="column"/>
      </w:r>
      <w:r>
        <w:rPr>
          <w:color w:val="231F20"/>
          <w:w w:val="110"/>
        </w:rPr>
        <w:t>the urine reduced significantly in this group compared to the control.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observed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changes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accordance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with the report of Pedrazha-Chaverri et al.</w:t>
      </w:r>
      <w:r>
        <w:rPr>
          <w:color w:val="231F20"/>
          <w:spacing w:val="-4"/>
          <w:w w:val="110"/>
        </w:rPr>
        <w:t> </w:t>
      </w:r>
      <w:hyperlink w:history="true" w:anchor="_bookmark39">
        <w:r>
          <w:rPr>
            <w:color w:val="00699D"/>
            <w:w w:val="110"/>
          </w:rPr>
          <w:t>[30]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who reported that administration of gentamicin caused marked impairment in renal</w:t>
      </w:r>
      <w:r>
        <w:rPr>
          <w:color w:val="231F20"/>
          <w:w w:val="110"/>
        </w:rPr>
        <w:t> function. The</w:t>
      </w:r>
      <w:r>
        <w:rPr>
          <w:color w:val="231F20"/>
          <w:w w:val="110"/>
        </w:rPr>
        <w:t> decrease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urine</w:t>
      </w:r>
      <w:r>
        <w:rPr>
          <w:color w:val="231F20"/>
          <w:w w:val="110"/>
        </w:rPr>
        <w:t> creatinine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further evidence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reduced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ability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renal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tubules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extract and</w:t>
      </w:r>
      <w:r>
        <w:rPr>
          <w:color w:val="231F20"/>
          <w:w w:val="110"/>
        </w:rPr>
        <w:t> remove</w:t>
      </w:r>
      <w:r>
        <w:rPr>
          <w:color w:val="231F20"/>
          <w:w w:val="110"/>
        </w:rPr>
        <w:t> creatinine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plasma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toxic</w:t>
      </w:r>
      <w:r>
        <w:rPr>
          <w:color w:val="231F20"/>
          <w:w w:val="110"/>
        </w:rPr>
        <w:t> control rats.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elevated</w:t>
      </w:r>
      <w:r>
        <w:rPr>
          <w:color w:val="231F20"/>
          <w:w w:val="110"/>
        </w:rPr>
        <w:t> concentration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plasma</w:t>
      </w:r>
      <w:r>
        <w:rPr>
          <w:color w:val="231F20"/>
          <w:w w:val="110"/>
        </w:rPr>
        <w:t> urea</w:t>
      </w:r>
      <w:r>
        <w:rPr>
          <w:color w:val="231F20"/>
          <w:w w:val="110"/>
        </w:rPr>
        <w:t> observed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may have resulted from the inability of the glomeruli to filter urea.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significant</w:t>
      </w:r>
      <w:r>
        <w:rPr>
          <w:color w:val="231F20"/>
          <w:w w:val="110"/>
        </w:rPr>
        <w:t> decrease</w:t>
      </w:r>
      <w:r>
        <w:rPr>
          <w:color w:val="231F20"/>
          <w:w w:val="110"/>
        </w:rPr>
        <w:t> toward</w:t>
      </w:r>
      <w:r>
        <w:rPr>
          <w:color w:val="231F20"/>
          <w:w w:val="110"/>
        </w:rPr>
        <w:t> normal</w:t>
      </w:r>
      <w:r>
        <w:rPr>
          <w:color w:val="231F20"/>
          <w:w w:val="110"/>
        </w:rPr>
        <w:t> plasma</w:t>
      </w:r>
      <w:r>
        <w:rPr>
          <w:color w:val="231F20"/>
          <w:w w:val="110"/>
        </w:rPr>
        <w:t> level</w:t>
      </w:r>
      <w:r>
        <w:rPr>
          <w:color w:val="231F20"/>
          <w:w w:val="110"/>
        </w:rPr>
        <w:t> of creatinine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urea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observed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toxic</w:t>
      </w:r>
      <w:r>
        <w:rPr>
          <w:color w:val="231F20"/>
          <w:w w:val="110"/>
        </w:rPr>
        <w:t> recovery group is an indication of tubular regeneration resulting from the</w:t>
      </w:r>
      <w:r>
        <w:rPr>
          <w:color w:val="231F20"/>
          <w:w w:val="110"/>
        </w:rPr>
        <w:t> release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reparative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prosurvival</w:t>
      </w:r>
      <w:r>
        <w:rPr>
          <w:color w:val="231F20"/>
          <w:w w:val="110"/>
        </w:rPr>
        <w:t> factors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the distal tubular cells </w:t>
      </w:r>
      <w:hyperlink w:history="true" w:anchor="_bookmark40">
        <w:r>
          <w:rPr>
            <w:color w:val="00699D"/>
            <w:w w:val="110"/>
          </w:rPr>
          <w:t>[31]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 marked decrease in plasma cre- atinine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urea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AOGL</w:t>
      </w:r>
      <w:r>
        <w:rPr>
          <w:color w:val="231F20"/>
          <w:w w:val="110"/>
        </w:rPr>
        <w:t> treated</w:t>
      </w:r>
      <w:r>
        <w:rPr>
          <w:color w:val="231F20"/>
          <w:w w:val="110"/>
        </w:rPr>
        <w:t> groups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conformity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w w:val="110"/>
        </w:rPr>
        <w:t> report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other</w:t>
      </w:r>
      <w:r>
        <w:rPr>
          <w:color w:val="231F20"/>
          <w:w w:val="110"/>
        </w:rPr>
        <w:t> researchers,</w:t>
      </w:r>
      <w:r>
        <w:rPr>
          <w:color w:val="231F20"/>
          <w:w w:val="110"/>
        </w:rPr>
        <w:t> who</w:t>
      </w:r>
      <w:r>
        <w:rPr>
          <w:color w:val="231F20"/>
          <w:w w:val="110"/>
        </w:rPr>
        <w:t> reported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AOGL decreased</w:t>
      </w:r>
      <w:r>
        <w:rPr>
          <w:color w:val="231F20"/>
          <w:w w:val="110"/>
        </w:rPr>
        <w:t> serum</w:t>
      </w:r>
      <w:r>
        <w:rPr>
          <w:color w:val="231F20"/>
          <w:w w:val="110"/>
        </w:rPr>
        <w:t> urea,</w:t>
      </w:r>
      <w:r>
        <w:rPr>
          <w:color w:val="231F20"/>
          <w:w w:val="110"/>
        </w:rPr>
        <w:t> creatinine,</w:t>
      </w:r>
      <w:r>
        <w:rPr>
          <w:color w:val="231F20"/>
          <w:w w:val="110"/>
        </w:rPr>
        <w:t> uric</w:t>
      </w:r>
      <w:r>
        <w:rPr>
          <w:color w:val="231F20"/>
          <w:w w:val="110"/>
        </w:rPr>
        <w:t> acid,</w:t>
      </w:r>
      <w:r>
        <w:rPr>
          <w:color w:val="231F20"/>
          <w:w w:val="110"/>
        </w:rPr>
        <w:t> urine</w:t>
      </w:r>
      <w:r>
        <w:rPr>
          <w:color w:val="231F20"/>
          <w:w w:val="110"/>
        </w:rPr>
        <w:t> volume, </w:t>
      </w:r>
      <w:r>
        <w:rPr>
          <w:color w:val="231F20"/>
          <w:spacing w:val="-2"/>
          <w:w w:val="110"/>
        </w:rPr>
        <w:t>urinary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protein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increased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urine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creatinine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level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cisplatin </w:t>
      </w:r>
      <w:r>
        <w:rPr>
          <w:color w:val="231F20"/>
          <w:w w:val="110"/>
        </w:rPr>
        <w:t>induced nephrotoxicity in rats </w:t>
      </w:r>
      <w:hyperlink w:history="true" w:anchor="_bookmark41">
        <w:r>
          <w:rPr>
            <w:color w:val="00699D"/>
            <w:w w:val="110"/>
          </w:rPr>
          <w:t>[32,33]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8"/>
        <w:ind w:left="237" w:right="114" w:firstLine="239"/>
        <w:jc w:val="both"/>
      </w:pPr>
      <w:r>
        <w:rPr>
          <w:color w:val="231F20"/>
          <w:w w:val="110"/>
        </w:rPr>
        <w:t>A</w:t>
      </w:r>
      <w:r>
        <w:rPr>
          <w:color w:val="231F20"/>
          <w:w w:val="110"/>
        </w:rPr>
        <w:t> significant</w:t>
      </w:r>
      <w:r>
        <w:rPr>
          <w:color w:val="231F20"/>
          <w:w w:val="110"/>
        </w:rPr>
        <w:t> decrease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renal</w:t>
      </w:r>
      <w:r>
        <w:rPr>
          <w:color w:val="231F20"/>
          <w:w w:val="110"/>
        </w:rPr>
        <w:t> creatinine</w:t>
      </w:r>
      <w:r>
        <w:rPr>
          <w:color w:val="231F20"/>
          <w:w w:val="110"/>
        </w:rPr>
        <w:t> clearance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that was observed in the toxic control and toxic recovery group is in</w:t>
      </w:r>
      <w:r>
        <w:rPr>
          <w:color w:val="231F20"/>
          <w:w w:val="110"/>
        </w:rPr>
        <w:t> agreement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report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Raheem</w:t>
      </w:r>
      <w:r>
        <w:rPr>
          <w:color w:val="231F20"/>
          <w:w w:val="110"/>
        </w:rPr>
        <w:t> et</w:t>
      </w:r>
      <w:r>
        <w:rPr>
          <w:color w:val="231F20"/>
          <w:w w:val="110"/>
        </w:rPr>
        <w:t> al. </w:t>
      </w:r>
      <w:hyperlink w:history="true" w:anchor="_bookmark42">
        <w:r>
          <w:rPr>
            <w:color w:val="00699D"/>
            <w:w w:val="110"/>
          </w:rPr>
          <w:t>[34]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Bibu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et</w:t>
      </w:r>
      <w:r>
        <w:rPr>
          <w:color w:val="231F20"/>
          <w:w w:val="110"/>
        </w:rPr>
        <w:t> al.</w:t>
      </w:r>
      <w:r>
        <w:rPr>
          <w:color w:val="231F20"/>
          <w:w w:val="110"/>
        </w:rPr>
        <w:t> </w:t>
      </w:r>
      <w:hyperlink w:history="true" w:anchor="_bookmark43">
        <w:r>
          <w:rPr>
            <w:color w:val="00699D"/>
            <w:w w:val="110"/>
          </w:rPr>
          <w:t>[35]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w w:val="110"/>
        </w:rPr>
        <w:t> gentamicin</w:t>
      </w:r>
      <w:r>
        <w:rPr>
          <w:color w:val="231F20"/>
          <w:w w:val="110"/>
        </w:rPr>
        <w:t> administration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rats</w:t>
      </w:r>
      <w:r>
        <w:rPr>
          <w:color w:val="231F20"/>
          <w:w w:val="110"/>
        </w:rPr>
        <w:t> reduced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their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glomerular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filtration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rate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renal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blood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flow,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resulting from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rise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renal</w:t>
      </w:r>
      <w:r>
        <w:rPr>
          <w:color w:val="231F20"/>
          <w:w w:val="110"/>
        </w:rPr>
        <w:t> vascular</w:t>
      </w:r>
      <w:r>
        <w:rPr>
          <w:color w:val="231F20"/>
          <w:w w:val="110"/>
        </w:rPr>
        <w:t> resistance</w:t>
      </w:r>
      <w:r>
        <w:rPr>
          <w:color w:val="231F20"/>
          <w:w w:val="110"/>
        </w:rPr>
        <w:t> or</w:t>
      </w:r>
      <w:r>
        <w:rPr>
          <w:color w:val="231F20"/>
          <w:w w:val="110"/>
        </w:rPr>
        <w:t> damage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 glomerular</w:t>
      </w:r>
      <w:r>
        <w:rPr>
          <w:color w:val="231F20"/>
          <w:w w:val="110"/>
        </w:rPr>
        <w:t> capillary</w:t>
      </w:r>
      <w:r>
        <w:rPr>
          <w:color w:val="231F20"/>
          <w:w w:val="110"/>
        </w:rPr>
        <w:t> endothelium</w:t>
      </w:r>
      <w:r>
        <w:rPr>
          <w:color w:val="231F20"/>
          <w:w w:val="110"/>
        </w:rPr>
        <w:t> leading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impairment</w:t>
      </w:r>
      <w:r>
        <w:rPr>
          <w:color w:val="231F20"/>
          <w:w w:val="110"/>
        </w:rPr>
        <w:t> in glomerular function.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Similarly,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 significant decrease in renal creatinine clearance was observed in rats treated with AOGL when compared to the control.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However,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 creatinine clear- ance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these</w:t>
      </w:r>
      <w:r>
        <w:rPr>
          <w:color w:val="231F20"/>
          <w:w w:val="110"/>
        </w:rPr>
        <w:t> rats</w:t>
      </w:r>
      <w:r>
        <w:rPr>
          <w:color w:val="231F20"/>
          <w:w w:val="110"/>
        </w:rPr>
        <w:t> increased</w:t>
      </w:r>
      <w:r>
        <w:rPr>
          <w:color w:val="231F20"/>
          <w:w w:val="110"/>
        </w:rPr>
        <w:t> when</w:t>
      </w:r>
      <w:r>
        <w:rPr>
          <w:color w:val="231F20"/>
          <w:w w:val="110"/>
        </w:rPr>
        <w:t> compared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toxic control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group.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This is an indication of improved blood flow to the kidney as well as repair of kidney tissue damage caused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by gentamicin.</w:t>
      </w:r>
    </w:p>
    <w:p>
      <w:pPr>
        <w:pStyle w:val="BodyText"/>
        <w:spacing w:line="302" w:lineRule="auto" w:before="6"/>
        <w:ind w:left="237" w:right="110" w:firstLine="239"/>
        <w:jc w:val="both"/>
      </w:pPr>
      <w:r>
        <w:rPr>
          <w:color w:val="231F20"/>
          <w:w w:val="110"/>
        </w:rPr>
        <w:t>A significant increase in the urinary total protein was </w:t>
      </w:r>
      <w:r>
        <w:rPr>
          <w:color w:val="231F20"/>
          <w:w w:val="110"/>
        </w:rPr>
        <w:t>ob- served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toxic</w:t>
      </w:r>
      <w:r>
        <w:rPr>
          <w:color w:val="231F20"/>
          <w:w w:val="110"/>
        </w:rPr>
        <w:t> control</w:t>
      </w:r>
      <w:r>
        <w:rPr>
          <w:color w:val="231F20"/>
          <w:w w:val="110"/>
        </w:rPr>
        <w:t> group.</w:t>
      </w:r>
      <w:r>
        <w:rPr>
          <w:color w:val="231F20"/>
          <w:w w:val="110"/>
        </w:rPr>
        <w:t> It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an</w:t>
      </w:r>
      <w:r>
        <w:rPr>
          <w:color w:val="231F20"/>
          <w:w w:val="110"/>
        </w:rPr>
        <w:t> evidence</w:t>
      </w:r>
      <w:r>
        <w:rPr>
          <w:color w:val="231F20"/>
          <w:w w:val="110"/>
        </w:rPr>
        <w:t> of inflammation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glomerular</w:t>
      </w:r>
      <w:r>
        <w:rPr>
          <w:color w:val="231F20"/>
          <w:w w:val="110"/>
        </w:rPr>
        <w:t> capillaries. This</w:t>
      </w:r>
      <w:r>
        <w:rPr>
          <w:color w:val="231F20"/>
          <w:w w:val="110"/>
        </w:rPr>
        <w:t> observed change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accordance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result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El-Zawahry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Abu El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Kheir</w:t>
      </w:r>
      <w:r>
        <w:rPr>
          <w:color w:val="231F20"/>
          <w:spacing w:val="-2"/>
          <w:w w:val="110"/>
        </w:rPr>
        <w:t> </w:t>
      </w:r>
      <w:hyperlink w:history="true" w:anchor="_bookmark26">
        <w:r>
          <w:rPr>
            <w:color w:val="00699D"/>
            <w:w w:val="110"/>
          </w:rPr>
          <w:t>[17]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who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reported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gentamicin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administration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to rats induced proteinuria. In contrast, rats treated with AOGL showed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decrease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urine</w:t>
      </w:r>
      <w:r>
        <w:rPr>
          <w:color w:val="231F20"/>
          <w:w w:val="110"/>
        </w:rPr>
        <w:t> protein. This</w:t>
      </w:r>
      <w:r>
        <w:rPr>
          <w:color w:val="231F20"/>
          <w:w w:val="110"/>
        </w:rPr>
        <w:t> may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due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 antioxidant</w:t>
      </w:r>
      <w:r>
        <w:rPr>
          <w:color w:val="231F20"/>
          <w:w w:val="110"/>
        </w:rPr>
        <w:t> properties</w:t>
      </w:r>
      <w:r>
        <w:rPr>
          <w:color w:val="231F20"/>
          <w:w w:val="110"/>
        </w:rPr>
        <w:t> of AOGL</w:t>
      </w:r>
      <w:r>
        <w:rPr>
          <w:color w:val="231F20"/>
          <w:w w:val="110"/>
        </w:rPr>
        <w:t> since</w:t>
      </w:r>
      <w:r>
        <w:rPr>
          <w:color w:val="231F20"/>
          <w:w w:val="110"/>
        </w:rPr>
        <w:t> it</w:t>
      </w:r>
      <w:r>
        <w:rPr>
          <w:color w:val="231F20"/>
          <w:w w:val="110"/>
        </w:rPr>
        <w:t> has</w:t>
      </w:r>
      <w:r>
        <w:rPr>
          <w:color w:val="231F20"/>
          <w:w w:val="110"/>
        </w:rPr>
        <w:t> been</w:t>
      </w:r>
      <w:r>
        <w:rPr>
          <w:color w:val="231F20"/>
          <w:w w:val="110"/>
        </w:rPr>
        <w:t> found</w:t>
      </w:r>
      <w:r>
        <w:rPr>
          <w:color w:val="231F20"/>
          <w:w w:val="110"/>
        </w:rPr>
        <w:t> that reactive oxygen species (ROS) may be involved in the impair- ment of glomerular filtration </w:t>
      </w:r>
      <w:hyperlink w:history="true" w:anchor="_bookmark12">
        <w:r>
          <w:rPr>
            <w:color w:val="00699D"/>
            <w:w w:val="110"/>
          </w:rPr>
          <w:t>[2]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5"/>
        <w:ind w:left="237" w:right="112" w:firstLine="239"/>
        <w:jc w:val="both"/>
      </w:pP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significant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increase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TBARS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level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significant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de- </w:t>
      </w:r>
      <w:r>
        <w:rPr>
          <w:color w:val="231F20"/>
          <w:spacing w:val="-4"/>
          <w:w w:val="110"/>
        </w:rPr>
        <w:t>crease in GSH level that were observed in the toxic control group</w:t>
      </w:r>
      <w:r>
        <w:rPr>
          <w:color w:val="231F20"/>
          <w:w w:val="110"/>
        </w:rPr>
        <w:t> are evidence of increased lipid peroxidation, which is an </w:t>
      </w:r>
      <w:r>
        <w:rPr>
          <w:color w:val="231F20"/>
          <w:w w:val="110"/>
        </w:rPr>
        <w:t>in- </w:t>
      </w:r>
      <w:r>
        <w:rPr>
          <w:color w:val="231F20"/>
          <w:spacing w:val="-4"/>
          <w:w w:val="110"/>
        </w:rPr>
        <w:t>dicator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oxidative stress.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This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observed change is in conformity</w:t>
      </w:r>
      <w:r>
        <w:rPr>
          <w:color w:val="231F20"/>
          <w:w w:val="110"/>
        </w:rPr>
        <w:t> with the report of Reddy et al. </w:t>
      </w:r>
      <w:hyperlink w:history="true" w:anchor="_bookmark44">
        <w:r>
          <w:rPr>
            <w:color w:val="00699D"/>
            <w:w w:val="110"/>
          </w:rPr>
          <w:t>[36]</w:t>
        </w:r>
      </w:hyperlink>
      <w:r>
        <w:rPr>
          <w:color w:val="231F20"/>
          <w:w w:val="110"/>
        </w:rPr>
        <w:t>, who reported that genta- micin administration caused oxidative damage to the kidney. Also a significant decrease in 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TBARS level and increase in </w:t>
      </w:r>
      <w:r>
        <w:rPr>
          <w:color w:val="231F20"/>
          <w:spacing w:val="-2"/>
          <w:w w:val="110"/>
        </w:rPr>
        <w:t>GSH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level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observed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toxic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recovery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group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when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com- </w:t>
      </w:r>
      <w:r>
        <w:rPr>
          <w:color w:val="231F20"/>
          <w:w w:val="110"/>
        </w:rPr>
        <w:t>pared with the control group.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This finding is an indication of 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release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reparative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prosurvival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factors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distal tubular</w:t>
      </w:r>
      <w:r>
        <w:rPr>
          <w:color w:val="231F20"/>
          <w:w w:val="110"/>
        </w:rPr>
        <w:t> cells</w:t>
      </w:r>
      <w:r>
        <w:rPr>
          <w:color w:val="231F20"/>
          <w:w w:val="110"/>
        </w:rPr>
        <w:t> </w:t>
      </w:r>
      <w:hyperlink w:history="true" w:anchor="_bookmark45">
        <w:r>
          <w:rPr>
            <w:color w:val="00699D"/>
            <w:w w:val="110"/>
          </w:rPr>
          <w:t>[37]</w:t>
        </w:r>
      </w:hyperlink>
      <w:r>
        <w:rPr>
          <w:color w:val="231F20"/>
          <w:w w:val="110"/>
        </w:rPr>
        <w:t>. Furthermore, a</w:t>
      </w:r>
      <w:r>
        <w:rPr>
          <w:color w:val="231F20"/>
          <w:w w:val="110"/>
        </w:rPr>
        <w:t> significant</w:t>
      </w:r>
      <w:r>
        <w:rPr>
          <w:color w:val="231F20"/>
          <w:w w:val="110"/>
        </w:rPr>
        <w:t> decrease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 TBARS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increase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GSH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level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observed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AOGL treated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group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when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compared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control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group. This is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agreement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Reddy</w:t>
      </w:r>
      <w:r>
        <w:rPr>
          <w:color w:val="231F20"/>
          <w:w w:val="110"/>
        </w:rPr>
        <w:t> et</w:t>
      </w:r>
      <w:r>
        <w:rPr>
          <w:color w:val="231F20"/>
          <w:w w:val="110"/>
        </w:rPr>
        <w:t> al.</w:t>
      </w:r>
      <w:r>
        <w:rPr>
          <w:color w:val="231F20"/>
          <w:w w:val="110"/>
        </w:rPr>
        <w:t> </w:t>
      </w:r>
      <w:hyperlink w:history="true" w:anchor="_bookmark44">
        <w:r>
          <w:rPr>
            <w:color w:val="00699D"/>
            <w:w w:val="110"/>
          </w:rPr>
          <w:t>[36]</w:t>
        </w:r>
      </w:hyperlink>
      <w:r>
        <w:rPr>
          <w:color w:val="231F20"/>
          <w:w w:val="110"/>
        </w:rPr>
        <w:t>,</w:t>
      </w:r>
      <w:r>
        <w:rPr>
          <w:color w:val="231F20"/>
          <w:w w:val="110"/>
        </w:rPr>
        <w:t> who</w:t>
      </w:r>
      <w:r>
        <w:rPr>
          <w:color w:val="231F20"/>
          <w:w w:val="110"/>
        </w:rPr>
        <w:t> reported</w:t>
      </w:r>
      <w:r>
        <w:rPr>
          <w:color w:val="231F20"/>
          <w:w w:val="110"/>
        </w:rPr>
        <w:t> that simvastatin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increased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GSH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decreased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TBARS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gentami- cin</w:t>
      </w:r>
      <w:r>
        <w:rPr>
          <w:color w:val="231F20"/>
          <w:w w:val="110"/>
        </w:rPr>
        <w:t> induced</w:t>
      </w:r>
      <w:r>
        <w:rPr>
          <w:color w:val="231F20"/>
          <w:w w:val="110"/>
        </w:rPr>
        <w:t> kidney</w:t>
      </w:r>
      <w:r>
        <w:rPr>
          <w:color w:val="231F20"/>
          <w:w w:val="110"/>
        </w:rPr>
        <w:t> injury.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change</w:t>
      </w:r>
      <w:r>
        <w:rPr>
          <w:color w:val="231F20"/>
          <w:w w:val="110"/>
        </w:rPr>
        <w:t> observed</w:t>
      </w:r>
      <w:r>
        <w:rPr>
          <w:color w:val="231F20"/>
          <w:w w:val="110"/>
        </w:rPr>
        <w:t> may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due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to the anti-oxidant activities of AOGL.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8" w:space="82"/>
            <w:col w:w="5150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41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bookmarkStart w:name=" Conclusion" w:id="38"/>
      <w:bookmarkEnd w:id="38"/>
      <w:r>
        <w:rPr>
          <w:b w:val="0"/>
        </w:rPr>
      </w:r>
      <w:r>
        <w:rPr>
          <w:color w:val="231F20"/>
          <w:spacing w:val="-2"/>
        </w:rPr>
        <w:t>Conclusion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116" w:right="38"/>
        <w:jc w:val="both"/>
      </w:pPr>
      <w:r>
        <w:rPr>
          <w:color w:val="231F20"/>
          <w:w w:val="110"/>
        </w:rPr>
        <w:t>This study demonstrated the nephron-restorative effect of </w:t>
      </w:r>
      <w:r>
        <w:rPr>
          <w:i/>
          <w:color w:val="231F20"/>
          <w:w w:val="110"/>
        </w:rPr>
        <w:t>O.</w:t>
      </w:r>
      <w:r>
        <w:rPr>
          <w:i/>
          <w:color w:val="231F20"/>
          <w:w w:val="110"/>
        </w:rPr>
        <w:t> </w:t>
      </w:r>
      <w:r>
        <w:rPr>
          <w:i/>
          <w:color w:val="231F20"/>
          <w:spacing w:val="-2"/>
          <w:w w:val="110"/>
        </w:rPr>
        <w:t>gratissimum</w:t>
      </w:r>
      <w:r>
        <w:rPr>
          <w:i/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gentamicin induced nephrotoxicity in rats.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 </w:t>
      </w:r>
      <w:r>
        <w:rPr>
          <w:color w:val="231F20"/>
          <w:w w:val="110"/>
        </w:rPr>
        <w:t>ameliorative</w:t>
      </w:r>
      <w:r>
        <w:rPr>
          <w:color w:val="231F20"/>
          <w:w w:val="110"/>
        </w:rPr>
        <w:t> effect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O.</w:t>
      </w:r>
      <w:r>
        <w:rPr>
          <w:i/>
          <w:color w:val="231F20"/>
          <w:spacing w:val="-1"/>
          <w:w w:val="110"/>
        </w:rPr>
        <w:t> </w:t>
      </w:r>
      <w:r>
        <w:rPr>
          <w:i/>
          <w:color w:val="231F20"/>
          <w:w w:val="110"/>
        </w:rPr>
        <w:t>gratissimum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w w:val="110"/>
        </w:rPr>
        <w:t> evident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remark- able restoration of markers of renal function such as protein, urea, creatinine</w:t>
      </w:r>
      <w:r>
        <w:rPr>
          <w:color w:val="231F20"/>
          <w:w w:val="110"/>
        </w:rPr>
        <w:t> levels, creatinine</w:t>
      </w:r>
      <w:r>
        <w:rPr>
          <w:color w:val="231F20"/>
          <w:w w:val="110"/>
        </w:rPr>
        <w:t> clearance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antioxidant enzymes in gentamicin treated rats.</w:t>
      </w:r>
    </w:p>
    <w:p>
      <w:pPr>
        <w:pStyle w:val="BodyText"/>
        <w:spacing w:before="11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581939</wp:posOffset>
                </wp:positionH>
                <wp:positionV relativeFrom="paragraph">
                  <wp:posOffset>230903</wp:posOffset>
                </wp:positionV>
                <wp:extent cx="3041650" cy="1270"/>
                <wp:effectExtent l="0" t="0" r="0" b="0"/>
                <wp:wrapTopAndBottom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8.181402pt;width:239.5pt;height:.1pt;mso-position-horizontal-relative:page;mso-position-vertical-relative:paragraph;z-index:-15709696;mso-wrap-distance-left:0;mso-wrap-distance-right:0" id="docshape42" coordorigin="916,364" coordsize="4790,0" path="m916,364l5706,364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ind w:left="116" w:firstLine="0"/>
      </w:pPr>
      <w:bookmarkStart w:name=" Acknowledgments" w:id="39"/>
      <w:bookmarkEnd w:id="39"/>
      <w:r>
        <w:rPr>
          <w:b w:val="0"/>
        </w:rPr>
      </w:r>
      <w:r>
        <w:rPr>
          <w:color w:val="231F20"/>
          <w:spacing w:val="-2"/>
        </w:rPr>
        <w:t>Acknowledgments</w:t>
      </w:r>
    </w:p>
    <w:p>
      <w:pPr>
        <w:pStyle w:val="BodyText"/>
        <w:spacing w:before="134"/>
        <w:rPr>
          <w:b/>
          <w:sz w:val="19"/>
        </w:rPr>
      </w:pPr>
    </w:p>
    <w:p>
      <w:pPr>
        <w:pStyle w:val="BodyText"/>
        <w:spacing w:line="302" w:lineRule="auto" w:before="1"/>
        <w:ind w:left="116" w:right="38"/>
        <w:jc w:val="both"/>
      </w:pP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authors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appreciate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Mrs.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Olatoye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T.R,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Department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Medical</w:t>
      </w:r>
      <w:r>
        <w:rPr>
          <w:color w:val="231F20"/>
          <w:w w:val="110"/>
        </w:rPr>
        <w:t> </w:t>
      </w:r>
      <w:r>
        <w:rPr>
          <w:color w:val="231F20"/>
        </w:rPr>
        <w:t>Pharmacology and Therapeutics, OAU, Ile-Ife; Mr. K. Ilesanmi,</w:t>
      </w:r>
      <w:r>
        <w:rPr>
          <w:color w:val="231F20"/>
          <w:spacing w:val="40"/>
        </w:rPr>
        <w:t> </w:t>
      </w:r>
      <w:r>
        <w:rPr>
          <w:color w:val="231F20"/>
        </w:rPr>
        <w:t>Department of Physiological Sciences, OAU, Ile-Ife; and Dr. E.M.</w:t>
      </w:r>
      <w:r>
        <w:rPr>
          <w:color w:val="231F20"/>
          <w:w w:val="110"/>
        </w:rPr>
        <w:t> Obuotor, Department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Biochemistry, for</w:t>
      </w:r>
      <w:r>
        <w:rPr>
          <w:color w:val="231F20"/>
          <w:w w:val="110"/>
        </w:rPr>
        <w:t> providing</w:t>
      </w:r>
      <w:r>
        <w:rPr>
          <w:color w:val="231F20"/>
          <w:w w:val="110"/>
        </w:rPr>
        <w:t> us</w:t>
      </w:r>
      <w:r>
        <w:rPr>
          <w:color w:val="231F20"/>
          <w:w w:val="110"/>
        </w:rPr>
        <w:t> with some</w:t>
      </w:r>
      <w:r>
        <w:rPr>
          <w:color w:val="231F20"/>
          <w:w w:val="110"/>
        </w:rPr>
        <w:t> necessary</w:t>
      </w:r>
      <w:r>
        <w:rPr>
          <w:color w:val="231F20"/>
          <w:w w:val="110"/>
        </w:rPr>
        <w:t> equipment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their</w:t>
      </w:r>
      <w:r>
        <w:rPr>
          <w:color w:val="231F20"/>
          <w:w w:val="110"/>
        </w:rPr>
        <w:t> technical</w:t>
      </w:r>
      <w:r>
        <w:rPr>
          <w:color w:val="231F20"/>
          <w:w w:val="110"/>
        </w:rPr>
        <w:t> assis-</w:t>
      </w:r>
      <w:r>
        <w:rPr>
          <w:color w:val="231F20"/>
          <w:spacing w:val="80"/>
          <w:w w:val="110"/>
        </w:rPr>
        <w:t> </w:t>
      </w:r>
      <w:bookmarkStart w:name=" References" w:id="40"/>
      <w:bookmarkEnd w:id="40"/>
      <w:r>
        <w:rPr>
          <w:color w:val="231F20"/>
          <w:w w:val="110"/>
        </w:rPr>
        <w:t>tance</w:t>
      </w:r>
      <w:r>
        <w:rPr>
          <w:color w:val="231F20"/>
          <w:w w:val="110"/>
        </w:rPr>
        <w:t> in the process of carrying out this research work</w:t>
      </w:r>
    </w:p>
    <w:p>
      <w:pPr>
        <w:pStyle w:val="BodyText"/>
        <w:spacing w:before="129"/>
      </w:pPr>
    </w:p>
    <w:p>
      <w:pPr>
        <w:spacing w:before="0"/>
        <w:ind w:left="116" w:right="0" w:firstLine="0"/>
        <w:jc w:val="left"/>
        <w:rPr>
          <w:sz w:val="14"/>
        </w:rPr>
      </w:pPr>
      <w:r>
        <w:rPr>
          <w:color w:val="231F20"/>
          <w:sz w:val="14"/>
        </w:rPr>
        <w:t>R E F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R E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N C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</w:t>
      </w:r>
      <w:r>
        <w:rPr>
          <w:color w:val="231F20"/>
          <w:spacing w:val="-10"/>
          <w:sz w:val="14"/>
        </w:rPr>
        <w:t>S</w:t>
      </w:r>
      <w:r>
        <w:rPr>
          <w:color w:val="231F20"/>
          <w:spacing w:val="40"/>
          <w:sz w:val="14"/>
        </w:rPr>
        <w:t> </w:t>
      </w:r>
    </w:p>
    <w:p>
      <w:pPr>
        <w:pStyle w:val="BodyText"/>
        <w:spacing w:before="8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581939</wp:posOffset>
                </wp:positionH>
                <wp:positionV relativeFrom="paragraph">
                  <wp:posOffset>121855</wp:posOffset>
                </wp:positionV>
                <wp:extent cx="3041650" cy="1270"/>
                <wp:effectExtent l="0" t="0" r="0" b="0"/>
                <wp:wrapTopAndBottom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594945pt;width:239.5pt;height:.1pt;mso-position-horizontal-relative:page;mso-position-vertical-relative:paragraph;z-index:-15709184;mso-wrap-distance-left:0;mso-wrap-distance-right:0" id="docshape43" coordorigin="916,192" coordsize="4790,0" path="m916,192l5706,192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spacing w:before="25"/>
        <w:rPr>
          <w:sz w:val="14"/>
        </w:rPr>
      </w:pPr>
    </w:p>
    <w:p>
      <w:pPr>
        <w:pStyle w:val="ListParagraph"/>
        <w:numPr>
          <w:ilvl w:val="0"/>
          <w:numId w:val="4"/>
        </w:numPr>
        <w:tabs>
          <w:tab w:pos="451" w:val="left" w:leader="none"/>
        </w:tabs>
        <w:spacing w:line="280" w:lineRule="auto" w:before="1" w:after="0"/>
        <w:ind w:left="451" w:right="248" w:hanging="252"/>
        <w:jc w:val="left"/>
        <w:rPr>
          <w:sz w:val="15"/>
        </w:rPr>
      </w:pPr>
      <w:bookmarkStart w:name="_bookmark11" w:id="41"/>
      <w:bookmarkEnd w:id="41"/>
      <w:r>
        <w:rPr/>
      </w:r>
      <w:hyperlink r:id="rId38">
        <w:r>
          <w:rPr>
            <w:color w:val="00689C"/>
            <w:spacing w:val="-2"/>
            <w:w w:val="110"/>
            <w:sz w:val="15"/>
          </w:rPr>
          <w:t>Moulds RFW,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Jeyasingham MS.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Gentamicin: a great way </w:t>
        </w:r>
        <w:r>
          <w:rPr>
            <w:color w:val="00689C"/>
            <w:spacing w:val="-2"/>
            <w:w w:val="110"/>
            <w:sz w:val="15"/>
          </w:rPr>
          <w:t>to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2" w:id="42"/>
      <w:bookmarkEnd w:id="42"/>
      <w:r>
        <w:rPr>
          <w:color w:val="00689C"/>
          <w:w w:val="110"/>
          <w:sz w:val="15"/>
        </w:rPr>
      </w:r>
      <w:hyperlink r:id="rId38">
        <w:r>
          <w:rPr>
            <w:color w:val="00689C"/>
            <w:w w:val="110"/>
            <w:sz w:val="15"/>
          </w:rPr>
          <w:t>start.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Aust Prescr 2010;33:134–5.</w:t>
        </w:r>
      </w:hyperlink>
    </w:p>
    <w:p>
      <w:pPr>
        <w:pStyle w:val="ListParagraph"/>
        <w:numPr>
          <w:ilvl w:val="0"/>
          <w:numId w:val="4"/>
        </w:numPr>
        <w:tabs>
          <w:tab w:pos="451" w:val="left" w:leader="none"/>
        </w:tabs>
        <w:spacing w:line="280" w:lineRule="auto" w:before="0" w:after="0"/>
        <w:ind w:left="451" w:right="183" w:hanging="252"/>
        <w:jc w:val="left"/>
        <w:rPr>
          <w:sz w:val="15"/>
        </w:rPr>
      </w:pPr>
      <w:hyperlink r:id="rId39">
        <w:r>
          <w:rPr>
            <w:color w:val="00689C"/>
            <w:w w:val="110"/>
            <w:sz w:val="15"/>
          </w:rPr>
          <w:t>Dhanarajan R, Abraham P, Issac B. Protective effect 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39">
        <w:r>
          <w:rPr>
            <w:color w:val="00689C"/>
            <w:w w:val="110"/>
            <w:sz w:val="15"/>
          </w:rPr>
          <w:t>ebselen drug,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against gentamicin-induced renal damage </w:t>
        </w:r>
        <w:r>
          <w:rPr>
            <w:color w:val="00689C"/>
            <w:w w:val="110"/>
            <w:sz w:val="15"/>
          </w:rPr>
          <w:t>in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3" w:id="43"/>
      <w:bookmarkEnd w:id="43"/>
      <w:r>
        <w:rPr>
          <w:color w:val="00689C"/>
          <w:w w:val="110"/>
          <w:sz w:val="15"/>
        </w:rPr>
      </w:r>
      <w:hyperlink r:id="rId39">
        <w:r>
          <w:rPr>
            <w:color w:val="00689C"/>
            <w:w w:val="110"/>
            <w:sz w:val="15"/>
          </w:rPr>
          <w:t>rats.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Basic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Clin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Pharmacol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Toxicol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2006;99:267–72.</w:t>
        </w:r>
      </w:hyperlink>
    </w:p>
    <w:p>
      <w:pPr>
        <w:pStyle w:val="ListParagraph"/>
        <w:numPr>
          <w:ilvl w:val="0"/>
          <w:numId w:val="4"/>
        </w:numPr>
        <w:tabs>
          <w:tab w:pos="451" w:val="left" w:leader="none"/>
        </w:tabs>
        <w:spacing w:line="280" w:lineRule="auto" w:before="0" w:after="0"/>
        <w:ind w:left="451" w:right="58" w:hanging="252"/>
        <w:jc w:val="left"/>
        <w:rPr>
          <w:sz w:val="15"/>
        </w:rPr>
      </w:pPr>
      <w:hyperlink r:id="rId40">
        <w:r>
          <w:rPr>
            <w:color w:val="00689C"/>
            <w:sz w:val="15"/>
          </w:rPr>
          <w:t>Sundin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DP,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Meyer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C,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Dahl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R,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Geerdes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A,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Sandoval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R,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Molitoris</w:t>
        </w:r>
      </w:hyperlink>
      <w:r>
        <w:rPr>
          <w:color w:val="00689C"/>
          <w:spacing w:val="40"/>
          <w:w w:val="110"/>
          <w:sz w:val="15"/>
        </w:rPr>
        <w:t> </w:t>
      </w:r>
      <w:hyperlink r:id="rId40">
        <w:r>
          <w:rPr>
            <w:color w:val="00689C"/>
            <w:w w:val="110"/>
            <w:sz w:val="15"/>
          </w:rPr>
          <w:t>BA. Cellular mechanism of aminoglycoside tolerance in</w:t>
        </w:r>
      </w:hyperlink>
    </w:p>
    <w:p>
      <w:pPr>
        <w:spacing w:line="280" w:lineRule="auto" w:before="1"/>
        <w:ind w:left="451" w:right="0" w:firstLine="0"/>
        <w:jc w:val="left"/>
        <w:rPr>
          <w:sz w:val="15"/>
        </w:rPr>
      </w:pPr>
      <w:hyperlink r:id="rId40">
        <w:r>
          <w:rPr>
            <w:color w:val="00689C"/>
            <w:w w:val="105"/>
            <w:sz w:val="15"/>
          </w:rPr>
          <w:t>long-term gentamicin treatment. Am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Physiol</w:t>
        </w:r>
      </w:hyperlink>
      <w:r>
        <w:rPr>
          <w:color w:val="00689C"/>
          <w:w w:val="112"/>
          <w:sz w:val="15"/>
        </w:rPr>
        <w:t> </w:t>
      </w:r>
      <w:bookmarkStart w:name="_bookmark14" w:id="44"/>
      <w:bookmarkEnd w:id="44"/>
      <w:r>
        <w:rPr>
          <w:color w:val="00689C"/>
          <w:w w:val="112"/>
          <w:sz w:val="15"/>
        </w:rPr>
      </w:r>
      <w:hyperlink r:id="rId40">
        <w:r>
          <w:rPr>
            <w:color w:val="00689C"/>
            <w:spacing w:val="-2"/>
            <w:w w:val="105"/>
            <w:sz w:val="15"/>
          </w:rPr>
          <w:t>1997;411:C1309–18.</w:t>
        </w:r>
      </w:hyperlink>
    </w:p>
    <w:p>
      <w:pPr>
        <w:pStyle w:val="ListParagraph"/>
        <w:numPr>
          <w:ilvl w:val="0"/>
          <w:numId w:val="4"/>
        </w:numPr>
        <w:tabs>
          <w:tab w:pos="451" w:val="left" w:leader="none"/>
        </w:tabs>
        <w:spacing w:line="280" w:lineRule="auto" w:before="0" w:after="0"/>
        <w:ind w:left="451" w:right="42" w:hanging="252"/>
        <w:jc w:val="left"/>
        <w:rPr>
          <w:sz w:val="15"/>
        </w:rPr>
      </w:pPr>
      <w:hyperlink r:id="rId41">
        <w:r>
          <w:rPr>
            <w:color w:val="00689C"/>
            <w:w w:val="110"/>
            <w:sz w:val="15"/>
          </w:rPr>
          <w:t>Erdem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Gundogan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Alp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U,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Kara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protective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effect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41">
        <w:r>
          <w:rPr>
            <w:color w:val="00689C"/>
            <w:w w:val="110"/>
            <w:sz w:val="15"/>
          </w:rPr>
          <w:t>taurine against gentamicin-induced acute tubular necrosis</w:t>
        </w:r>
      </w:hyperlink>
      <w:r>
        <w:rPr>
          <w:color w:val="00689C"/>
          <w:spacing w:val="80"/>
          <w:w w:val="112"/>
          <w:sz w:val="15"/>
        </w:rPr>
        <w:t> </w:t>
      </w:r>
      <w:bookmarkStart w:name="_bookmark15" w:id="45"/>
      <w:bookmarkEnd w:id="45"/>
      <w:r>
        <w:rPr>
          <w:color w:val="00689C"/>
          <w:w w:val="112"/>
          <w:sz w:val="15"/>
        </w:rPr>
      </w:r>
      <w:hyperlink r:id="rId41">
        <w:r>
          <w:rPr>
            <w:color w:val="00689C"/>
            <w:w w:val="110"/>
            <w:sz w:val="15"/>
          </w:rPr>
          <w:t>in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rats.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Nephrol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Dial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Transplant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2000;15:1175–82.</w:t>
        </w:r>
      </w:hyperlink>
    </w:p>
    <w:p>
      <w:pPr>
        <w:pStyle w:val="ListParagraph"/>
        <w:numPr>
          <w:ilvl w:val="0"/>
          <w:numId w:val="4"/>
        </w:numPr>
        <w:tabs>
          <w:tab w:pos="451" w:val="left" w:leader="none"/>
        </w:tabs>
        <w:spacing w:line="280" w:lineRule="auto" w:before="0" w:after="0"/>
        <w:ind w:left="451" w:right="121" w:hanging="252"/>
        <w:jc w:val="left"/>
        <w:rPr>
          <w:sz w:val="15"/>
        </w:rPr>
      </w:pPr>
      <w:hyperlink r:id="rId42">
        <w:r>
          <w:rPr>
            <w:color w:val="00689C"/>
            <w:w w:val="105"/>
            <w:sz w:val="15"/>
          </w:rPr>
          <w:t>Elfarra AA, Duescher RJ, Sausen PJ, Ohara TM, Cooley AJ.</w:t>
        </w:r>
      </w:hyperlink>
      <w:r>
        <w:rPr>
          <w:color w:val="00689C"/>
          <w:spacing w:val="40"/>
          <w:w w:val="105"/>
          <w:sz w:val="15"/>
        </w:rPr>
        <w:t> </w:t>
      </w:r>
      <w:hyperlink r:id="rId42">
        <w:r>
          <w:rPr>
            <w:color w:val="00689C"/>
            <w:w w:val="105"/>
            <w:sz w:val="15"/>
          </w:rPr>
          <w:t>Methimazole protection of rats against </w:t>
        </w:r>
        <w:r>
          <w:rPr>
            <w:color w:val="00689C"/>
            <w:w w:val="105"/>
            <w:sz w:val="15"/>
          </w:rPr>
          <w:t>gentamicin-induced</w:t>
        </w:r>
      </w:hyperlink>
      <w:r>
        <w:rPr>
          <w:color w:val="00689C"/>
          <w:spacing w:val="80"/>
          <w:w w:val="105"/>
          <w:sz w:val="15"/>
        </w:rPr>
        <w:t> </w:t>
      </w:r>
      <w:hyperlink r:id="rId42">
        <w:r>
          <w:rPr>
            <w:color w:val="00689C"/>
            <w:w w:val="105"/>
            <w:sz w:val="15"/>
          </w:rPr>
          <w:t>nephrotoxicity. Can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Physiol Pharmacol 1994;72:1238–44.</w:t>
        </w:r>
      </w:hyperlink>
    </w:p>
    <w:p>
      <w:pPr>
        <w:pStyle w:val="ListParagraph"/>
        <w:numPr>
          <w:ilvl w:val="0"/>
          <w:numId w:val="4"/>
        </w:numPr>
        <w:tabs>
          <w:tab w:pos="451" w:val="left" w:leader="none"/>
        </w:tabs>
        <w:spacing w:line="280" w:lineRule="auto" w:before="1" w:after="0"/>
        <w:ind w:left="451" w:right="146" w:hanging="252"/>
        <w:jc w:val="left"/>
        <w:rPr>
          <w:sz w:val="15"/>
        </w:rPr>
      </w:pPr>
      <w:hyperlink r:id="rId43">
        <w:r>
          <w:rPr>
            <w:color w:val="00689C"/>
            <w:spacing w:val="-2"/>
            <w:w w:val="110"/>
            <w:sz w:val="15"/>
          </w:rPr>
          <w:t>Abdel-Raheem IT,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Abdel-Ghany AA,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Mohamed G.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Protective</w:t>
        </w:r>
      </w:hyperlink>
      <w:r>
        <w:rPr>
          <w:color w:val="00689C"/>
          <w:spacing w:val="40"/>
          <w:w w:val="110"/>
          <w:sz w:val="15"/>
        </w:rPr>
        <w:t> </w:t>
      </w:r>
      <w:hyperlink r:id="rId43">
        <w:r>
          <w:rPr>
            <w:color w:val="00689C"/>
            <w:w w:val="110"/>
            <w:sz w:val="15"/>
          </w:rPr>
          <w:t>effect of quercetin against gentamicin-induced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16" w:id="46"/>
      <w:bookmarkEnd w:id="46"/>
      <w:r>
        <w:rPr>
          <w:color w:val="00689C"/>
          <w:w w:val="111"/>
          <w:sz w:val="15"/>
        </w:rPr>
      </w:r>
      <w:hyperlink r:id="rId43">
        <w:r>
          <w:rPr>
            <w:color w:val="00689C"/>
            <w:w w:val="110"/>
            <w:sz w:val="15"/>
          </w:rPr>
          <w:t>nephrotoxicity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rats.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Biol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Pharm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Bull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2009;32:61–7.</w:t>
        </w:r>
      </w:hyperlink>
    </w:p>
    <w:p>
      <w:pPr>
        <w:pStyle w:val="ListParagraph"/>
        <w:numPr>
          <w:ilvl w:val="0"/>
          <w:numId w:val="4"/>
        </w:numPr>
        <w:tabs>
          <w:tab w:pos="451" w:val="left" w:leader="none"/>
        </w:tabs>
        <w:spacing w:line="280" w:lineRule="auto" w:before="0" w:after="0"/>
        <w:ind w:left="451" w:right="144" w:hanging="252"/>
        <w:jc w:val="left"/>
        <w:rPr>
          <w:sz w:val="15"/>
        </w:rPr>
      </w:pPr>
      <w:hyperlink r:id="rId44">
        <w:r>
          <w:rPr>
            <w:color w:val="00689C"/>
            <w:spacing w:val="-2"/>
            <w:w w:val="110"/>
            <w:sz w:val="15"/>
          </w:rPr>
          <w:t>Nadkarni KM.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Indian materia medica.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3rd ed.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India: </w:t>
        </w:r>
        <w:r>
          <w:rPr>
            <w:color w:val="00689C"/>
            <w:spacing w:val="-2"/>
            <w:w w:val="110"/>
            <w:sz w:val="15"/>
          </w:rPr>
          <w:t>Popular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7" w:id="47"/>
      <w:bookmarkEnd w:id="47"/>
      <w:r>
        <w:rPr>
          <w:color w:val="00689C"/>
          <w:w w:val="110"/>
          <w:sz w:val="15"/>
        </w:rPr>
      </w:r>
      <w:hyperlink r:id="rId44">
        <w:r>
          <w:rPr>
            <w:color w:val="00689C"/>
            <w:w w:val="110"/>
            <w:sz w:val="15"/>
          </w:rPr>
          <w:t>Prakashan Pvt Ltd; 1999.</w:t>
        </w:r>
      </w:hyperlink>
    </w:p>
    <w:p>
      <w:pPr>
        <w:pStyle w:val="ListParagraph"/>
        <w:numPr>
          <w:ilvl w:val="0"/>
          <w:numId w:val="4"/>
        </w:numPr>
        <w:tabs>
          <w:tab w:pos="451" w:val="left" w:leader="none"/>
        </w:tabs>
        <w:spacing w:line="280" w:lineRule="auto" w:before="1" w:after="0"/>
        <w:ind w:left="451" w:right="116" w:hanging="252"/>
        <w:jc w:val="left"/>
        <w:rPr>
          <w:sz w:val="15"/>
        </w:rPr>
      </w:pPr>
      <w:hyperlink r:id="rId45">
        <w:r>
          <w:rPr>
            <w:color w:val="00689C"/>
            <w:w w:val="105"/>
            <w:sz w:val="15"/>
          </w:rPr>
          <w:t>Effraim KD, Jacks TW, Sodipo OA. Histopathological studies</w:t>
        </w:r>
      </w:hyperlink>
      <w:r>
        <w:rPr>
          <w:color w:val="00689C"/>
          <w:spacing w:val="40"/>
          <w:w w:val="105"/>
          <w:sz w:val="15"/>
        </w:rPr>
        <w:t> </w:t>
      </w:r>
      <w:hyperlink r:id="rId45">
        <w:r>
          <w:rPr>
            <w:color w:val="00689C"/>
            <w:w w:val="105"/>
            <w:sz w:val="15"/>
          </w:rPr>
          <w:t>on the toxicity of </w:t>
        </w:r>
        <w:r>
          <w:rPr>
            <w:i/>
            <w:color w:val="00689C"/>
            <w:w w:val="105"/>
            <w:sz w:val="15"/>
          </w:rPr>
          <w:t>Ocimum gratissimum </w:t>
        </w:r>
        <w:r>
          <w:rPr>
            <w:color w:val="00689C"/>
            <w:w w:val="105"/>
            <w:sz w:val="15"/>
          </w:rPr>
          <w:t>leave extract on </w:t>
        </w:r>
        <w:r>
          <w:rPr>
            <w:color w:val="00689C"/>
            <w:w w:val="105"/>
            <w:sz w:val="15"/>
          </w:rPr>
          <w:t>some</w:t>
        </w:r>
      </w:hyperlink>
      <w:r>
        <w:rPr>
          <w:color w:val="00689C"/>
          <w:w w:val="113"/>
          <w:sz w:val="15"/>
        </w:rPr>
        <w:t> </w:t>
      </w:r>
      <w:bookmarkStart w:name="_bookmark18" w:id="48"/>
      <w:bookmarkEnd w:id="48"/>
      <w:r>
        <w:rPr>
          <w:color w:val="00689C"/>
          <w:w w:val="113"/>
          <w:sz w:val="15"/>
        </w:rPr>
      </w:r>
      <w:hyperlink r:id="rId45">
        <w:r>
          <w:rPr>
            <w:color w:val="00689C"/>
            <w:w w:val="105"/>
            <w:sz w:val="15"/>
          </w:rPr>
          <w:t>organs of rabbit. Afr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Biomed Res 2003;6:21–5.</w:t>
        </w:r>
      </w:hyperlink>
    </w:p>
    <w:p>
      <w:pPr>
        <w:pStyle w:val="ListParagraph"/>
        <w:numPr>
          <w:ilvl w:val="0"/>
          <w:numId w:val="4"/>
        </w:numPr>
        <w:tabs>
          <w:tab w:pos="451" w:val="left" w:leader="none"/>
        </w:tabs>
        <w:spacing w:line="280" w:lineRule="auto" w:before="0" w:after="0"/>
        <w:ind w:left="451" w:right="88" w:hanging="252"/>
        <w:jc w:val="left"/>
        <w:rPr>
          <w:sz w:val="15"/>
        </w:rPr>
      </w:pPr>
      <w:hyperlink r:id="rId46">
        <w:r>
          <w:rPr>
            <w:color w:val="00689C"/>
            <w:w w:val="105"/>
            <w:sz w:val="15"/>
          </w:rPr>
          <w:t>Rabelo M, Souza EP, Soares PMG, Miranda AV, Matos FJA,</w:t>
        </w:r>
      </w:hyperlink>
      <w:r>
        <w:rPr>
          <w:color w:val="00689C"/>
          <w:spacing w:val="40"/>
          <w:w w:val="105"/>
          <w:sz w:val="15"/>
        </w:rPr>
        <w:t> </w:t>
      </w:r>
      <w:hyperlink r:id="rId46">
        <w:r>
          <w:rPr>
            <w:color w:val="00689C"/>
            <w:w w:val="105"/>
            <w:sz w:val="15"/>
          </w:rPr>
          <w:t>Criddle DN. Antinociceptive properties of the essential oil of</w:t>
        </w:r>
      </w:hyperlink>
      <w:r>
        <w:rPr>
          <w:color w:val="00689C"/>
          <w:spacing w:val="80"/>
          <w:w w:val="105"/>
          <w:sz w:val="15"/>
        </w:rPr>
        <w:t> </w:t>
      </w:r>
      <w:hyperlink r:id="rId46">
        <w:r>
          <w:rPr>
            <w:i/>
            <w:color w:val="00689C"/>
            <w:w w:val="105"/>
            <w:sz w:val="15"/>
          </w:rPr>
          <w:t>Ocimum</w:t>
        </w:r>
        <w:r>
          <w:rPr>
            <w:i/>
            <w:color w:val="00689C"/>
            <w:spacing w:val="-10"/>
            <w:w w:val="105"/>
            <w:sz w:val="15"/>
          </w:rPr>
          <w:t> </w:t>
        </w:r>
        <w:r>
          <w:rPr>
            <w:i/>
            <w:color w:val="00689C"/>
            <w:w w:val="105"/>
            <w:sz w:val="15"/>
          </w:rPr>
          <w:t>gratissimum</w:t>
        </w:r>
        <w:r>
          <w:rPr>
            <w:i/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L.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(Labiatae)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mice.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Braz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-9"/>
            <w:sz w:val="15"/>
          </w:rPr>
          <w:t> </w:t>
        </w:r>
        <w:r>
          <w:rPr>
            <w:color w:val="00689C"/>
            <w:w w:val="105"/>
            <w:sz w:val="15"/>
          </w:rPr>
          <w:t>Med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Biol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Res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19" w:id="49"/>
      <w:bookmarkEnd w:id="49"/>
      <w:r>
        <w:rPr>
          <w:color w:val="00689C"/>
          <w:w w:val="105"/>
          <w:sz w:val="15"/>
        </w:rPr>
      </w:r>
      <w:hyperlink r:id="rId46">
        <w:r>
          <w:rPr>
            <w:color w:val="00689C"/>
            <w:spacing w:val="-2"/>
            <w:w w:val="105"/>
            <w:sz w:val="15"/>
          </w:rPr>
          <w:t>2003;36:521–4.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72" w:hanging="336"/>
        <w:jc w:val="left"/>
        <w:rPr>
          <w:sz w:val="15"/>
        </w:rPr>
      </w:pPr>
      <w:hyperlink r:id="rId47">
        <w:r>
          <w:rPr>
            <w:color w:val="00689C"/>
            <w:w w:val="110"/>
            <w:sz w:val="15"/>
          </w:rPr>
          <w:t>Akinmoladun AC,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Ibukun EO,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Emmanuel A,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Obuotor EM,</w:t>
        </w:r>
      </w:hyperlink>
      <w:r>
        <w:rPr>
          <w:color w:val="00689C"/>
          <w:spacing w:val="40"/>
          <w:w w:val="110"/>
          <w:sz w:val="15"/>
        </w:rPr>
        <w:t> </w:t>
      </w:r>
      <w:hyperlink r:id="rId47">
        <w:r>
          <w:rPr>
            <w:color w:val="00689C"/>
            <w:w w:val="110"/>
            <w:sz w:val="15"/>
          </w:rPr>
          <w:t>Farombi EO. Phytochemical constituent and antioxidant</w:t>
        </w:r>
      </w:hyperlink>
      <w:r>
        <w:rPr>
          <w:color w:val="00689C"/>
          <w:spacing w:val="40"/>
          <w:w w:val="110"/>
          <w:sz w:val="15"/>
        </w:rPr>
        <w:t> </w:t>
      </w:r>
      <w:hyperlink r:id="rId47">
        <w:r>
          <w:rPr>
            <w:color w:val="00689C"/>
            <w:spacing w:val="-2"/>
            <w:w w:val="110"/>
            <w:sz w:val="15"/>
          </w:rPr>
          <w:t>activity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of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extract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from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the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leaves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of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i/>
            <w:color w:val="00689C"/>
            <w:spacing w:val="-2"/>
            <w:w w:val="110"/>
            <w:sz w:val="15"/>
          </w:rPr>
          <w:t>Ocimum</w:t>
        </w:r>
        <w:r>
          <w:rPr>
            <w:i/>
            <w:color w:val="00689C"/>
            <w:spacing w:val="-6"/>
            <w:w w:val="110"/>
            <w:sz w:val="15"/>
          </w:rPr>
          <w:t> </w:t>
        </w:r>
        <w:r>
          <w:rPr>
            <w:i/>
            <w:color w:val="00689C"/>
            <w:spacing w:val="-2"/>
            <w:w w:val="110"/>
            <w:sz w:val="15"/>
          </w:rPr>
          <w:t>gratissimum</w:t>
        </w:r>
        <w:r>
          <w:rPr>
            <w:color w:val="00689C"/>
            <w:spacing w:val="-2"/>
            <w:w w:val="110"/>
            <w:sz w:val="15"/>
          </w:rPr>
          <w:t>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Sci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20" w:id="50"/>
      <w:bookmarkEnd w:id="50"/>
      <w:r>
        <w:rPr>
          <w:color w:val="00689C"/>
          <w:w w:val="108"/>
          <w:sz w:val="15"/>
        </w:rPr>
      </w:r>
      <w:hyperlink r:id="rId47">
        <w:r>
          <w:rPr>
            <w:color w:val="00689C"/>
            <w:w w:val="110"/>
            <w:sz w:val="15"/>
          </w:rPr>
          <w:t>Res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Essays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2007;2:163–6.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08" w:hanging="336"/>
        <w:jc w:val="left"/>
        <w:rPr>
          <w:sz w:val="15"/>
        </w:rPr>
      </w:pPr>
      <w:hyperlink r:id="rId48">
        <w:r>
          <w:rPr>
            <w:color w:val="00689C"/>
            <w:sz w:val="15"/>
          </w:rPr>
          <w:t>Ijeh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II,</w:t>
        </w:r>
        <w:r>
          <w:rPr>
            <w:color w:val="00689C"/>
            <w:spacing w:val="26"/>
            <w:sz w:val="15"/>
          </w:rPr>
          <w:t> </w:t>
        </w:r>
        <w:r>
          <w:rPr>
            <w:color w:val="00689C"/>
            <w:sz w:val="15"/>
          </w:rPr>
          <w:t>Omodamiro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OD,</w:t>
        </w:r>
        <w:r>
          <w:rPr>
            <w:color w:val="00689C"/>
            <w:spacing w:val="26"/>
            <w:sz w:val="15"/>
          </w:rPr>
          <w:t> </w:t>
        </w:r>
        <w:r>
          <w:rPr>
            <w:color w:val="00689C"/>
            <w:sz w:val="15"/>
          </w:rPr>
          <w:t>Nwanna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IJ.</w:t>
        </w:r>
        <w:r>
          <w:rPr>
            <w:color w:val="00689C"/>
            <w:spacing w:val="26"/>
            <w:sz w:val="15"/>
          </w:rPr>
          <w:t> </w:t>
        </w:r>
        <w:r>
          <w:rPr>
            <w:color w:val="00689C"/>
            <w:sz w:val="15"/>
          </w:rPr>
          <w:t>Antimicrobial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effects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of</w:t>
        </w:r>
      </w:hyperlink>
      <w:r>
        <w:rPr>
          <w:color w:val="00689C"/>
          <w:spacing w:val="40"/>
          <w:sz w:val="15"/>
        </w:rPr>
        <w:t> </w:t>
      </w:r>
      <w:hyperlink r:id="rId48">
        <w:r>
          <w:rPr>
            <w:color w:val="00689C"/>
            <w:sz w:val="15"/>
          </w:rPr>
          <w:t>aqueous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and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ethanolic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fractions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of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two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spices,</w:t>
        </w:r>
        <w:r>
          <w:rPr>
            <w:color w:val="00689C"/>
            <w:spacing w:val="29"/>
            <w:sz w:val="15"/>
          </w:rPr>
          <w:t> </w:t>
        </w:r>
        <w:r>
          <w:rPr>
            <w:i/>
            <w:color w:val="00689C"/>
            <w:sz w:val="15"/>
          </w:rPr>
          <w:t>Ocimum</w:t>
        </w:r>
      </w:hyperlink>
      <w:r>
        <w:rPr>
          <w:i/>
          <w:color w:val="00689C"/>
          <w:spacing w:val="40"/>
          <w:sz w:val="15"/>
        </w:rPr>
        <w:t> </w:t>
      </w:r>
      <w:hyperlink r:id="rId48">
        <w:r>
          <w:rPr>
            <w:i/>
            <w:color w:val="00689C"/>
            <w:sz w:val="15"/>
          </w:rPr>
          <w:t>gratissimum </w:t>
        </w:r>
        <w:r>
          <w:rPr>
            <w:color w:val="00689C"/>
            <w:sz w:val="15"/>
          </w:rPr>
          <w:t>and </w:t>
        </w:r>
        <w:r>
          <w:rPr>
            <w:i/>
            <w:color w:val="00689C"/>
            <w:sz w:val="15"/>
          </w:rPr>
          <w:t>Xylopia aethiopica</w:t>
        </w:r>
        <w:r>
          <w:rPr>
            <w:color w:val="00689C"/>
            <w:sz w:val="15"/>
          </w:rPr>
          <w:t>. Afr J Biotechnol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1" w:id="51"/>
      <w:bookmarkEnd w:id="51"/>
      <w:r>
        <w:rPr>
          <w:color w:val="00689C"/>
          <w:w w:val="111"/>
          <w:sz w:val="15"/>
        </w:rPr>
      </w:r>
      <w:hyperlink r:id="rId48">
        <w:r>
          <w:rPr>
            <w:color w:val="00689C"/>
            <w:spacing w:val="-2"/>
            <w:sz w:val="15"/>
          </w:rPr>
          <w:t>2005;4:953–6.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545" w:hanging="336"/>
        <w:jc w:val="both"/>
        <w:rPr>
          <w:sz w:val="15"/>
        </w:rPr>
      </w:pPr>
      <w:hyperlink r:id="rId49">
        <w:r>
          <w:rPr>
            <w:color w:val="00689C"/>
            <w:w w:val="110"/>
            <w:sz w:val="15"/>
          </w:rPr>
          <w:t>Bartels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Bohmer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Serum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creatinine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determination</w:t>
        </w:r>
      </w:hyperlink>
      <w:r>
        <w:rPr>
          <w:color w:val="00689C"/>
          <w:spacing w:val="40"/>
          <w:w w:val="110"/>
          <w:sz w:val="15"/>
        </w:rPr>
        <w:t> </w:t>
      </w:r>
      <w:hyperlink r:id="rId49">
        <w:r>
          <w:rPr>
            <w:color w:val="00689C"/>
            <w:w w:val="110"/>
            <w:sz w:val="15"/>
          </w:rPr>
          <w:t>without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protein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precipitation.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Clin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Chim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Acta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1972;37: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22" w:id="52"/>
      <w:bookmarkEnd w:id="52"/>
      <w:r>
        <w:rPr>
          <w:color w:val="00689C"/>
          <w:w w:val="103"/>
          <w:sz w:val="15"/>
        </w:rPr>
      </w:r>
      <w:hyperlink r:id="rId49">
        <w:r>
          <w:rPr>
            <w:color w:val="00689C"/>
            <w:spacing w:val="-2"/>
            <w:w w:val="110"/>
            <w:sz w:val="15"/>
          </w:rPr>
          <w:t>193–7.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56" w:hanging="336"/>
        <w:jc w:val="left"/>
        <w:rPr>
          <w:sz w:val="15"/>
        </w:rPr>
      </w:pPr>
      <w:hyperlink r:id="rId50">
        <w:r>
          <w:rPr>
            <w:color w:val="00689C"/>
            <w:w w:val="105"/>
            <w:sz w:val="15"/>
          </w:rPr>
          <w:t>Lowry OH, Rosenbrough NJ, Farr A Randallm RJ. Protein</w:t>
        </w:r>
      </w:hyperlink>
      <w:r>
        <w:rPr>
          <w:color w:val="00689C"/>
          <w:spacing w:val="40"/>
          <w:w w:val="105"/>
          <w:sz w:val="15"/>
        </w:rPr>
        <w:t> </w:t>
      </w:r>
      <w:hyperlink r:id="rId50">
        <w:r>
          <w:rPr>
            <w:color w:val="00689C"/>
            <w:w w:val="105"/>
            <w:sz w:val="15"/>
          </w:rPr>
          <w:t>measurement with the folin phenol reagent.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Biol </w:t>
        </w:r>
        <w:r>
          <w:rPr>
            <w:color w:val="00689C"/>
            <w:w w:val="105"/>
            <w:sz w:val="15"/>
          </w:rPr>
          <w:t>Chem</w:t>
        </w:r>
      </w:hyperlink>
      <w:r>
        <w:rPr>
          <w:color w:val="00689C"/>
          <w:spacing w:val="40"/>
          <w:w w:val="105"/>
          <w:sz w:val="15"/>
        </w:rPr>
        <w:t> </w:t>
      </w:r>
      <w:hyperlink r:id="rId50">
        <w:r>
          <w:rPr>
            <w:color w:val="00689C"/>
            <w:spacing w:val="-2"/>
            <w:w w:val="105"/>
            <w:sz w:val="15"/>
          </w:rPr>
          <w:t>1951;193:265–75.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01" w:after="0"/>
        <w:ind w:left="451" w:right="269" w:hanging="336"/>
        <w:jc w:val="both"/>
        <w:rPr>
          <w:sz w:val="15"/>
        </w:rPr>
      </w:pPr>
      <w:r>
        <w:rPr/>
        <w:br w:type="column"/>
      </w:r>
      <w:bookmarkStart w:name="_bookmark23" w:id="53"/>
      <w:bookmarkEnd w:id="53"/>
      <w:r>
        <w:rPr/>
      </w:r>
      <w:hyperlink r:id="rId51">
        <w:r>
          <w:rPr>
            <w:color w:val="00689C"/>
            <w:w w:val="105"/>
            <w:sz w:val="15"/>
          </w:rPr>
          <w:t>Holme DJ, Peck H. Analytical biochemistry. 3rd ed. New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York:</w:t>
        </w:r>
      </w:hyperlink>
      <w:r>
        <w:rPr>
          <w:color w:val="00689C"/>
          <w:spacing w:val="40"/>
          <w:w w:val="105"/>
          <w:sz w:val="15"/>
        </w:rPr>
        <w:t> </w:t>
      </w:r>
      <w:hyperlink r:id="rId51">
        <w:r>
          <w:rPr>
            <w:color w:val="00689C"/>
            <w:w w:val="105"/>
            <w:sz w:val="15"/>
          </w:rPr>
          <w:t>Longman; 1998.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979" w:hanging="336"/>
        <w:jc w:val="both"/>
        <w:rPr>
          <w:sz w:val="15"/>
        </w:rPr>
      </w:pPr>
      <w:bookmarkStart w:name="_bookmark24" w:id="54"/>
      <w:bookmarkEnd w:id="54"/>
      <w:r>
        <w:rPr/>
      </w:r>
      <w:hyperlink r:id="rId52">
        <w:r>
          <w:rPr>
            <w:color w:val="00689C"/>
            <w:w w:val="105"/>
            <w:sz w:val="15"/>
          </w:rPr>
          <w:t>Beutler E, Duron O, Kelly BM. Improved method for</w:t>
        </w:r>
      </w:hyperlink>
      <w:r>
        <w:rPr>
          <w:color w:val="00689C"/>
          <w:spacing w:val="40"/>
          <w:w w:val="105"/>
          <w:sz w:val="15"/>
        </w:rPr>
        <w:t> </w:t>
      </w:r>
      <w:hyperlink r:id="rId52">
        <w:r>
          <w:rPr>
            <w:color w:val="00689C"/>
            <w:w w:val="105"/>
            <w:sz w:val="15"/>
          </w:rPr>
          <w:t>determination of blood glutathione.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Lab Clin Med</w:t>
        </w:r>
      </w:hyperlink>
      <w:r>
        <w:rPr>
          <w:color w:val="00689C"/>
          <w:spacing w:val="40"/>
          <w:w w:val="106"/>
          <w:sz w:val="15"/>
        </w:rPr>
        <w:t> </w:t>
      </w:r>
      <w:bookmarkStart w:name="_bookmark25" w:id="55"/>
      <w:bookmarkEnd w:id="55"/>
      <w:r>
        <w:rPr>
          <w:color w:val="00689C"/>
          <w:w w:val="106"/>
          <w:sz w:val="15"/>
        </w:rPr>
      </w:r>
      <w:hyperlink r:id="rId52">
        <w:r>
          <w:rPr>
            <w:color w:val="00689C"/>
            <w:spacing w:val="-2"/>
            <w:w w:val="105"/>
            <w:sz w:val="15"/>
          </w:rPr>
          <w:t>1963;61:882–8.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67" w:hanging="336"/>
        <w:jc w:val="left"/>
        <w:rPr>
          <w:sz w:val="15"/>
        </w:rPr>
      </w:pPr>
      <w:hyperlink r:id="rId53">
        <w:r>
          <w:rPr>
            <w:color w:val="00689C"/>
            <w:w w:val="110"/>
            <w:sz w:val="15"/>
          </w:rPr>
          <w:t>Ohkawa H, Ohishi N, Yagi K. Assay for lipid peroxidation in</w:t>
        </w:r>
      </w:hyperlink>
      <w:r>
        <w:rPr>
          <w:color w:val="00689C"/>
          <w:spacing w:val="40"/>
          <w:w w:val="110"/>
          <w:sz w:val="15"/>
        </w:rPr>
        <w:t> </w:t>
      </w:r>
      <w:hyperlink r:id="rId53">
        <w:r>
          <w:rPr>
            <w:color w:val="00689C"/>
            <w:w w:val="110"/>
            <w:sz w:val="15"/>
          </w:rPr>
          <w:t>animal tissues by thiobarbituric acid reaction.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Anal </w:t>
        </w:r>
        <w:r>
          <w:rPr>
            <w:color w:val="00689C"/>
            <w:w w:val="110"/>
            <w:sz w:val="15"/>
          </w:rPr>
          <w:t>Biochem</w:t>
        </w:r>
      </w:hyperlink>
      <w:r>
        <w:rPr>
          <w:color w:val="00689C"/>
          <w:w w:val="113"/>
          <w:sz w:val="15"/>
        </w:rPr>
        <w:t> </w:t>
      </w:r>
      <w:bookmarkStart w:name="_bookmark26" w:id="56"/>
      <w:bookmarkEnd w:id="56"/>
      <w:r>
        <w:rPr>
          <w:color w:val="00689C"/>
          <w:w w:val="113"/>
          <w:sz w:val="15"/>
        </w:rPr>
      </w:r>
      <w:hyperlink r:id="rId53">
        <w:r>
          <w:rPr>
            <w:color w:val="00689C"/>
            <w:spacing w:val="-2"/>
            <w:w w:val="110"/>
            <w:sz w:val="15"/>
          </w:rPr>
          <w:t>1979;95:351–8.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440" w:hanging="336"/>
        <w:jc w:val="left"/>
        <w:rPr>
          <w:sz w:val="15"/>
        </w:rPr>
      </w:pPr>
      <w:hyperlink r:id="rId54">
        <w:r>
          <w:rPr>
            <w:color w:val="00689C"/>
            <w:w w:val="105"/>
            <w:sz w:val="15"/>
          </w:rPr>
          <w:t>El-Zawahry BH, Abu El Kheir EM. The protective effect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54">
        <w:r>
          <w:rPr>
            <w:color w:val="00689C"/>
            <w:w w:val="105"/>
            <w:sz w:val="15"/>
          </w:rPr>
          <w:t>curcumin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against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gentamicin-induced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renal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dysfunction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54">
        <w:r>
          <w:rPr>
            <w:color w:val="00689C"/>
            <w:w w:val="105"/>
            <w:sz w:val="15"/>
          </w:rPr>
          <w:t>and oxidative stress in male Wistar rats. Egypt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Hosp </w:t>
        </w:r>
        <w:r>
          <w:rPr>
            <w:color w:val="00689C"/>
            <w:w w:val="105"/>
            <w:sz w:val="15"/>
          </w:rPr>
          <w:t>Med</w:t>
        </w:r>
      </w:hyperlink>
      <w:r>
        <w:rPr>
          <w:color w:val="00689C"/>
          <w:spacing w:val="40"/>
          <w:w w:val="105"/>
          <w:sz w:val="15"/>
        </w:rPr>
        <w:t> </w:t>
      </w:r>
      <w:hyperlink r:id="rId54">
        <w:r>
          <w:rPr>
            <w:color w:val="00689C"/>
            <w:spacing w:val="-2"/>
            <w:w w:val="105"/>
            <w:sz w:val="15"/>
          </w:rPr>
          <w:t>2007;29:546–56.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445" w:hanging="336"/>
        <w:jc w:val="left"/>
        <w:rPr>
          <w:sz w:val="15"/>
        </w:rPr>
      </w:pPr>
      <w:bookmarkStart w:name="_bookmark27" w:id="57"/>
      <w:bookmarkEnd w:id="57"/>
      <w:r>
        <w:rPr/>
      </w:r>
      <w:hyperlink r:id="rId55">
        <w:r>
          <w:rPr>
            <w:color w:val="00689C"/>
            <w:sz w:val="15"/>
          </w:rPr>
          <w:t>Morley JE, Perry HM, Baumgartner RP, Garry PJ. Leptin,</w:t>
        </w:r>
      </w:hyperlink>
      <w:r>
        <w:rPr>
          <w:color w:val="00689C"/>
          <w:spacing w:val="40"/>
          <w:sz w:val="15"/>
        </w:rPr>
        <w:t> </w:t>
      </w:r>
      <w:hyperlink r:id="rId55">
        <w:r>
          <w:rPr>
            <w:color w:val="00689C"/>
            <w:sz w:val="15"/>
          </w:rPr>
          <w:t>adipose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tissue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and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aging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–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is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there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a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role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for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testosterone?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28" w:id="58"/>
      <w:bookmarkEnd w:id="58"/>
      <w:r>
        <w:rPr>
          <w:color w:val="00689C"/>
          <w:w w:val="110"/>
          <w:sz w:val="15"/>
        </w:rPr>
      </w:r>
      <w:hyperlink r:id="rId55">
        <w:r>
          <w:rPr>
            <w:color w:val="00689C"/>
            <w:sz w:val="15"/>
          </w:rPr>
          <w:t>J Gerontol Biol Sci Med Sci 1999;54A:B108–9.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452" w:hanging="336"/>
        <w:jc w:val="left"/>
        <w:rPr>
          <w:sz w:val="15"/>
        </w:rPr>
      </w:pPr>
      <w:hyperlink r:id="rId56">
        <w:r>
          <w:rPr>
            <w:color w:val="00689C"/>
            <w:w w:val="105"/>
            <w:sz w:val="15"/>
          </w:rPr>
          <w:t>Cao J, Yin W, Chen C, Luo X. Effects of autologous plasma</w:t>
        </w:r>
      </w:hyperlink>
      <w:r>
        <w:rPr>
          <w:color w:val="00689C"/>
          <w:spacing w:val="40"/>
          <w:w w:val="105"/>
          <w:sz w:val="15"/>
        </w:rPr>
        <w:t> </w:t>
      </w:r>
      <w:hyperlink r:id="rId56"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gentamicin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on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immunophenotype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viability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56">
        <w:r>
          <w:rPr>
            <w:color w:val="00689C"/>
            <w:w w:val="105"/>
            <w:sz w:val="15"/>
          </w:rPr>
          <w:t>cytokine-induced killer cells. Xi Bao Yu Fen Zi Mian Yi </w:t>
        </w:r>
        <w:r>
          <w:rPr>
            <w:color w:val="00689C"/>
            <w:w w:val="105"/>
            <w:sz w:val="15"/>
          </w:rPr>
          <w:t>Xue</w:t>
        </w:r>
      </w:hyperlink>
      <w:r>
        <w:rPr>
          <w:color w:val="00689C"/>
          <w:spacing w:val="40"/>
          <w:w w:val="107"/>
          <w:sz w:val="15"/>
        </w:rPr>
        <w:t> </w:t>
      </w:r>
      <w:bookmarkStart w:name="_bookmark29" w:id="59"/>
      <w:bookmarkEnd w:id="59"/>
      <w:r>
        <w:rPr>
          <w:color w:val="00689C"/>
          <w:w w:val="107"/>
          <w:sz w:val="15"/>
        </w:rPr>
      </w:r>
      <w:hyperlink r:id="rId56">
        <w:r>
          <w:rPr>
            <w:color w:val="00689C"/>
            <w:w w:val="105"/>
            <w:sz w:val="15"/>
          </w:rPr>
          <w:t>Za Zhi 2014;30:906–8.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660" w:hanging="336"/>
        <w:jc w:val="left"/>
        <w:rPr>
          <w:sz w:val="15"/>
        </w:rPr>
      </w:pPr>
      <w:hyperlink r:id="rId57">
        <w:r>
          <w:rPr>
            <w:color w:val="00689C"/>
            <w:w w:val="110"/>
            <w:sz w:val="15"/>
          </w:rPr>
          <w:t>Baez-Franceschi D, Morley JE. Physiopathology of the</w:t>
        </w:r>
      </w:hyperlink>
      <w:r>
        <w:rPr>
          <w:color w:val="00689C"/>
          <w:spacing w:val="40"/>
          <w:w w:val="110"/>
          <w:sz w:val="15"/>
        </w:rPr>
        <w:t> </w:t>
      </w:r>
      <w:hyperlink r:id="rId57">
        <w:r>
          <w:rPr>
            <w:color w:val="00689C"/>
            <w:w w:val="110"/>
            <w:sz w:val="15"/>
          </w:rPr>
          <w:t>catabolism associated with malnutrition in the </w:t>
        </w:r>
        <w:r>
          <w:rPr>
            <w:color w:val="00689C"/>
            <w:w w:val="110"/>
            <w:sz w:val="15"/>
          </w:rPr>
          <w:t>elderly.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30" w:id="60"/>
      <w:bookmarkEnd w:id="60"/>
      <w:r>
        <w:rPr>
          <w:color w:val="00689C"/>
          <w:w w:val="111"/>
          <w:sz w:val="15"/>
        </w:rPr>
      </w:r>
      <w:hyperlink r:id="rId57">
        <w:r>
          <w:rPr>
            <w:color w:val="00689C"/>
            <w:w w:val="110"/>
            <w:sz w:val="15"/>
          </w:rPr>
          <w:t>Z Gerontol Geriatr 1999;32:12–19.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35" w:hanging="336"/>
        <w:jc w:val="left"/>
        <w:rPr>
          <w:sz w:val="15"/>
        </w:rPr>
      </w:pPr>
      <w:hyperlink r:id="rId58">
        <w:r>
          <w:rPr>
            <w:color w:val="00689C"/>
            <w:w w:val="105"/>
            <w:sz w:val="15"/>
          </w:rPr>
          <w:t>Iweala EEJ, Obidoa O. Studies on some biochemical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58">
        <w:r>
          <w:rPr>
            <w:color w:val="00689C"/>
            <w:w w:val="105"/>
            <w:sz w:val="15"/>
          </w:rPr>
          <w:t>histological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changes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associated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with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long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term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consumption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58">
        <w:r>
          <w:rPr>
            <w:color w:val="00689C"/>
            <w:w w:val="105"/>
            <w:sz w:val="15"/>
          </w:rPr>
          <w:t>of leaves of </w:t>
        </w:r>
        <w:r>
          <w:rPr>
            <w:i/>
            <w:color w:val="00689C"/>
            <w:w w:val="105"/>
            <w:sz w:val="15"/>
          </w:rPr>
          <w:t>Ocimum gratissimum </w:t>
        </w:r>
        <w:r>
          <w:rPr>
            <w:color w:val="00689C"/>
            <w:w w:val="105"/>
            <w:sz w:val="15"/>
          </w:rPr>
          <w:t>L. in male rats. Am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Food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31" w:id="61"/>
      <w:bookmarkEnd w:id="61"/>
      <w:r>
        <w:rPr>
          <w:color w:val="00689C"/>
          <w:w w:val="109"/>
          <w:sz w:val="15"/>
        </w:rPr>
      </w:r>
      <w:hyperlink r:id="rId58">
        <w:r>
          <w:rPr>
            <w:color w:val="00689C"/>
            <w:w w:val="105"/>
            <w:sz w:val="15"/>
          </w:rPr>
          <w:t>Tech 2010;5:376–84.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696" w:hanging="336"/>
        <w:jc w:val="left"/>
        <w:rPr>
          <w:sz w:val="15"/>
        </w:rPr>
      </w:pPr>
      <w:hyperlink r:id="rId59">
        <w:r>
          <w:rPr>
            <w:color w:val="00689C"/>
            <w:w w:val="110"/>
            <w:sz w:val="15"/>
          </w:rPr>
          <w:t>Pappenheimer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JP.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Intestinal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absorption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hexoses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59">
        <w:r>
          <w:rPr>
            <w:color w:val="00689C"/>
            <w:w w:val="110"/>
            <w:sz w:val="15"/>
          </w:rPr>
          <w:t>amino acids: from apical cytosol to villus capillaries.</w:t>
        </w:r>
      </w:hyperlink>
    </w:p>
    <w:p>
      <w:pPr>
        <w:spacing w:before="1"/>
        <w:ind w:left="451" w:right="0" w:firstLine="0"/>
        <w:jc w:val="left"/>
        <w:rPr>
          <w:sz w:val="15"/>
        </w:rPr>
      </w:pPr>
      <w:bookmarkStart w:name="_bookmark32" w:id="62"/>
      <w:bookmarkEnd w:id="62"/>
      <w:r>
        <w:rPr/>
      </w:r>
      <w:hyperlink r:id="rId59">
        <w:r>
          <w:rPr>
            <w:color w:val="00689C"/>
            <w:sz w:val="15"/>
          </w:rPr>
          <w:t>J</w:t>
        </w:r>
        <w:r>
          <w:rPr>
            <w:color w:val="00689C"/>
            <w:spacing w:val="9"/>
            <w:sz w:val="15"/>
          </w:rPr>
          <w:t> </w:t>
        </w:r>
        <w:r>
          <w:rPr>
            <w:color w:val="00689C"/>
            <w:sz w:val="15"/>
          </w:rPr>
          <w:t>Membr</w:t>
        </w:r>
        <w:r>
          <w:rPr>
            <w:color w:val="00689C"/>
            <w:spacing w:val="10"/>
            <w:sz w:val="15"/>
          </w:rPr>
          <w:t> </w:t>
        </w:r>
        <w:r>
          <w:rPr>
            <w:color w:val="00689C"/>
            <w:sz w:val="15"/>
          </w:rPr>
          <w:t>Biol</w:t>
        </w:r>
        <w:r>
          <w:rPr>
            <w:color w:val="00689C"/>
            <w:spacing w:val="9"/>
            <w:sz w:val="15"/>
          </w:rPr>
          <w:t> </w:t>
        </w:r>
        <w:r>
          <w:rPr>
            <w:color w:val="00689C"/>
            <w:spacing w:val="-2"/>
            <w:sz w:val="15"/>
          </w:rPr>
          <w:t>2001;184:233.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29" w:after="0"/>
        <w:ind w:left="451" w:right="326" w:hanging="336"/>
        <w:jc w:val="left"/>
        <w:rPr>
          <w:sz w:val="15"/>
        </w:rPr>
      </w:pPr>
      <w:hyperlink r:id="rId60">
        <w:r>
          <w:rPr>
            <w:color w:val="00689C"/>
            <w:spacing w:val="-2"/>
            <w:w w:val="110"/>
            <w:sz w:val="15"/>
          </w:rPr>
          <w:t>Offiah VN,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Chikwendu UA.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Antidiarrhoeal effects of </w:t>
        </w:r>
        <w:r>
          <w:rPr>
            <w:i/>
            <w:color w:val="00689C"/>
            <w:spacing w:val="-2"/>
            <w:w w:val="110"/>
            <w:sz w:val="15"/>
          </w:rPr>
          <w:t>Ocimum</w:t>
        </w:r>
      </w:hyperlink>
      <w:r>
        <w:rPr>
          <w:i/>
          <w:color w:val="00689C"/>
          <w:spacing w:val="40"/>
          <w:w w:val="110"/>
          <w:sz w:val="15"/>
        </w:rPr>
        <w:t> </w:t>
      </w:r>
      <w:hyperlink r:id="rId60">
        <w:r>
          <w:rPr>
            <w:i/>
            <w:color w:val="00689C"/>
            <w:w w:val="110"/>
            <w:sz w:val="15"/>
          </w:rPr>
          <w:t>gratissimum </w:t>
        </w:r>
        <w:r>
          <w:rPr>
            <w:color w:val="00689C"/>
            <w:w w:val="110"/>
            <w:sz w:val="15"/>
          </w:rPr>
          <w:t>leaf extract in experimental animals.</w:t>
        </w:r>
      </w:hyperlink>
    </w:p>
    <w:p>
      <w:pPr>
        <w:spacing w:before="0"/>
        <w:ind w:left="451" w:right="0" w:firstLine="0"/>
        <w:jc w:val="left"/>
        <w:rPr>
          <w:sz w:val="15"/>
        </w:rPr>
      </w:pPr>
      <w:bookmarkStart w:name="_bookmark33" w:id="63"/>
      <w:bookmarkEnd w:id="63"/>
      <w:r>
        <w:rPr/>
      </w:r>
      <w:hyperlink r:id="rId60">
        <w:r>
          <w:rPr>
            <w:color w:val="00689C"/>
            <w:sz w:val="15"/>
          </w:rPr>
          <w:t>J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Ethnopharmacol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pacing w:val="-2"/>
            <w:sz w:val="15"/>
          </w:rPr>
          <w:t>1999;68:327–30.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29" w:after="0"/>
        <w:ind w:left="451" w:right="482" w:hanging="336"/>
        <w:jc w:val="left"/>
        <w:rPr>
          <w:sz w:val="15"/>
        </w:rPr>
      </w:pPr>
      <w:hyperlink r:id="rId61">
        <w:r>
          <w:rPr>
            <w:color w:val="00689C"/>
            <w:w w:val="105"/>
            <w:sz w:val="15"/>
          </w:rPr>
          <w:t>Ajibade AJ, Fakunle PB, Ashamu EA, Owolabi SO. Some</w:t>
        </w:r>
      </w:hyperlink>
      <w:r>
        <w:rPr>
          <w:color w:val="00689C"/>
          <w:spacing w:val="40"/>
          <w:w w:val="105"/>
          <w:sz w:val="15"/>
        </w:rPr>
        <w:t> </w:t>
      </w:r>
      <w:hyperlink r:id="rId61">
        <w:r>
          <w:rPr>
            <w:color w:val="00689C"/>
            <w:w w:val="105"/>
            <w:sz w:val="15"/>
          </w:rPr>
          <w:t>morphological changes on the kidney of adult Wistar </w:t>
        </w:r>
        <w:r>
          <w:rPr>
            <w:color w:val="00689C"/>
            <w:w w:val="105"/>
            <w:sz w:val="15"/>
          </w:rPr>
          <w:t>rats</w:t>
        </w:r>
      </w:hyperlink>
      <w:r>
        <w:rPr>
          <w:color w:val="00689C"/>
          <w:spacing w:val="80"/>
          <w:w w:val="105"/>
          <w:sz w:val="15"/>
        </w:rPr>
        <w:t> </w:t>
      </w:r>
      <w:hyperlink r:id="rId61">
        <w:r>
          <w:rPr>
            <w:color w:val="00689C"/>
            <w:w w:val="105"/>
            <w:sz w:val="15"/>
          </w:rPr>
          <w:t>following administration of crude extract of </w:t>
        </w:r>
        <w:r>
          <w:rPr>
            <w:i/>
            <w:color w:val="00689C"/>
            <w:w w:val="105"/>
            <w:sz w:val="15"/>
          </w:rPr>
          <w:t>Ocimum</w:t>
        </w:r>
      </w:hyperlink>
      <w:r>
        <w:rPr>
          <w:i/>
          <w:color w:val="00689C"/>
          <w:spacing w:val="40"/>
          <w:w w:val="105"/>
          <w:sz w:val="15"/>
        </w:rPr>
        <w:t> </w:t>
      </w:r>
      <w:bookmarkStart w:name="_bookmark34" w:id="64"/>
      <w:bookmarkEnd w:id="64"/>
      <w:r>
        <w:rPr>
          <w:i/>
          <w:color w:val="00689C"/>
          <w:sz w:val="15"/>
        </w:rPr>
      </w:r>
      <w:hyperlink r:id="rId61">
        <w:r>
          <w:rPr>
            <w:i/>
            <w:color w:val="00689C"/>
            <w:w w:val="105"/>
            <w:sz w:val="15"/>
          </w:rPr>
          <w:t>gratissimum</w:t>
        </w:r>
        <w:r>
          <w:rPr>
            <w:color w:val="00689C"/>
            <w:w w:val="105"/>
            <w:sz w:val="15"/>
          </w:rPr>
          <w:t>.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Med Plants Res 2011;5:6435–8.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68" w:hanging="336"/>
        <w:jc w:val="left"/>
        <w:rPr>
          <w:sz w:val="15"/>
        </w:rPr>
      </w:pPr>
      <w:hyperlink r:id="rId62">
        <w:r>
          <w:rPr>
            <w:color w:val="00689C"/>
            <w:sz w:val="15"/>
          </w:rPr>
          <w:t>Chen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MD, Lin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PY, Tsou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CT, Wang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JJ, Lin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WH. Selected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metal</w:t>
        </w:r>
      </w:hyperlink>
      <w:r>
        <w:rPr>
          <w:color w:val="00689C"/>
          <w:spacing w:val="40"/>
          <w:sz w:val="15"/>
        </w:rPr>
        <w:t> </w:t>
      </w:r>
      <w:hyperlink r:id="rId62">
        <w:r>
          <w:rPr>
            <w:color w:val="00689C"/>
            <w:sz w:val="15"/>
          </w:rPr>
          <w:t>status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in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patients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with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non-insulin-dependent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diabetes</w:t>
        </w:r>
      </w:hyperlink>
      <w:r>
        <w:rPr>
          <w:color w:val="00689C"/>
          <w:spacing w:val="80"/>
          <w:w w:val="112"/>
          <w:sz w:val="15"/>
        </w:rPr>
        <w:t> </w:t>
      </w:r>
      <w:bookmarkStart w:name="_bookmark35" w:id="65"/>
      <w:bookmarkEnd w:id="65"/>
      <w:r>
        <w:rPr>
          <w:color w:val="00689C"/>
          <w:w w:val="112"/>
          <w:sz w:val="15"/>
        </w:rPr>
      </w:r>
      <w:hyperlink r:id="rId62">
        <w:r>
          <w:rPr>
            <w:color w:val="00689C"/>
            <w:sz w:val="15"/>
          </w:rPr>
          <w:t>mellitus. Biol Trace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Elem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Res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1995;50:119–24.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96" w:hanging="336"/>
        <w:jc w:val="left"/>
        <w:rPr>
          <w:sz w:val="15"/>
        </w:rPr>
      </w:pPr>
      <w:hyperlink r:id="rId63">
        <w:r>
          <w:rPr>
            <w:color w:val="00689C"/>
            <w:w w:val="105"/>
            <w:sz w:val="15"/>
          </w:rPr>
          <w:t>Egesie UG, Adelaiye AB, Ibu JO, Egesie OJ. Safety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63">
        <w:r>
          <w:rPr>
            <w:color w:val="00689C"/>
            <w:w w:val="105"/>
            <w:sz w:val="15"/>
          </w:rPr>
          <w:t>hypoglycaemic properties of aqueous leaf extract of </w:t>
        </w:r>
        <w:r>
          <w:rPr>
            <w:i/>
            <w:color w:val="00689C"/>
            <w:w w:val="105"/>
            <w:sz w:val="15"/>
          </w:rPr>
          <w:t>Ocimum</w:t>
        </w:r>
      </w:hyperlink>
      <w:r>
        <w:rPr>
          <w:i/>
          <w:color w:val="00689C"/>
          <w:spacing w:val="40"/>
          <w:w w:val="105"/>
          <w:sz w:val="15"/>
        </w:rPr>
        <w:t> </w:t>
      </w:r>
      <w:hyperlink r:id="rId63">
        <w:r>
          <w:rPr>
            <w:i/>
            <w:color w:val="00689C"/>
            <w:w w:val="105"/>
            <w:sz w:val="15"/>
          </w:rPr>
          <w:t>gratissimum </w:t>
        </w:r>
        <w:r>
          <w:rPr>
            <w:color w:val="00689C"/>
            <w:w w:val="105"/>
            <w:sz w:val="15"/>
          </w:rPr>
          <w:t>in streptozotocin induced diabetic rats. Niger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sz w:val="15"/>
        </w:rPr>
        <w:t> </w:t>
      </w:r>
      <w:bookmarkStart w:name="_bookmark36" w:id="66"/>
      <w:bookmarkEnd w:id="66"/>
      <w:r>
        <w:rPr>
          <w:color w:val="00689C"/>
          <w:w w:val="60"/>
          <w:sz w:val="15"/>
        </w:rPr>
      </w:r>
      <w:hyperlink r:id="rId63">
        <w:r>
          <w:rPr>
            <w:color w:val="00689C"/>
            <w:w w:val="105"/>
            <w:sz w:val="15"/>
          </w:rPr>
          <w:t>Physiol Sci 2006;21:31–5.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96" w:hanging="336"/>
        <w:jc w:val="left"/>
        <w:rPr>
          <w:sz w:val="15"/>
        </w:rPr>
      </w:pPr>
      <w:hyperlink r:id="rId64">
        <w:r>
          <w:rPr>
            <w:color w:val="00689C"/>
            <w:w w:val="105"/>
            <w:sz w:val="15"/>
          </w:rPr>
          <w:t>Guyton AC, Hall JE. Textbook of medical physiology. 10th ed.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7" w:id="67"/>
      <w:bookmarkEnd w:id="67"/>
      <w:r>
        <w:rPr>
          <w:color w:val="00689C"/>
          <w:w w:val="110"/>
          <w:sz w:val="15"/>
        </w:rPr>
      </w:r>
      <w:hyperlink r:id="rId64">
        <w:r>
          <w:rPr>
            <w:color w:val="00689C"/>
            <w:w w:val="105"/>
            <w:sz w:val="15"/>
          </w:rPr>
          <w:t>Philadelphia (PA): Elsevier Publishers; 2001.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494" w:hanging="336"/>
        <w:jc w:val="left"/>
        <w:rPr>
          <w:sz w:val="15"/>
        </w:rPr>
      </w:pPr>
      <w:hyperlink r:id="rId65">
        <w:r>
          <w:rPr>
            <w:color w:val="00689C"/>
            <w:w w:val="105"/>
            <w:sz w:val="15"/>
          </w:rPr>
          <w:t>Friedman JM,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Halaas JL.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Leptin and the regulation of body</w:t>
        </w:r>
      </w:hyperlink>
      <w:r>
        <w:rPr>
          <w:color w:val="00689C"/>
          <w:w w:val="116"/>
          <w:sz w:val="15"/>
        </w:rPr>
        <w:t> </w:t>
      </w:r>
      <w:bookmarkStart w:name="_bookmark38" w:id="68"/>
      <w:bookmarkEnd w:id="68"/>
      <w:r>
        <w:rPr>
          <w:color w:val="00689C"/>
          <w:w w:val="116"/>
          <w:sz w:val="15"/>
        </w:rPr>
      </w:r>
      <w:hyperlink r:id="rId65">
        <w:r>
          <w:rPr>
            <w:color w:val="00689C"/>
            <w:w w:val="105"/>
            <w:sz w:val="15"/>
          </w:rPr>
          <w:t>weight in mammals. Nature 1998;395:763–70.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558" w:hanging="336"/>
        <w:jc w:val="left"/>
        <w:rPr>
          <w:sz w:val="15"/>
        </w:rPr>
      </w:pPr>
      <w:hyperlink r:id="rId66">
        <w:r>
          <w:rPr>
            <w:color w:val="00689C"/>
            <w:w w:val="105"/>
            <w:sz w:val="15"/>
          </w:rPr>
          <w:t>Sahouo GB,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Tonzibo ZF,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Boti B,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Chopard C,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Mahy JP.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Anti-</w:t>
        </w:r>
      </w:hyperlink>
      <w:r>
        <w:rPr>
          <w:color w:val="00689C"/>
          <w:spacing w:val="40"/>
          <w:w w:val="105"/>
          <w:sz w:val="15"/>
        </w:rPr>
        <w:t> </w:t>
      </w:r>
      <w:hyperlink r:id="rId66">
        <w:r>
          <w:rPr>
            <w:color w:val="00689C"/>
            <w:w w:val="105"/>
            <w:sz w:val="15"/>
          </w:rPr>
          <w:t>inflammatory and analgesic activities. Chem Pathol</w:t>
        </w:r>
      </w:hyperlink>
      <w:r>
        <w:rPr>
          <w:color w:val="00689C"/>
          <w:spacing w:val="40"/>
          <w:w w:val="112"/>
          <w:sz w:val="15"/>
        </w:rPr>
        <w:t> </w:t>
      </w:r>
      <w:bookmarkStart w:name="_bookmark39" w:id="69"/>
      <w:bookmarkEnd w:id="69"/>
      <w:r>
        <w:rPr>
          <w:color w:val="00689C"/>
          <w:w w:val="112"/>
          <w:sz w:val="15"/>
        </w:rPr>
      </w:r>
      <w:hyperlink r:id="rId66">
        <w:r>
          <w:rPr>
            <w:color w:val="00689C"/>
            <w:spacing w:val="-2"/>
            <w:w w:val="105"/>
            <w:sz w:val="15"/>
          </w:rPr>
          <w:t>2003;12:63–6.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46" w:hanging="336"/>
        <w:jc w:val="left"/>
        <w:rPr>
          <w:sz w:val="15"/>
        </w:rPr>
      </w:pPr>
      <w:hyperlink r:id="rId67">
        <w:r>
          <w:rPr>
            <w:color w:val="00689C"/>
            <w:w w:val="105"/>
            <w:sz w:val="15"/>
          </w:rPr>
          <w:t>Pedrazha-Chaverri J, Maldonado PD, Barrera D, Ceron A,</w:t>
        </w:r>
      </w:hyperlink>
      <w:r>
        <w:rPr>
          <w:color w:val="00689C"/>
          <w:spacing w:val="40"/>
          <w:w w:val="105"/>
          <w:sz w:val="15"/>
        </w:rPr>
        <w:t> </w:t>
      </w:r>
      <w:hyperlink r:id="rId67">
        <w:r>
          <w:rPr>
            <w:color w:val="00689C"/>
            <w:w w:val="105"/>
            <w:sz w:val="15"/>
          </w:rPr>
          <w:t>Medina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N, Campos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R, et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al.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Garlic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ameliorates</w:t>
        </w:r>
      </w:hyperlink>
      <w:r>
        <w:rPr>
          <w:color w:val="00689C"/>
          <w:spacing w:val="40"/>
          <w:w w:val="105"/>
          <w:sz w:val="15"/>
        </w:rPr>
        <w:t> </w:t>
      </w:r>
      <w:hyperlink r:id="rId67">
        <w:r>
          <w:rPr>
            <w:color w:val="00689C"/>
            <w:w w:val="105"/>
            <w:sz w:val="15"/>
          </w:rPr>
          <w:t>nephrotoxicity: relation to antioxidant enzymes. Free </w:t>
        </w:r>
        <w:r>
          <w:rPr>
            <w:color w:val="00689C"/>
            <w:w w:val="105"/>
            <w:sz w:val="15"/>
          </w:rPr>
          <w:t>Radic</w:t>
        </w:r>
      </w:hyperlink>
      <w:r>
        <w:rPr>
          <w:color w:val="00689C"/>
          <w:spacing w:val="40"/>
          <w:w w:val="106"/>
          <w:sz w:val="15"/>
        </w:rPr>
        <w:t> </w:t>
      </w:r>
      <w:bookmarkStart w:name="_bookmark40" w:id="70"/>
      <w:bookmarkEnd w:id="70"/>
      <w:r>
        <w:rPr>
          <w:color w:val="00689C"/>
          <w:w w:val="106"/>
          <w:sz w:val="15"/>
        </w:rPr>
      </w:r>
      <w:hyperlink r:id="rId67">
        <w:r>
          <w:rPr>
            <w:color w:val="00689C"/>
            <w:w w:val="105"/>
            <w:sz w:val="15"/>
          </w:rPr>
          <w:t>Biol Med 2000;29:602–11.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712" w:hanging="336"/>
        <w:jc w:val="left"/>
        <w:rPr>
          <w:sz w:val="15"/>
        </w:rPr>
      </w:pPr>
      <w:hyperlink r:id="rId68">
        <w:r>
          <w:rPr>
            <w:color w:val="00689C"/>
            <w:w w:val="105"/>
            <w:sz w:val="15"/>
          </w:rPr>
          <w:t>Gobe GC, Johnson DW. Distal tubular epithelial cells </w:t>
        </w:r>
        <w:r>
          <w:rPr>
            <w:color w:val="00689C"/>
            <w:w w:val="105"/>
            <w:sz w:val="15"/>
          </w:rPr>
          <w:t>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68">
        <w:r>
          <w:rPr>
            <w:color w:val="00689C"/>
            <w:w w:val="105"/>
            <w:sz w:val="15"/>
          </w:rPr>
          <w:t>the kidney: potential support for proximal tubular cell</w:t>
        </w:r>
      </w:hyperlink>
      <w:r>
        <w:rPr>
          <w:color w:val="00689C"/>
          <w:spacing w:val="80"/>
          <w:w w:val="105"/>
          <w:sz w:val="15"/>
        </w:rPr>
        <w:t> </w:t>
      </w:r>
      <w:hyperlink r:id="rId68">
        <w:r>
          <w:rPr>
            <w:color w:val="00689C"/>
            <w:w w:val="105"/>
            <w:sz w:val="15"/>
          </w:rPr>
          <w:t>survival after renal injury. Int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Biochem Cell Biol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41" w:id="71"/>
      <w:bookmarkEnd w:id="71"/>
      <w:r>
        <w:rPr>
          <w:color w:val="00689C"/>
          <w:w w:val="104"/>
          <w:sz w:val="15"/>
        </w:rPr>
      </w:r>
      <w:hyperlink r:id="rId68">
        <w:r>
          <w:rPr>
            <w:color w:val="00689C"/>
            <w:spacing w:val="-2"/>
            <w:w w:val="105"/>
            <w:sz w:val="15"/>
          </w:rPr>
          <w:t>2007;39:1551–61.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64" w:hanging="336"/>
        <w:jc w:val="left"/>
        <w:rPr>
          <w:sz w:val="15"/>
        </w:rPr>
      </w:pPr>
      <w:hyperlink r:id="rId69">
        <w:r>
          <w:rPr>
            <w:color w:val="00689C"/>
            <w:w w:val="105"/>
            <w:sz w:val="15"/>
          </w:rPr>
          <w:t>Mansour HH, Hafez HF, Fahmy NM. Silymarin modulates</w:t>
        </w:r>
      </w:hyperlink>
      <w:r>
        <w:rPr>
          <w:color w:val="00689C"/>
          <w:spacing w:val="40"/>
          <w:w w:val="105"/>
          <w:sz w:val="15"/>
        </w:rPr>
        <w:t> </w:t>
      </w:r>
      <w:hyperlink r:id="rId69">
        <w:r>
          <w:rPr>
            <w:color w:val="00689C"/>
            <w:w w:val="105"/>
            <w:sz w:val="15"/>
          </w:rPr>
          <w:t>cisplatin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induced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oxidative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stress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hepatotoxicity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rats.</w:t>
        </w:r>
      </w:hyperlink>
      <w:r>
        <w:rPr>
          <w:color w:val="00689C"/>
          <w:spacing w:val="40"/>
          <w:w w:val="105"/>
          <w:sz w:val="15"/>
        </w:rPr>
        <w:t> </w:t>
      </w:r>
      <w:hyperlink r:id="rId69"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Biochem Mol Biol 2006;39:656–61.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88" w:hanging="336"/>
        <w:jc w:val="left"/>
        <w:rPr>
          <w:sz w:val="15"/>
        </w:rPr>
      </w:pPr>
      <w:hyperlink r:id="rId70">
        <w:r>
          <w:rPr>
            <w:color w:val="00689C"/>
            <w:w w:val="105"/>
            <w:sz w:val="15"/>
          </w:rPr>
          <w:t>Naghizadeh B, Boroushaki TM, Mashhadian V, Mansouri </w:t>
        </w:r>
        <w:r>
          <w:rPr>
            <w:color w:val="00689C"/>
            <w:w w:val="105"/>
            <w:sz w:val="15"/>
          </w:rPr>
          <w:t>Y.</w:t>
        </w:r>
      </w:hyperlink>
      <w:r>
        <w:rPr>
          <w:color w:val="00689C"/>
          <w:spacing w:val="40"/>
          <w:w w:val="105"/>
          <w:sz w:val="15"/>
        </w:rPr>
        <w:t> </w:t>
      </w:r>
      <w:hyperlink r:id="rId70">
        <w:r>
          <w:rPr>
            <w:color w:val="00689C"/>
            <w:w w:val="105"/>
            <w:sz w:val="15"/>
          </w:rPr>
          <w:t>Protective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effects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crocin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against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cisplatin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induced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acute</w:t>
        </w:r>
      </w:hyperlink>
      <w:r>
        <w:rPr>
          <w:color w:val="00689C"/>
          <w:spacing w:val="40"/>
          <w:w w:val="105"/>
          <w:sz w:val="15"/>
        </w:rPr>
        <w:t> </w:t>
      </w:r>
      <w:hyperlink r:id="rId70">
        <w:r>
          <w:rPr>
            <w:color w:val="00689C"/>
            <w:w w:val="105"/>
            <w:sz w:val="15"/>
          </w:rPr>
          <w:t>renal failure and oxidative stress in rats. Iran Biomed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sz w:val="15"/>
        </w:rPr>
        <w:t> </w:t>
      </w:r>
      <w:bookmarkStart w:name="_bookmark42" w:id="72"/>
      <w:bookmarkEnd w:id="72"/>
      <w:r>
        <w:rPr>
          <w:color w:val="00689C"/>
          <w:w w:val="60"/>
          <w:sz w:val="15"/>
        </w:rPr>
      </w:r>
      <w:hyperlink r:id="rId70">
        <w:r>
          <w:rPr>
            <w:color w:val="00689C"/>
            <w:spacing w:val="-2"/>
            <w:w w:val="105"/>
            <w:sz w:val="15"/>
          </w:rPr>
          <w:t>2008;12:93–100.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14" w:hanging="336"/>
        <w:jc w:val="left"/>
        <w:rPr>
          <w:sz w:val="15"/>
        </w:rPr>
      </w:pPr>
      <w:hyperlink r:id="rId71">
        <w:r>
          <w:rPr>
            <w:color w:val="00689C"/>
            <w:w w:val="105"/>
            <w:sz w:val="15"/>
          </w:rPr>
          <w:t>Raheem IA, El-Sherbiny GA, Taye A. Green tea ameliorates</w:t>
        </w:r>
      </w:hyperlink>
      <w:r>
        <w:rPr>
          <w:color w:val="00689C"/>
          <w:spacing w:val="40"/>
          <w:w w:val="105"/>
          <w:sz w:val="15"/>
        </w:rPr>
        <w:t> </w:t>
      </w:r>
      <w:hyperlink r:id="rId71">
        <w:r>
          <w:rPr>
            <w:color w:val="00689C"/>
            <w:w w:val="105"/>
            <w:sz w:val="15"/>
          </w:rPr>
          <w:t>renal oxidative damage Induced by gentamicin in rats. Pak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w w:val="105"/>
          <w:sz w:val="15"/>
        </w:rPr>
        <w:t> </w:t>
      </w:r>
      <w:hyperlink r:id="rId71">
        <w:r>
          <w:rPr>
            <w:color w:val="00689C"/>
            <w:w w:val="105"/>
            <w:sz w:val="15"/>
          </w:rPr>
          <w:t>Pharm Sci 2010;23:21–8.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header="638" w:footer="0" w:top="820" w:bottom="280" w:left="800" w:right="800"/>
          <w:cols w:num="2" w:equalWidth="0">
            <w:col w:w="4949" w:space="211"/>
            <w:col w:w="5150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ListParagraph"/>
        <w:numPr>
          <w:ilvl w:val="0"/>
          <w:numId w:val="4"/>
        </w:numPr>
        <w:tabs>
          <w:tab w:pos="570" w:val="left" w:leader="none"/>
          <w:tab w:pos="572" w:val="left" w:leader="none"/>
        </w:tabs>
        <w:spacing w:line="280" w:lineRule="auto" w:before="101" w:after="0"/>
        <w:ind w:left="572" w:right="38" w:hanging="336"/>
        <w:jc w:val="left"/>
        <w:rPr>
          <w:sz w:val="15"/>
        </w:rPr>
      </w:pPr>
      <w:bookmarkStart w:name="_bookmark43" w:id="73"/>
      <w:bookmarkEnd w:id="73"/>
      <w:r>
        <w:rPr/>
      </w:r>
      <w:hyperlink r:id="rId72">
        <w:r>
          <w:rPr>
            <w:color w:val="00689C"/>
            <w:w w:val="105"/>
            <w:sz w:val="15"/>
          </w:rPr>
          <w:t>Bibu KJ, Joy AD, Mercey KA. Therapeutic effect of ethanolic</w:t>
        </w:r>
      </w:hyperlink>
      <w:r>
        <w:rPr>
          <w:color w:val="00689C"/>
          <w:spacing w:val="40"/>
          <w:w w:val="105"/>
          <w:sz w:val="15"/>
        </w:rPr>
        <w:t> </w:t>
      </w:r>
      <w:hyperlink r:id="rId72">
        <w:r>
          <w:rPr>
            <w:color w:val="00689C"/>
            <w:w w:val="105"/>
            <w:sz w:val="15"/>
          </w:rPr>
          <w:t>extract of </w:t>
        </w:r>
        <w:r>
          <w:rPr>
            <w:i/>
            <w:color w:val="00689C"/>
            <w:w w:val="105"/>
            <w:sz w:val="15"/>
          </w:rPr>
          <w:t>Hygrophila spinosa </w:t>
        </w:r>
        <w:r>
          <w:rPr>
            <w:color w:val="00689C"/>
            <w:w w:val="105"/>
            <w:sz w:val="15"/>
          </w:rPr>
          <w:t>T. Anders on gentamicin-</w:t>
        </w:r>
      </w:hyperlink>
      <w:r>
        <w:rPr>
          <w:color w:val="00689C"/>
          <w:spacing w:val="40"/>
          <w:w w:val="105"/>
          <w:sz w:val="15"/>
        </w:rPr>
        <w:t> </w:t>
      </w:r>
      <w:hyperlink r:id="rId72">
        <w:r>
          <w:rPr>
            <w:color w:val="00689C"/>
            <w:w w:val="105"/>
            <w:sz w:val="15"/>
          </w:rPr>
          <w:t>induced nephrotoxicity in rats.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Indian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Exp Biol </w:t>
        </w:r>
        <w:r>
          <w:rPr>
            <w:color w:val="00689C"/>
            <w:w w:val="105"/>
            <w:sz w:val="15"/>
          </w:rPr>
          <w:t>2010;48:911–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44" w:id="74"/>
      <w:bookmarkEnd w:id="74"/>
      <w:r>
        <w:rPr>
          <w:color w:val="00689C"/>
          <w:w w:val="99"/>
          <w:sz w:val="15"/>
        </w:rPr>
      </w:r>
      <w:hyperlink r:id="rId72">
        <w:r>
          <w:rPr>
            <w:color w:val="00689C"/>
            <w:spacing w:val="-4"/>
            <w:w w:val="105"/>
            <w:sz w:val="15"/>
          </w:rPr>
          <w:t>17.</w:t>
        </w:r>
      </w:hyperlink>
    </w:p>
    <w:p>
      <w:pPr>
        <w:pStyle w:val="ListParagraph"/>
        <w:numPr>
          <w:ilvl w:val="0"/>
          <w:numId w:val="4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542" w:hanging="336"/>
        <w:jc w:val="left"/>
        <w:rPr>
          <w:sz w:val="15"/>
        </w:rPr>
      </w:pPr>
      <w:hyperlink r:id="rId73">
        <w:r>
          <w:rPr>
            <w:color w:val="00689C"/>
            <w:w w:val="110"/>
            <w:sz w:val="15"/>
          </w:rPr>
          <w:t>Reddy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Chinnapa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Amulya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Lakshmi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Bala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D,</w:t>
        </w:r>
      </w:hyperlink>
      <w:r>
        <w:rPr>
          <w:color w:val="00689C"/>
          <w:spacing w:val="40"/>
          <w:w w:val="110"/>
          <w:sz w:val="15"/>
        </w:rPr>
        <w:t> </w:t>
      </w:r>
      <w:hyperlink r:id="rId73">
        <w:r>
          <w:rPr>
            <w:color w:val="00689C"/>
            <w:w w:val="110"/>
            <w:sz w:val="15"/>
          </w:rPr>
          <w:t>Praveen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Kumar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Reddy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et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al.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Effect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simvastatin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</w:hyperlink>
    </w:p>
    <w:p>
      <w:pPr>
        <w:spacing w:line="280" w:lineRule="auto" w:before="101"/>
        <w:ind w:left="572" w:right="121" w:firstLine="0"/>
        <w:jc w:val="left"/>
        <w:rPr>
          <w:sz w:val="15"/>
        </w:rPr>
      </w:pPr>
      <w:r>
        <w:rPr/>
        <w:br w:type="column"/>
      </w:r>
      <w:hyperlink r:id="rId73">
        <w:r>
          <w:rPr>
            <w:color w:val="00689C"/>
            <w:w w:val="105"/>
            <w:sz w:val="15"/>
          </w:rPr>
          <w:t>gentamicin- induced nephrotoxicity in Wistar rats. Asian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w w:val="105"/>
          <w:sz w:val="15"/>
        </w:rPr>
        <w:t> </w:t>
      </w:r>
      <w:hyperlink r:id="rId73">
        <w:r>
          <w:rPr>
            <w:color w:val="00689C"/>
            <w:w w:val="105"/>
            <w:sz w:val="15"/>
          </w:rPr>
          <w:t>Pharm Clin Res 2012;5:1.</w:t>
        </w:r>
      </w:hyperlink>
    </w:p>
    <w:p>
      <w:pPr>
        <w:pStyle w:val="ListParagraph"/>
        <w:numPr>
          <w:ilvl w:val="0"/>
          <w:numId w:val="4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45" w:hanging="336"/>
        <w:jc w:val="left"/>
        <w:rPr>
          <w:sz w:val="15"/>
        </w:rPr>
      </w:pPr>
      <w:bookmarkStart w:name="_bookmark45" w:id="75"/>
      <w:bookmarkEnd w:id="75"/>
      <w:r>
        <w:rPr/>
      </w:r>
      <w:hyperlink r:id="rId74">
        <w:r>
          <w:rPr>
            <w:color w:val="00689C"/>
            <w:w w:val="110"/>
            <w:sz w:val="15"/>
          </w:rPr>
          <w:t>Wolf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Ziyadeh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FN.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Cellular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molecular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mechanisms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74">
        <w:r>
          <w:rPr>
            <w:color w:val="00689C"/>
            <w:w w:val="110"/>
            <w:sz w:val="15"/>
          </w:rPr>
          <w:t>proteinuria in diabetic nephropathy. Nephron Physiol</w:t>
        </w:r>
      </w:hyperlink>
      <w:r>
        <w:rPr>
          <w:color w:val="00689C"/>
          <w:spacing w:val="40"/>
          <w:w w:val="110"/>
          <w:sz w:val="15"/>
        </w:rPr>
        <w:t> </w:t>
      </w:r>
      <w:hyperlink r:id="rId74">
        <w:r>
          <w:rPr>
            <w:color w:val="00689C"/>
            <w:spacing w:val="-2"/>
            <w:w w:val="110"/>
            <w:sz w:val="15"/>
          </w:rPr>
          <w:t>2007;106:26–31.</w:t>
        </w:r>
      </w:hyperlink>
    </w:p>
    <w:sectPr>
      <w:type w:val="continuous"/>
      <w:pgSz w:w="11910" w:h="15880"/>
      <w:pgMar w:header="638" w:footer="0" w:top="820" w:bottom="280" w:left="800" w:right="800"/>
      <w:cols w:num="2" w:equalWidth="0">
        <w:col w:w="5056" w:space="104"/>
        <w:col w:w="51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UKIJ CJK">
    <w:altName w:val="UKIJ CJK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Noto Serif">
    <w:altName w:val="Noto Serif"/>
    <w:charset w:val="0"/>
    <w:family w:val="roman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82656">
              <wp:simplePos x="0" y="0"/>
              <wp:positionH relativeFrom="page">
                <wp:posOffset>1898650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00699D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00699D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00699D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00699D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w w:val="105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00699D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spacing w:val="20"/>
                              <w:w w:val="105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00699D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spacing w:val="18"/>
                              <w:w w:val="105"/>
                              <w:sz w:val="14"/>
                            </w:rPr>
                            <w:t>219–231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49.500015pt;margin-top:33.113041pt;width:303.2pt;height:9pt;mso-position-horizontal-relative:page;mso-position-vertical-relative:page;z-index:-16333824" type="#_x0000_t202" id="docshape1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00699D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00699D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00699D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00699D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w w:val="105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00699D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spacing w:val="20"/>
                        <w:w w:val="105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00699D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spacing w:val="18"/>
                        <w:w w:val="105"/>
                        <w:sz w:val="14"/>
                      </w:rPr>
                      <w:t>219–231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83168">
              <wp:simplePos x="0" y="0"/>
              <wp:positionH relativeFrom="page">
                <wp:posOffset>581939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2" name="Graphic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Graphic 2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333312" from="45.82201pt,52.955997pt" to="542.72401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83680">
              <wp:simplePos x="0" y="0"/>
              <wp:positionH relativeFrom="page">
                <wp:posOffset>543839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t>220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.82201pt;margin-top:30.89827pt;width:23.85pt;height:13.85pt;mso-position-horizontal-relative:page;mso-position-vertical-relative:page;z-index:-16332800" type="#_x0000_t202" id="docshape2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t>220</w: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84192">
              <wp:simplePos x="0" y="0"/>
              <wp:positionH relativeFrom="page">
                <wp:posOffset>1821967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8"/>
                              <w:w w:val="105"/>
                              <w:sz w:val="14"/>
                            </w:rPr>
                            <w:t>219–231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3.462006pt;margin-top:33.113041pt;width:303.2pt;height:9pt;mso-position-horizontal-relative:page;mso-position-vertical-relative:page;z-index:-16332288" type="#_x0000_t202" id="docshape3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20"/>
                        <w:w w:val="105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8"/>
                        <w:w w:val="105"/>
                        <w:sz w:val="14"/>
                      </w:rPr>
                      <w:t>219–231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84704">
              <wp:simplePos x="0" y="0"/>
              <wp:positionH relativeFrom="page">
                <wp:posOffset>658622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27" name="Graphic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Graphic 27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331776" from="51.860008pt,52.955997pt" to="548.762008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85216">
              <wp:simplePos x="0" y="0"/>
              <wp:positionH relativeFrom="page">
                <wp:posOffset>6717448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t>221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8.932983pt;margin-top:30.89827pt;width:23.85pt;height:13.85pt;mso-position-horizontal-relative:page;mso-position-vertical-relative:page;z-index:-16331264" type="#_x0000_t202" id="docshape18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t>221</w: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85728">
              <wp:simplePos x="0" y="0"/>
              <wp:positionH relativeFrom="page">
                <wp:posOffset>1898650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8"/>
                              <w:w w:val="105"/>
                              <w:sz w:val="14"/>
                            </w:rPr>
                            <w:t>219–231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9.500015pt;margin-top:33.113041pt;width:303.2pt;height:9pt;mso-position-horizontal-relative:page;mso-position-vertical-relative:page;z-index:-16330752" type="#_x0000_t202" id="docshape19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20"/>
                        <w:w w:val="105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8"/>
                        <w:w w:val="105"/>
                        <w:sz w:val="14"/>
                      </w:rPr>
                      <w:t>219–231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86240">
              <wp:simplePos x="0" y="0"/>
              <wp:positionH relativeFrom="page">
                <wp:posOffset>581939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30" name="Graphic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Graphic 30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330240" from="45.821999pt,52.955997pt" to="542.723999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86752">
              <wp:simplePos x="0" y="0"/>
              <wp:positionH relativeFrom="page">
                <wp:posOffset>543839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t>222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.821999pt;margin-top:30.89827pt;width:23.85pt;height:13.85pt;mso-position-horizontal-relative:page;mso-position-vertical-relative:page;z-index:-16329728" type="#_x0000_t202" id="docshape20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t>222</w: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87264">
              <wp:simplePos x="0" y="0"/>
              <wp:positionH relativeFrom="page">
                <wp:posOffset>1821967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32" name="Textbox 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" name="Textbox 32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8"/>
                              <w:w w:val="105"/>
                              <w:sz w:val="14"/>
                            </w:rPr>
                            <w:t>219–231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3.462006pt;margin-top:33.113041pt;width:303.2pt;height:9pt;mso-position-horizontal-relative:page;mso-position-vertical-relative:page;z-index:-16329216" type="#_x0000_t202" id="docshape21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20"/>
                        <w:w w:val="105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8"/>
                        <w:w w:val="105"/>
                        <w:sz w:val="14"/>
                      </w:rPr>
                      <w:t>219–231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51" w:hanging="25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8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6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5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4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3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2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0" w:hanging="25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875" w:hanging="639"/>
        <w:jc w:val="left"/>
      </w:pPr>
      <w:rPr>
        <w:rFonts w:hint="default"/>
        <w:lang w:val="en-US" w:eastAsia="en-US" w:bidi="ar-SA"/>
      </w:rPr>
    </w:lvl>
    <w:lvl w:ilvl="1">
      <w:start w:val="8"/>
      <w:numFmt w:val="decimal"/>
      <w:lvlText w:val="%1.%2."/>
      <w:lvlJc w:val="left"/>
      <w:pPr>
        <w:ind w:left="875" w:hanging="639"/>
        <w:jc w:val="lef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90"/>
        <w:sz w:val="17"/>
        <w:szCs w:val="17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37" w:hanging="639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0"/>
        <w:w w:val="105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7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1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5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9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7" w:hanging="63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875" w:hanging="639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875" w:hanging="639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875" w:hanging="639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0"/>
        <w:w w:val="103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59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5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2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8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5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1" w:hanging="63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55" w:hanging="639"/>
        <w:jc w:val="right"/>
      </w:pPr>
      <w:rPr>
        <w:rFonts w:hint="default" w:ascii="Georgia" w:hAnsi="Georgia" w:eastAsia="Georgia" w:cs="Georgia"/>
        <w:b/>
        <w:bCs/>
        <w:i w:val="0"/>
        <w:iCs w:val="0"/>
        <w:color w:val="231F20"/>
        <w:spacing w:val="0"/>
        <w:w w:val="108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55" w:hanging="639"/>
        <w:jc w:val="righ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99"/>
        <w:sz w:val="17"/>
        <w:szCs w:val="17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75" w:hanging="639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0"/>
        <w:w w:val="108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7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5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3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" w:hanging="639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ind w:left="60" w:hanging="638"/>
      <w:outlineLvl w:val="1"/>
    </w:pPr>
    <w:rPr>
      <w:rFonts w:ascii="Georgia" w:hAnsi="Georgia" w:eastAsia="Georgia" w:cs="Georgia"/>
      <w:b/>
      <w:bCs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54" w:hanging="638"/>
      <w:outlineLvl w:val="2"/>
    </w:pPr>
    <w:rPr>
      <w:rFonts w:ascii="Georgia" w:hAnsi="Georgia" w:eastAsia="Georgia" w:cs="Georgia"/>
      <w:b/>
      <w:bCs/>
      <w:i/>
      <w:iCs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75" w:hanging="638"/>
      <w:jc w:val="both"/>
      <w:outlineLvl w:val="3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4"/>
      <w:ind w:left="20" w:right="26"/>
      <w:jc w:val="center"/>
    </w:pPr>
    <w:rPr>
      <w:rFonts w:ascii="Trebuchet MS" w:hAnsi="Trebuchet MS" w:eastAsia="Trebuchet MS" w:cs="Trebuchet MS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51" w:hanging="336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180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hyperlink" Target="http://www.sciencedirect.com/science/journal/2314808X" TargetMode="External"/><Relationship Id="rId10" Type="http://schemas.openxmlformats.org/officeDocument/2006/relationships/hyperlink" Target="http://http//ees.elsevier.com/ejbas/default.asp" TargetMode="External"/><Relationship Id="rId11" Type="http://schemas.openxmlformats.org/officeDocument/2006/relationships/image" Target="media/image3.jpeg"/><Relationship Id="rId12" Type="http://schemas.openxmlformats.org/officeDocument/2006/relationships/hyperlink" Target="http://crossmark.crossref.org/dialog/?doi=10.1016/j.ejbas.2016.07.002&amp;domain=pdf" TargetMode="External"/><Relationship Id="rId13" Type="http://schemas.openxmlformats.org/officeDocument/2006/relationships/image" Target="media/image4.png"/><Relationship Id="rId14" Type="http://schemas.openxmlformats.org/officeDocument/2006/relationships/hyperlink" Target="mailto:darejoshua97@gmail.com" TargetMode="External"/><Relationship Id="rId15" Type="http://schemas.openxmlformats.org/officeDocument/2006/relationships/hyperlink" Target="http://dx.doi.org/10.1016/j.ejbas.2016.07.002" TargetMode="External"/><Relationship Id="rId16" Type="http://schemas.openxmlformats.org/officeDocument/2006/relationships/hyperlink" Target="http://creativecommons.org/licenses/by-nc-nd/4.0/)" TargetMode="External"/><Relationship Id="rId17" Type="http://schemas.openxmlformats.org/officeDocument/2006/relationships/hyperlink" Target="http://creativecommons.org/licenses/by-nc-nd/" TargetMode="External"/><Relationship Id="rId18" Type="http://schemas.openxmlformats.org/officeDocument/2006/relationships/image" Target="media/image5.png"/><Relationship Id="rId19" Type="http://schemas.openxmlformats.org/officeDocument/2006/relationships/header" Target="header3.xml"/><Relationship Id="rId20" Type="http://schemas.openxmlformats.org/officeDocument/2006/relationships/header" Target="header4.xml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jpeg"/><Relationship Id="rId33" Type="http://schemas.openxmlformats.org/officeDocument/2006/relationships/image" Target="media/image18.jpeg"/><Relationship Id="rId34" Type="http://schemas.openxmlformats.org/officeDocument/2006/relationships/image" Target="media/image19.jpeg"/><Relationship Id="rId35" Type="http://schemas.openxmlformats.org/officeDocument/2006/relationships/image" Target="media/image20.jpeg"/><Relationship Id="rId36" Type="http://schemas.openxmlformats.org/officeDocument/2006/relationships/image" Target="media/image21.jpeg"/><Relationship Id="rId37" Type="http://schemas.openxmlformats.org/officeDocument/2006/relationships/image" Target="media/image22.jpeg"/><Relationship Id="rId38" Type="http://schemas.openxmlformats.org/officeDocument/2006/relationships/hyperlink" Target="http://refhub.elsevier.com/S2314-808X(16)30020-3/sr0010" TargetMode="External"/><Relationship Id="rId39" Type="http://schemas.openxmlformats.org/officeDocument/2006/relationships/hyperlink" Target="http://refhub.elsevier.com/S2314-808X(16)30020-3/sr0015" TargetMode="External"/><Relationship Id="rId40" Type="http://schemas.openxmlformats.org/officeDocument/2006/relationships/hyperlink" Target="http://refhub.elsevier.com/S2314-808X(16)30020-3/sr0020" TargetMode="External"/><Relationship Id="rId41" Type="http://schemas.openxmlformats.org/officeDocument/2006/relationships/hyperlink" Target="http://refhub.elsevier.com/S2314-808X(16)30020-3/sr0025" TargetMode="External"/><Relationship Id="rId42" Type="http://schemas.openxmlformats.org/officeDocument/2006/relationships/hyperlink" Target="http://refhub.elsevier.com/S2314-808X(16)30020-3/sr0030" TargetMode="External"/><Relationship Id="rId43" Type="http://schemas.openxmlformats.org/officeDocument/2006/relationships/hyperlink" Target="http://refhub.elsevier.com/S2314-808X(16)30020-3/sr0035" TargetMode="External"/><Relationship Id="rId44" Type="http://schemas.openxmlformats.org/officeDocument/2006/relationships/hyperlink" Target="http://refhub.elsevier.com/S2314-808X(16)30020-3/sr0040" TargetMode="External"/><Relationship Id="rId45" Type="http://schemas.openxmlformats.org/officeDocument/2006/relationships/hyperlink" Target="http://refhub.elsevier.com/S2314-808X(16)30020-3/sr0045" TargetMode="External"/><Relationship Id="rId46" Type="http://schemas.openxmlformats.org/officeDocument/2006/relationships/hyperlink" Target="http://refhub.elsevier.com/S2314-808X(16)30020-3/sr0050" TargetMode="External"/><Relationship Id="rId47" Type="http://schemas.openxmlformats.org/officeDocument/2006/relationships/hyperlink" Target="http://refhub.elsevier.com/S2314-808X(16)30020-3/sr0055" TargetMode="External"/><Relationship Id="rId48" Type="http://schemas.openxmlformats.org/officeDocument/2006/relationships/hyperlink" Target="http://refhub.elsevier.com/S2314-808X(16)30020-3/sr0060" TargetMode="External"/><Relationship Id="rId49" Type="http://schemas.openxmlformats.org/officeDocument/2006/relationships/hyperlink" Target="http://refhub.elsevier.com/S2314-808X(16)30020-3/sr0065" TargetMode="External"/><Relationship Id="rId50" Type="http://schemas.openxmlformats.org/officeDocument/2006/relationships/hyperlink" Target="http://refhub.elsevier.com/S2314-808X(16)30020-3/sr0070" TargetMode="External"/><Relationship Id="rId51" Type="http://schemas.openxmlformats.org/officeDocument/2006/relationships/hyperlink" Target="http://refhub.elsevier.com/S2314-808X(16)30020-3/sr0075" TargetMode="External"/><Relationship Id="rId52" Type="http://schemas.openxmlformats.org/officeDocument/2006/relationships/hyperlink" Target="http://refhub.elsevier.com/S2314-808X(16)30020-3/sr0080" TargetMode="External"/><Relationship Id="rId53" Type="http://schemas.openxmlformats.org/officeDocument/2006/relationships/hyperlink" Target="http://refhub.elsevier.com/S2314-808X(16)30020-3/sr0085" TargetMode="External"/><Relationship Id="rId54" Type="http://schemas.openxmlformats.org/officeDocument/2006/relationships/hyperlink" Target="http://refhub.elsevier.com/S2314-808X(16)30020-3/sr0090" TargetMode="External"/><Relationship Id="rId55" Type="http://schemas.openxmlformats.org/officeDocument/2006/relationships/hyperlink" Target="http://refhub.elsevier.com/S2314-808X(16)30020-3/sr0095" TargetMode="External"/><Relationship Id="rId56" Type="http://schemas.openxmlformats.org/officeDocument/2006/relationships/hyperlink" Target="http://refhub.elsevier.com/S2314-808X(16)30020-3/sr0100" TargetMode="External"/><Relationship Id="rId57" Type="http://schemas.openxmlformats.org/officeDocument/2006/relationships/hyperlink" Target="http://refhub.elsevier.com/S2314-808X(16)30020-3/sr0105" TargetMode="External"/><Relationship Id="rId58" Type="http://schemas.openxmlformats.org/officeDocument/2006/relationships/hyperlink" Target="http://refhub.elsevier.com/S2314-808X(16)30020-3/sr0110" TargetMode="External"/><Relationship Id="rId59" Type="http://schemas.openxmlformats.org/officeDocument/2006/relationships/hyperlink" Target="http://refhub.elsevier.com/S2314-808X(16)30020-3/sr0115" TargetMode="External"/><Relationship Id="rId60" Type="http://schemas.openxmlformats.org/officeDocument/2006/relationships/hyperlink" Target="http://refhub.elsevier.com/S2314-808X(16)30020-3/sr0120" TargetMode="External"/><Relationship Id="rId61" Type="http://schemas.openxmlformats.org/officeDocument/2006/relationships/hyperlink" Target="http://refhub.elsevier.com/S2314-808X(16)30020-3/sr0125" TargetMode="External"/><Relationship Id="rId62" Type="http://schemas.openxmlformats.org/officeDocument/2006/relationships/hyperlink" Target="http://refhub.elsevier.com/S2314-808X(16)30020-3/sr0130" TargetMode="External"/><Relationship Id="rId63" Type="http://schemas.openxmlformats.org/officeDocument/2006/relationships/hyperlink" Target="http://refhub.elsevier.com/S2314-808X(16)30020-3/sr0135" TargetMode="External"/><Relationship Id="rId64" Type="http://schemas.openxmlformats.org/officeDocument/2006/relationships/hyperlink" Target="http://refhub.elsevier.com/S2314-808X(16)30020-3/sr0140" TargetMode="External"/><Relationship Id="rId65" Type="http://schemas.openxmlformats.org/officeDocument/2006/relationships/hyperlink" Target="http://refhub.elsevier.com/S2314-808X(16)30020-3/sr0145" TargetMode="External"/><Relationship Id="rId66" Type="http://schemas.openxmlformats.org/officeDocument/2006/relationships/hyperlink" Target="http://refhub.elsevier.com/S2314-808X(16)30020-3/sr0150" TargetMode="External"/><Relationship Id="rId67" Type="http://schemas.openxmlformats.org/officeDocument/2006/relationships/hyperlink" Target="http://refhub.elsevier.com/S2314-808X(16)30020-3/sr0155" TargetMode="External"/><Relationship Id="rId68" Type="http://schemas.openxmlformats.org/officeDocument/2006/relationships/hyperlink" Target="http://refhub.elsevier.com/S2314-808X(16)30020-3/sr0160" TargetMode="External"/><Relationship Id="rId69" Type="http://schemas.openxmlformats.org/officeDocument/2006/relationships/hyperlink" Target="http://refhub.elsevier.com/S2314-808X(16)30020-3/sr0165" TargetMode="External"/><Relationship Id="rId70" Type="http://schemas.openxmlformats.org/officeDocument/2006/relationships/hyperlink" Target="http://refhub.elsevier.com/S2314-808X(16)30020-3/sr0170" TargetMode="External"/><Relationship Id="rId71" Type="http://schemas.openxmlformats.org/officeDocument/2006/relationships/hyperlink" Target="http://refhub.elsevier.com/S2314-808X(16)30020-3/sr0175" TargetMode="External"/><Relationship Id="rId72" Type="http://schemas.openxmlformats.org/officeDocument/2006/relationships/hyperlink" Target="http://refhub.elsevier.com/S2314-808X(16)30020-3/sr0180" TargetMode="External"/><Relationship Id="rId73" Type="http://schemas.openxmlformats.org/officeDocument/2006/relationships/hyperlink" Target="http://refhub.elsevier.com/S2314-808X(16)30020-3/sr0185" TargetMode="External"/><Relationship Id="rId74" Type="http://schemas.openxmlformats.org/officeDocument/2006/relationships/hyperlink" Target="http://refhub.elsevier.com/S2314-808X(16)30020-3/sr0190" TargetMode="External"/><Relationship Id="rId7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Dare J. Ogundipe</dc:creator>
  <dc:subject>Egyptian Journal of Basic and Applied Sciences, 3 (2016) 219-231. doi:10.1016/j.ejbas.2016.07.002</dc:subject>
  <dc:title>Effects of two weeks administration of Ocimum gratissimum leaf on feeding pattern and markers of renal function in rats treated with gentamicin</dc:title>
  <dcterms:created xsi:type="dcterms:W3CDTF">2023-12-11T05:33:24Z</dcterms:created>
  <dcterms:modified xsi:type="dcterms:W3CDTF">2023-12-11T05:33:24Z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10.1016/j.ejbas.2016.07.002</vt:lpwstr>
  </property>
  <property fmtid="{D5CDD505-2E9C-101B-9397-08002B2CF9AE}" pid="12" name="robots">
    <vt:lpwstr>noindex</vt:lpwstr>
  </property>
</Properties>
</file>