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Enhancements of a </w:t>
      </w:r>
      <w:r>
        <w:rPr/>
        <w:t>clock-controlled running key generator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102" w:right="99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Milan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pacing w:val="-2"/>
          <w:sz w:val="24"/>
        </w:rPr>
        <w:t>Vojvoda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279783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3019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/>
      </w:pPr>
      <w:r>
        <w:rPr/>
        <w:t>The</w:t>
      </w:r>
      <w:r>
        <w:rPr>
          <w:spacing w:val="-11"/>
        </w:rPr>
        <w:t> </w:t>
      </w:r>
      <w:r>
        <w:rPr/>
        <w:t>design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stream</w:t>
      </w:r>
      <w:r>
        <w:rPr>
          <w:spacing w:val="-11"/>
        </w:rPr>
        <w:t> </w:t>
      </w:r>
      <w:r>
        <w:rPr/>
        <w:t>ciphers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synthesis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feedback</w:t>
      </w:r>
      <w:r>
        <w:rPr>
          <w:spacing w:val="-11"/>
        </w:rPr>
        <w:t> </w:t>
      </w:r>
      <w:r>
        <w:rPr/>
        <w:t>shift</w:t>
      </w:r>
      <w:r>
        <w:rPr>
          <w:spacing w:val="-11"/>
        </w:rPr>
        <w:t> </w:t>
      </w:r>
      <w:r>
        <w:rPr/>
        <w:t>registers</w:t>
      </w:r>
      <w:r>
        <w:rPr>
          <w:spacing w:val="-11"/>
        </w:rPr>
        <w:t> </w:t>
      </w:r>
      <w:r>
        <w:rPr/>
        <w:t>(LFSRs)</w:t>
      </w:r>
      <w:r>
        <w:rPr>
          <w:spacing w:val="-11"/>
        </w:rPr>
        <w:t> </w:t>
      </w:r>
      <w:r>
        <w:rPr/>
        <w:t>has been the research target of many cryptographers for more than 50years.</w:t>
      </w:r>
    </w:p>
    <w:p>
      <w:pPr>
        <w:pStyle w:val="BodyText"/>
        <w:spacing w:line="168" w:lineRule="auto" w:before="2"/>
        <w:ind w:left="115" w:right="114" w:firstLine="239"/>
        <w:jc w:val="both"/>
      </w:pP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synthesis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“secure”</w:t>
      </w:r>
      <w:r>
        <w:rPr>
          <w:spacing w:val="-9"/>
        </w:rPr>
        <w:t> </w:t>
      </w:r>
      <w:r>
        <w:rPr/>
        <w:t>stream</w:t>
      </w:r>
      <w:r>
        <w:rPr>
          <w:spacing w:val="-9"/>
        </w:rPr>
        <w:t> </w:t>
      </w:r>
      <w:r>
        <w:rPr/>
        <w:t>cipher. One of the design approaches is the use of basic design principles followed by properties testing procedures (system-theoretic approach).</w:t>
      </w:r>
    </w:p>
    <w:p>
      <w:pPr>
        <w:pStyle w:val="BodyText"/>
        <w:spacing w:line="168" w:lineRule="auto" w:before="2"/>
        <w:ind w:left="115" w:right="113" w:firstLine="239"/>
        <w:jc w:val="both"/>
      </w:pP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contribution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enhancements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generator</w:t>
      </w:r>
      <w:r>
        <w:rPr>
          <w:spacing w:val="-14"/>
        </w:rPr>
        <w:t> </w:t>
      </w:r>
      <w:r>
        <w:rPr/>
        <w:t>studied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[6],</w:t>
      </w:r>
      <w:r>
        <w:rPr>
          <w:spacing w:val="-14"/>
        </w:rPr>
        <w:t> </w:t>
      </w:r>
      <w:r>
        <w:rPr/>
        <w:t>[7].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new designed generators consist of more LFSRs, use different clocking schemes and different output functions.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cryptographic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known</w:t>
      </w:r>
      <w:r>
        <w:rPr>
          <w:spacing w:val="-7"/>
        </w:rPr>
        <w:t> </w:t>
      </w:r>
      <w:r>
        <w:rPr/>
        <w:t>attacks on stream ciphers.</w:t>
      </w:r>
    </w:p>
    <w:p>
      <w:pPr>
        <w:pStyle w:val="BodyText"/>
        <w:spacing w:before="6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82412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4892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70"/>
        <w:rPr>
          <w:sz w:val="14"/>
        </w:rPr>
      </w:pPr>
    </w:p>
    <w:p>
      <w:pPr>
        <w:spacing w:before="1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6" w:lineRule="exact"/>
        <w:ind w:left="115"/>
      </w:pPr>
      <w:r>
        <w:rPr>
          <w:spacing w:val="-2"/>
        </w:rPr>
        <w:t>10.1016/S1571-0661(05)80068-</w:t>
      </w:r>
      <w:r>
        <w:rPr>
          <w:spacing w:val="-10"/>
        </w:rPr>
        <w:t>4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" w:right="93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2023-12-11T05:57:39Z</dcterms:created>
  <dcterms:modified xsi:type="dcterms:W3CDTF">2023-12-11T05:57:39Z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