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40" w:right="980"/>
        </w:sectPr>
      </w:pPr>
    </w:p>
    <w:p>
      <w:pPr>
        <w:pStyle w:val="BodyText"/>
        <w:spacing w:before="40"/>
        <w:ind w:left="161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40" w:right="980"/>
          <w:cols w:num="2" w:equalWidth="0">
            <w:col w:w="5323" w:space="33"/>
            <w:col w:w="2084"/>
          </w:cols>
        </w:sectPr>
      </w:pPr>
    </w:p>
    <w:p>
      <w:pPr>
        <w:pStyle w:val="BodyText"/>
        <w:spacing w:before="357"/>
        <w:ind w:left="0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Preface</w:t>
      </w:r>
    </w:p>
    <w:p>
      <w:pPr>
        <w:spacing w:before="141"/>
        <w:ind w:left="45" w:right="0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Volume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50,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Issue</w:t>
      </w:r>
      <w:r>
        <w:rPr>
          <w:rFonts w:ascii="LM Roman 12"/>
          <w:b/>
          <w:spacing w:val="8"/>
          <w:sz w:val="28"/>
        </w:rPr>
        <w:t> </w:t>
      </w:r>
      <w:r>
        <w:rPr>
          <w:rFonts w:ascii="LM Roman 12"/>
          <w:b/>
          <w:spacing w:val="-10"/>
          <w:sz w:val="28"/>
        </w:rPr>
        <w:t>2</w:t>
      </w:r>
    </w:p>
    <w:p>
      <w:pPr>
        <w:spacing w:before="386"/>
        <w:ind w:left="45" w:right="2" w:firstLine="0"/>
        <w:jc w:val="center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Jean-Jacques </w:t>
      </w:r>
      <w:r>
        <w:rPr>
          <w:rFonts w:ascii="LM Roman 12"/>
          <w:spacing w:val="-4"/>
          <w:sz w:val="24"/>
        </w:rPr>
        <w:t>Levy</w:t>
      </w:r>
    </w:p>
    <w:p>
      <w:pPr>
        <w:pStyle w:val="BodyText"/>
        <w:spacing w:before="135"/>
        <w:ind w:left="0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279951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4341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5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spacing w:line="165" w:lineRule="auto" w:before="97"/>
        <w:ind w:left="155" w:right="109" w:firstLine="239"/>
        <w:jc w:val="both"/>
        <w:rPr>
          <w:b/>
          <w:sz w:val="16"/>
        </w:rPr>
      </w:pPr>
      <w:r>
        <w:rPr>
          <w:sz w:val="16"/>
        </w:rPr>
        <w:t>Introduction</w:t>
      </w:r>
      <w:r>
        <w:rPr>
          <w:b/>
          <w:sz w:val="16"/>
        </w:rPr>
        <w:t>Bohm’s theorem: applications to Computer Science Theory - </w:t>
      </w:r>
      <w:r>
        <w:rPr>
          <w:b/>
          <w:sz w:val="16"/>
        </w:rPr>
        <w:t>BOTH </w:t>
      </w:r>
      <w:r>
        <w:rPr>
          <w:b/>
          <w:spacing w:val="-4"/>
          <w:sz w:val="16"/>
        </w:rPr>
        <w:t>2001</w:t>
      </w:r>
    </w:p>
    <w:p>
      <w:pPr>
        <w:pStyle w:val="BodyText"/>
        <w:spacing w:line="168" w:lineRule="auto"/>
        <w:ind w:right="113" w:firstLine="239"/>
        <w:jc w:val="both"/>
      </w:pPr>
      <w:r>
        <w:rPr/>
        <w:t>This part of the volume contains the Proceedings of the ICALP 2001 Satellite Workshop on Bohm’s theorem: applications to Computer Science Theory (BOTH 2001), held in the Aldemar Knossos Royal Village Hotel, Hersonissos, Crete, Greece on 13 July 2001.</w:t>
      </w:r>
    </w:p>
    <w:p>
      <w:pPr>
        <w:pStyle w:val="BodyText"/>
        <w:spacing w:line="168" w:lineRule="auto" w:before="1"/>
        <w:ind w:right="113" w:firstLine="239"/>
        <w:jc w:val="both"/>
      </w:pPr>
      <w:r>
        <w:rPr/>
        <w:t>Bohm’s</w:t>
      </w:r>
      <w:r>
        <w:rPr>
          <w:spacing w:val="-15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untyped</w:t>
      </w:r>
      <w:r>
        <w:rPr>
          <w:spacing w:val="-14"/>
        </w:rPr>
        <w:t> </w:t>
      </w:r>
      <w:r>
        <w:rPr/>
        <w:t>lambda</w:t>
      </w:r>
      <w:r>
        <w:rPr>
          <w:spacing w:val="-14"/>
        </w:rPr>
        <w:t> </w:t>
      </w:r>
      <w:r>
        <w:rPr/>
        <w:t>calculus.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disctinct normal forms, up to eta conversion, cannot be identified in any consistent model of the lambda calculus.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separability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generalised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non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under- lying concept for the introduction of finite or infinite trees of head normal forms, also known as Bohm trees.</w:t>
      </w:r>
    </w:p>
    <w:p>
      <w:pPr>
        <w:pStyle w:val="BodyText"/>
        <w:spacing w:line="168" w:lineRule="auto" w:before="4"/>
        <w:ind w:right="113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languages,</w:t>
      </w:r>
      <w:r>
        <w:rPr>
          <w:spacing w:val="-9"/>
        </w:rPr>
        <w:t> </w:t>
      </w:r>
      <w:r>
        <w:rPr/>
        <w:t>Bohm’s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full abstraction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gave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hints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sequential languages; in the theory of concurrency, it is the notion of observability and is used for build- ing bisimulations; in the semantics of security, it gives a strong meaning to the notion of safe </w:t>
      </w:r>
      <w:r>
        <w:rPr>
          <w:spacing w:val="-2"/>
        </w:rPr>
        <w:t>computations.</w:t>
      </w:r>
    </w:p>
    <w:p>
      <w:pPr>
        <w:pStyle w:val="BodyText"/>
        <w:spacing w:line="168" w:lineRule="auto" w:before="3"/>
        <w:ind w:right="113" w:firstLine="239"/>
        <w:jc w:val="both"/>
      </w:pPr>
      <w:r>
        <w:rPr/>
        <w:t>Thirty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later,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occasion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Corrado</w:t>
      </w:r>
      <w:r>
        <w:rPr>
          <w:spacing w:val="-3"/>
        </w:rPr>
        <w:t> </w:t>
      </w:r>
      <w:r>
        <w:rPr/>
        <w:t>Bohm’s</w:t>
      </w:r>
      <w:r>
        <w:rPr>
          <w:spacing w:val="-3"/>
        </w:rPr>
        <w:t> </w:t>
      </w:r>
      <w:r>
        <w:rPr/>
        <w:t>EATCS</w:t>
      </w:r>
      <w:r>
        <w:rPr>
          <w:spacing w:val="-3"/>
        </w:rPr>
        <w:t> </w:t>
      </w:r>
      <w:r>
        <w:rPr/>
        <w:t>Distinguished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Award, this</w:t>
      </w:r>
      <w:r>
        <w:rPr>
          <w:spacing w:val="-5"/>
        </w:rPr>
        <w:t> </w:t>
      </w:r>
      <w:r>
        <w:rPr/>
        <w:t>workshop</w:t>
      </w:r>
      <w:r>
        <w:rPr>
          <w:spacing w:val="-5"/>
        </w:rPr>
        <w:t> </w:t>
      </w:r>
      <w:r>
        <w:rPr/>
        <w:t>attempted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synthetic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Bohm trees,</w:t>
      </w:r>
      <w:r>
        <w:rPr>
          <w:spacing w:val="-10"/>
        </w:rPr>
        <w:t> </w:t>
      </w:r>
      <w:r>
        <w:rPr/>
        <w:t>sequentiality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logic,</w:t>
      </w:r>
      <w:r>
        <w:rPr>
          <w:spacing w:val="-10"/>
        </w:rPr>
        <w:t> </w:t>
      </w:r>
      <w:r>
        <w:rPr/>
        <w:t>security,</w:t>
      </w:r>
      <w:r>
        <w:rPr>
          <w:spacing w:val="-10"/>
        </w:rPr>
        <w:t> </w:t>
      </w:r>
      <w:r>
        <w:rPr/>
        <w:t>fully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translations,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calculi, abstract rewriting systems, based on the seminal workof Bohm.</w:t>
      </w:r>
    </w:p>
    <w:p>
      <w:pPr>
        <w:pStyle w:val="BodyText"/>
        <w:spacing w:line="168" w:lineRule="auto" w:before="3"/>
        <w:ind w:right="113" w:firstLine="239"/>
        <w:jc w:val="both"/>
      </w:pPr>
      <w:r>
        <w:rPr/>
        <w:t>BOTH 2001 was one of the four satellite workshops of the 28th International Colloquium on Automata, Languages and Programming (ICALP 2001), held in Crete, Greece, July 8-12, 2001.</w:t>
      </w:r>
    </w:p>
    <w:p>
      <w:pPr>
        <w:pStyle w:val="BodyText"/>
        <w:spacing w:line="168" w:lineRule="auto" w:before="2"/>
        <w:ind w:right="113" w:firstLine="239"/>
        <w:jc w:val="both"/>
      </w:pPr>
      <w:r>
        <w:rPr/>
        <w:t>The proceedings appear as Volume 50 No. 2 in the series Electronic Notes in Theoretical Computer Science (ENTCS). The volumes in the ENTCS series can be accessed at the URL </w:t>
      </w:r>
      <w:hyperlink r:id="rId9">
        <w:r>
          <w:rPr>
            <w:spacing w:val="-2"/>
          </w:rPr>
          <w:t>http://www.elsevier.nl/locate/entcs.</w:t>
        </w:r>
      </w:hyperlink>
    </w:p>
    <w:p>
      <w:pPr>
        <w:pStyle w:val="BodyText"/>
        <w:spacing w:line="168" w:lineRule="auto" w:before="2"/>
        <w:ind w:right="112" w:firstLine="239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Program</w:t>
      </w:r>
      <w:r>
        <w:rPr>
          <w:spacing w:val="-3"/>
        </w:rPr>
        <w:t> </w:t>
      </w:r>
      <w:r>
        <w:rPr>
          <w:spacing w:val="-2"/>
        </w:rPr>
        <w:t>Committee</w:t>
      </w:r>
      <w:r>
        <w:rPr>
          <w:spacing w:val="-3"/>
        </w:rPr>
        <w:t> </w:t>
      </w:r>
      <w:r>
        <w:rPr>
          <w:spacing w:val="-2"/>
        </w:rPr>
        <w:t>selected</w:t>
      </w:r>
      <w:r>
        <w:rPr>
          <w:spacing w:val="-3"/>
        </w:rPr>
        <w:t> </w:t>
      </w:r>
      <w:r>
        <w:rPr>
          <w:spacing w:val="-2"/>
        </w:rPr>
        <w:t>five</w:t>
      </w:r>
      <w:r>
        <w:rPr>
          <w:spacing w:val="-3"/>
        </w:rPr>
        <w:t> </w:t>
      </w:r>
      <w:r>
        <w:rPr>
          <w:spacing w:val="-2"/>
        </w:rPr>
        <w:t>contributions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researchers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coun- </w:t>
      </w:r>
      <w:r>
        <w:rPr/>
        <w:t>tries:</w:t>
      </w:r>
      <w:r>
        <w:rPr>
          <w:spacing w:val="-3"/>
        </w:rPr>
        <w:t> </w:t>
      </w:r>
      <w:r>
        <w:rPr/>
        <w:t>France,</w:t>
      </w:r>
      <w:r>
        <w:rPr>
          <w:spacing w:val="-3"/>
        </w:rPr>
        <w:t> </w:t>
      </w:r>
      <w:r>
        <w:rPr/>
        <w:t>Italy,</w:t>
      </w:r>
      <w:r>
        <w:rPr>
          <w:spacing w:val="-3"/>
        </w:rPr>
        <w:t> </w:t>
      </w:r>
      <w:r>
        <w:rPr/>
        <w:t>Japan,</w:t>
      </w:r>
      <w:r>
        <w:rPr>
          <w:spacing w:val="-3"/>
        </w:rPr>
        <w:t> </w:t>
      </w:r>
      <w:r>
        <w:rPr/>
        <w:t>Yugoslavia.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Bohm’s</w:t>
      </w:r>
      <w:r>
        <w:rPr>
          <w:spacing w:val="-3"/>
        </w:rPr>
        <w:t> </w:t>
      </w:r>
      <w:r>
        <w:rPr/>
        <w:t>theorem or Bohm’s research. The program included also two invited talks by Henk Barendregt (Univ. of Nijmegen) and Mariangiola Dezani (Univ. di Torino). Pierre-Louis Curien also offered to give a talkon Separation in Girard’s Ludical framework.</w:t>
      </w:r>
    </w:p>
    <w:p>
      <w:pPr>
        <w:pStyle w:val="BodyText"/>
        <w:spacing w:line="176" w:lineRule="exact"/>
        <w:ind w:left="394"/>
        <w:jc w:val="both"/>
      </w:pP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2001</w:t>
      </w:r>
      <w:r>
        <w:rPr>
          <w:spacing w:val="-9"/>
        </w:rPr>
        <w:t> </w:t>
      </w:r>
      <w:r>
        <w:rPr/>
        <w:t>consisted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people:</w:t>
      </w:r>
    </w:p>
    <w:p>
      <w:pPr>
        <w:pStyle w:val="BodyText"/>
        <w:spacing w:line="232" w:lineRule="auto" w:before="201"/>
        <w:ind w:left="394" w:right="3511"/>
      </w:pPr>
      <w:r>
        <w:rPr/>
        <w:t>Pierre-Louis</w:t>
      </w:r>
      <w:r>
        <w:rPr>
          <w:spacing w:val="-10"/>
        </w:rPr>
        <w:t> </w:t>
      </w:r>
      <w:r>
        <w:rPr/>
        <w:t>Curien</w:t>
      </w:r>
      <w:r>
        <w:rPr>
          <w:spacing w:val="-10"/>
        </w:rPr>
        <w:t> </w:t>
      </w:r>
      <w:r>
        <w:rPr/>
        <w:t>(CNRS,</w:t>
      </w:r>
      <w:r>
        <w:rPr>
          <w:spacing w:val="-10"/>
        </w:rPr>
        <w:t> </w:t>
      </w:r>
      <w:r>
        <w:rPr/>
        <w:t>Univ.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Paris</w:t>
      </w:r>
      <w:r>
        <w:rPr>
          <w:spacing w:val="-10"/>
        </w:rPr>
        <w:t> </w:t>
      </w:r>
      <w:r>
        <w:rPr/>
        <w:t>7) G´erard Huet (INRIA, France)</w:t>
      </w:r>
    </w:p>
    <w:p>
      <w:pPr>
        <w:pStyle w:val="BodyText"/>
        <w:spacing w:line="232" w:lineRule="auto"/>
        <w:ind w:left="394" w:right="3511"/>
      </w:pPr>
      <w:r>
        <w:rPr>
          <w:spacing w:val="-2"/>
        </w:rPr>
        <w:t>Jan-Willem</w:t>
      </w:r>
      <w:r>
        <w:rPr>
          <w:spacing w:val="-3"/>
        </w:rPr>
        <w:t> </w:t>
      </w:r>
      <w:r>
        <w:rPr>
          <w:spacing w:val="-2"/>
        </w:rPr>
        <w:t>Klop (Free</w:t>
      </w:r>
      <w:r>
        <w:rPr>
          <w:spacing w:val="-3"/>
        </w:rPr>
        <w:t> </w:t>
      </w:r>
      <w:r>
        <w:rPr>
          <w:spacing w:val="-2"/>
        </w:rPr>
        <w:t>University,</w:t>
      </w:r>
      <w:r>
        <w:rPr>
          <w:spacing w:val="-3"/>
        </w:rPr>
        <w:t> </w:t>
      </w:r>
      <w:r>
        <w:rPr>
          <w:spacing w:val="-2"/>
        </w:rPr>
        <w:t>Amsterdam) </w:t>
      </w:r>
      <w:r>
        <w:rPr/>
        <w:t>Jean-Jacques L´evy (INRIA, France)</w:t>
      </w:r>
    </w:p>
    <w:p>
      <w:pPr>
        <w:pStyle w:val="BodyText"/>
        <w:spacing w:line="232" w:lineRule="auto"/>
        <w:ind w:left="394" w:right="3882"/>
      </w:pPr>
      <w:r>
        <w:rPr/>
        <w:t>Harry Mairson (Boston University) Gordon</w:t>
      </w:r>
      <w:r>
        <w:rPr>
          <w:spacing w:val="-14"/>
        </w:rPr>
        <w:t> </w:t>
      </w:r>
      <w:r>
        <w:rPr/>
        <w:t>Plotkin</w:t>
      </w:r>
      <w:r>
        <w:rPr>
          <w:spacing w:val="-14"/>
        </w:rPr>
        <w:t> </w:t>
      </w:r>
      <w:r>
        <w:rPr/>
        <w:t>(Univ.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Edinburgh)</w:t>
      </w:r>
    </w:p>
    <w:p>
      <w:pPr>
        <w:spacing w:before="75"/>
        <w:ind w:left="15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34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15"/>
          <w:sz w:val="16"/>
        </w:rPr>
        <w:t> </w:t>
      </w:r>
      <w:r>
        <w:rPr>
          <w:sz w:val="16"/>
        </w:rPr>
        <w:t>B.V.</w:t>
      </w:r>
      <w:r>
        <w:rPr>
          <w:spacing w:val="-9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 under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 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pStyle w:val="BodyText"/>
        <w:spacing w:line="200" w:lineRule="exact"/>
      </w:pPr>
      <w:r>
        <w:rPr>
          <w:spacing w:val="-2"/>
        </w:rPr>
        <w:t>10.1016/S1571-0661(05)80570-</w:t>
      </w:r>
      <w:r>
        <w:rPr>
          <w:spacing w:val="-10"/>
        </w:rPr>
        <w:t>5</w:t>
      </w:r>
    </w:p>
    <w:p>
      <w:pPr>
        <w:spacing w:after="0" w:line="200" w:lineRule="exact"/>
        <w:sectPr>
          <w:type w:val="continuous"/>
          <w:pgSz w:w="9360" w:h="13600"/>
          <w:pgMar w:top="1020" w:bottom="280" w:left="940" w:right="980"/>
        </w:sectPr>
      </w:pPr>
    </w:p>
    <w:p>
      <w:pPr>
        <w:tabs>
          <w:tab w:pos="3012" w:val="left" w:leader="none"/>
        </w:tabs>
        <w:spacing w:before="81"/>
        <w:ind w:left="107" w:right="0" w:firstLine="0"/>
        <w:jc w:val="left"/>
        <w:rPr>
          <w:sz w:val="16"/>
        </w:rPr>
      </w:pPr>
      <w:r>
        <w:rPr>
          <w:rFonts w:ascii="Times New Roman" w:hAnsi="Times New Roman"/>
          <w:spacing w:val="-10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sz w:val="16"/>
        </w:rPr>
        <w:t>Volume</w:t>
      </w:r>
      <w:r>
        <w:rPr>
          <w:spacing w:val="42"/>
          <w:sz w:val="16"/>
        </w:rPr>
        <w:t> </w:t>
      </w:r>
      <w:r>
        <w:rPr>
          <w:rFonts w:ascii="Carlito" w:hAnsi="Carlito"/>
          <w:i/>
          <w:sz w:val="16"/>
        </w:rPr>
        <w:t>•</w:t>
      </w:r>
      <w:r>
        <w:rPr>
          <w:rFonts w:ascii="Carlito" w:hAnsi="Carlito"/>
          <w:i/>
          <w:spacing w:val="14"/>
          <w:sz w:val="16"/>
        </w:rPr>
        <w:t> </w:t>
      </w:r>
      <w:r>
        <w:rPr>
          <w:spacing w:val="-2"/>
          <w:sz w:val="16"/>
        </w:rPr>
        <w:t>Number</w:t>
      </w:r>
    </w:p>
    <w:p>
      <w:pPr>
        <w:pStyle w:val="BodyText"/>
        <w:spacing w:before="91"/>
        <w:ind w:left="346"/>
      </w:pPr>
      <w:r>
        <w:rPr/>
        <w:t>Simona</w:t>
      </w:r>
      <w:r>
        <w:rPr>
          <w:spacing w:val="-11"/>
        </w:rPr>
        <w:t> </w:t>
      </w:r>
      <w:r>
        <w:rPr/>
        <w:t>Ronchi</w:t>
      </w:r>
      <w:r>
        <w:rPr>
          <w:spacing w:val="-10"/>
        </w:rPr>
        <w:t> </w:t>
      </w:r>
      <w:r>
        <w:rPr/>
        <w:t>(Univ.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Torino)</w:t>
      </w:r>
    </w:p>
    <w:p>
      <w:pPr>
        <w:pStyle w:val="BodyText"/>
        <w:spacing w:line="168" w:lineRule="auto" w:before="106"/>
        <w:ind w:left="107" w:firstLine="239"/>
      </w:pPr>
      <w:r>
        <w:rPr/>
        <w:t>We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thank</w:t>
      </w:r>
      <w:r>
        <w:rPr>
          <w:spacing w:val="-14"/>
        </w:rPr>
        <w:t> </w:t>
      </w:r>
      <w:r>
        <w:rPr/>
        <w:t>Christos</w:t>
      </w:r>
      <w:r>
        <w:rPr>
          <w:spacing w:val="-14"/>
        </w:rPr>
        <w:t> </w:t>
      </w:r>
      <w:r>
        <w:rPr/>
        <w:t>Zaroliagis</w:t>
      </w:r>
      <w:r>
        <w:rPr>
          <w:spacing w:val="-15"/>
        </w:rPr>
        <w:t> </w:t>
      </w:r>
      <w:r>
        <w:rPr/>
        <w:t>(ICALP</w:t>
      </w:r>
      <w:r>
        <w:rPr>
          <w:spacing w:val="-14"/>
        </w:rPr>
        <w:t> </w:t>
      </w:r>
      <w:r>
        <w:rPr/>
        <w:t>2001</w:t>
      </w:r>
      <w:r>
        <w:rPr>
          <w:spacing w:val="-14"/>
        </w:rPr>
        <w:t> </w:t>
      </w:r>
      <w:r>
        <w:rPr/>
        <w:t>Satellite</w:t>
      </w:r>
      <w:r>
        <w:rPr>
          <w:spacing w:val="-14"/>
        </w:rPr>
        <w:t> </w:t>
      </w:r>
      <w:r>
        <w:rPr/>
        <w:t>Workshops</w:t>
      </w:r>
      <w:r>
        <w:rPr>
          <w:spacing w:val="-14"/>
        </w:rPr>
        <w:t> </w:t>
      </w:r>
      <w:r>
        <w:rPr/>
        <w:t>Coordinator)</w:t>
      </w:r>
      <w:r>
        <w:rPr>
          <w:spacing w:val="-14"/>
        </w:rPr>
        <w:t> </w:t>
      </w:r>
      <w:r>
        <w:rPr/>
        <w:t>for his continuous support.</w:t>
      </w:r>
    </w:p>
    <w:p>
      <w:pPr>
        <w:pStyle w:val="BodyText"/>
        <w:spacing w:line="174" w:lineRule="exact"/>
        <w:ind w:left="346"/>
      </w:pPr>
      <w:r>
        <w:rPr/>
        <w:t>July</w:t>
      </w:r>
      <w:r>
        <w:rPr>
          <w:spacing w:val="-13"/>
        </w:rPr>
        <w:t> </w:t>
      </w:r>
      <w:r>
        <w:rPr/>
        <w:t>2001</w:t>
      </w:r>
      <w:r>
        <w:rPr>
          <w:spacing w:val="-11"/>
        </w:rPr>
        <w:t> </w:t>
      </w:r>
      <w:r>
        <w:rPr/>
        <w:t>Jean-Jacques</w:t>
      </w:r>
      <w:r>
        <w:rPr>
          <w:spacing w:val="-12"/>
        </w:rPr>
        <w:t> </w:t>
      </w:r>
      <w:r>
        <w:rPr>
          <w:spacing w:val="-2"/>
        </w:rPr>
        <w:t>L´evy</w:t>
      </w:r>
    </w:p>
    <w:p>
      <w:pPr>
        <w:pStyle w:val="BodyText"/>
        <w:spacing w:before="5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665111</wp:posOffset>
                </wp:positionH>
                <wp:positionV relativeFrom="paragraph">
                  <wp:posOffset>72402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370998pt;margin-top:5.701pt;width:358.659pt;height:.504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9360" w:h="13600"/>
      <w:pgMar w:top="78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5"/>
    </w:pPr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5" w:right="2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www.elsevier.nl/locate/entcs" TargetMode="External"/><Relationship Id="rId10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doi:10.1016/S1571-0661(05)80570-5</dc:title>
  <dcterms:created xsi:type="dcterms:W3CDTF">2023-12-12T00:01:38Z</dcterms:created>
  <dcterms:modified xsi:type="dcterms:W3CDTF">2023-12-12T00:01:38Z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