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5" w:right="5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2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(2022)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100030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AI in Life Science Research - The Road A" w:id="1"/>
      <w:bookmarkEnd w:id="1"/>
      <w:r>
        <w:rPr/>
      </w:r>
      <w:r>
        <w:rPr>
          <w:spacing w:val="-2"/>
          <w:w w:val="110"/>
          <w:sz w:val="19"/>
        </w:rPr>
        <w:t>Editorial</w:t>
      </w:r>
    </w:p>
    <w:p>
      <w:pPr>
        <w:spacing w:line="231" w:lineRule="exact" w:before="145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AI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in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Life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Science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Research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–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3"/>
          <w:w w:val="105"/>
          <w:sz w:val="27"/>
        </w:rPr>
        <w:t> </w:t>
      </w:r>
      <w:r>
        <w:rPr>
          <w:w w:val="105"/>
          <w:sz w:val="27"/>
        </w:rPr>
        <w:t>Road</w:t>
      </w:r>
      <w:r>
        <w:rPr>
          <w:spacing w:val="2"/>
          <w:w w:val="105"/>
          <w:sz w:val="27"/>
        </w:rPr>
        <w:t> </w:t>
      </w:r>
      <w:r>
        <w:rPr>
          <w:spacing w:val="-2"/>
          <w:w w:val="105"/>
          <w:sz w:val="27"/>
        </w:rPr>
        <w:t>Ahead</w:t>
      </w:r>
    </w:p>
    <w:p>
      <w:pPr>
        <w:spacing w:line="570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w w:val="115"/>
          <w:sz w:val="21"/>
        </w:rPr>
        <w:t>Jürgen</w:t>
      </w:r>
      <w:r>
        <w:rPr>
          <w:spacing w:val="-5"/>
          <w:w w:val="115"/>
          <w:sz w:val="21"/>
        </w:rPr>
        <w:t> </w:t>
      </w:r>
      <w:r>
        <w:rPr>
          <w:spacing w:val="-2"/>
          <w:w w:val="115"/>
          <w:sz w:val="21"/>
        </w:rPr>
        <w:t>Bajorath</w:t>
      </w:r>
      <w:hyperlink w:history="true" w:anchor="_bookmark0">
        <w:r>
          <w:rPr>
            <w:rFonts w:ascii="STIX Math" w:hAnsi="STIX Math"/>
            <w:color w:val="0080AC"/>
            <w:spacing w:val="-2"/>
            <w:w w:val="115"/>
            <w:sz w:val="21"/>
            <w:vertAlign w:val="superscript"/>
          </w:rPr>
          <w:t>∗</w:t>
        </w:r>
      </w:hyperlink>
    </w:p>
    <w:p>
      <w:pPr>
        <w:spacing w:before="84"/>
        <w:ind w:left="118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Department</w:t>
      </w:r>
      <w:r>
        <w:rPr>
          <w:i/>
          <w:spacing w:val="1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Life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Science</w:t>
      </w:r>
      <w:r>
        <w:rPr>
          <w:i/>
          <w:spacing w:val="17"/>
          <w:w w:val="105"/>
          <w:sz w:val="12"/>
        </w:rPr>
        <w:t> </w:t>
      </w:r>
      <w:r>
        <w:rPr>
          <w:i/>
          <w:w w:val="105"/>
          <w:sz w:val="12"/>
        </w:rPr>
        <w:t>Informatics</w:t>
      </w:r>
      <w:r>
        <w:rPr>
          <w:i/>
          <w:spacing w:val="17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17"/>
          <w:w w:val="105"/>
          <w:sz w:val="12"/>
        </w:rPr>
        <w:t> </w:t>
      </w:r>
      <w:r>
        <w:rPr>
          <w:i/>
          <w:w w:val="105"/>
          <w:sz w:val="12"/>
        </w:rPr>
        <w:t>Data</w:t>
      </w:r>
      <w:r>
        <w:rPr>
          <w:i/>
          <w:spacing w:val="17"/>
          <w:w w:val="105"/>
          <w:sz w:val="12"/>
        </w:rPr>
        <w:t> </w:t>
      </w:r>
      <w:r>
        <w:rPr>
          <w:i/>
          <w:w w:val="105"/>
          <w:sz w:val="12"/>
        </w:rPr>
        <w:t>Science,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B-IT,</w:t>
      </w:r>
      <w:r>
        <w:rPr>
          <w:i/>
          <w:spacing w:val="15"/>
          <w:w w:val="105"/>
          <w:sz w:val="12"/>
        </w:rPr>
        <w:t> </w:t>
      </w:r>
      <w:r>
        <w:rPr>
          <w:i/>
          <w:w w:val="105"/>
          <w:sz w:val="12"/>
        </w:rPr>
        <w:t>Rheinische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Friedrich-Wilhelms-Universität,</w:t>
      </w:r>
      <w:r>
        <w:rPr>
          <w:i/>
          <w:spacing w:val="15"/>
          <w:w w:val="105"/>
          <w:sz w:val="12"/>
        </w:rPr>
        <w:t> </w:t>
      </w:r>
      <w:r>
        <w:rPr>
          <w:i/>
          <w:w w:val="105"/>
          <w:sz w:val="12"/>
        </w:rPr>
        <w:t>Friedrich-Hirzebruch-Allee</w:t>
      </w:r>
      <w:r>
        <w:rPr>
          <w:i/>
          <w:spacing w:val="15"/>
          <w:w w:val="105"/>
          <w:sz w:val="12"/>
        </w:rPr>
        <w:t> </w:t>
      </w:r>
      <w:r>
        <w:rPr>
          <w:i/>
          <w:w w:val="105"/>
          <w:sz w:val="12"/>
        </w:rPr>
        <w:t>5/6,</w:t>
      </w:r>
      <w:r>
        <w:rPr>
          <w:i/>
          <w:spacing w:val="16"/>
          <w:w w:val="105"/>
          <w:sz w:val="12"/>
        </w:rPr>
        <w:t> </w:t>
      </w:r>
      <w:r>
        <w:rPr>
          <w:i/>
          <w:w w:val="105"/>
          <w:sz w:val="12"/>
        </w:rPr>
        <w:t>D-53115</w:t>
      </w:r>
      <w:r>
        <w:rPr>
          <w:i/>
          <w:spacing w:val="17"/>
          <w:w w:val="105"/>
          <w:sz w:val="12"/>
        </w:rPr>
        <w:t> </w:t>
      </w:r>
      <w:r>
        <w:rPr>
          <w:i/>
          <w:w w:val="105"/>
          <w:sz w:val="12"/>
        </w:rPr>
        <w:t>Bonn,</w:t>
      </w:r>
      <w:r>
        <w:rPr>
          <w:i/>
          <w:spacing w:val="1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Germany</w:t>
      </w:r>
    </w:p>
    <w:p>
      <w:pPr>
        <w:pStyle w:val="BodyText"/>
        <w:spacing w:before="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137340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14193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40" w:firstLine="239"/>
        <w:jc w:val="both"/>
      </w:pPr>
      <w:bookmarkStart w:name="Themed Article Collections" w:id="2"/>
      <w:bookmarkEnd w:id="2"/>
      <w:r>
        <w:rPr/>
      </w:r>
      <w:r>
        <w:rPr>
          <w:w w:val="105"/>
        </w:rPr>
        <w:t>This</w:t>
      </w:r>
      <w:r>
        <w:rPr>
          <w:w w:val="105"/>
        </w:rPr>
        <w:t> Editorial</w:t>
      </w:r>
      <w:r>
        <w:rPr>
          <w:w w:val="105"/>
        </w:rPr>
        <w:t> introduces</w:t>
      </w:r>
      <w:r>
        <w:rPr>
          <w:w w:val="105"/>
        </w:rPr>
        <w:t> Volume</w:t>
      </w:r>
      <w:r>
        <w:rPr>
          <w:w w:val="105"/>
        </w:rPr>
        <w:t> 2</w:t>
      </w:r>
      <w:r>
        <w:rPr>
          <w:w w:val="105"/>
        </w:rPr>
        <w:t> of</w:t>
      </w:r>
      <w:r>
        <w:rPr>
          <w:w w:val="105"/>
        </w:rPr>
        <w:t> Artificial</w:t>
      </w:r>
      <w:r>
        <w:rPr>
          <w:w w:val="105"/>
        </w:rPr>
        <w:t> Intelligence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bookmarkStart w:name="Year One in Review" w:id="3"/>
      <w:bookmarkEnd w:id="3"/>
      <w:r>
        <w:rPr>
          <w:w w:val="105"/>
        </w:rPr>
        <w:t>Life</w:t>
      </w:r>
      <w:r>
        <w:rPr>
          <w:w w:val="105"/>
        </w:rPr>
        <w:t> Sciences (AILSCI).</w:t>
      </w:r>
    </w:p>
    <w:p>
      <w:pPr>
        <w:pStyle w:val="BodyText"/>
        <w:spacing w:before="88"/>
      </w:pPr>
    </w:p>
    <w:p>
      <w:pPr>
        <w:pStyle w:val="Heading1"/>
      </w:pPr>
      <w:r>
        <w:rPr>
          <w:w w:val="110"/>
        </w:rPr>
        <w:t>Year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Review</w:t>
      </w:r>
    </w:p>
    <w:p>
      <w:pPr>
        <w:pStyle w:val="BodyText"/>
        <w:spacing w:before="51"/>
        <w:rPr>
          <w:b/>
        </w:rPr>
      </w:pPr>
    </w:p>
    <w:p>
      <w:pPr>
        <w:pStyle w:val="BodyText"/>
        <w:ind w:left="118" w:firstLine="239"/>
        <w:jc w:val="both"/>
      </w:pPr>
      <w:r>
        <w:rPr>
          <w:spacing w:val="2"/>
        </w:rPr>
        <w:t>With</w:t>
      </w:r>
      <w:r>
        <w:rPr>
          <w:spacing w:val="18"/>
        </w:rPr>
        <w:t> </w:t>
      </w:r>
      <w:r>
        <w:rPr>
          <w:spacing w:val="2"/>
        </w:rPr>
        <w:t>27</w:t>
      </w:r>
      <w:r>
        <w:rPr>
          <w:spacing w:val="18"/>
        </w:rPr>
        <w:t> </w:t>
      </w:r>
      <w:r>
        <w:rPr>
          <w:spacing w:val="2"/>
        </w:rPr>
        <w:t>publications</w:t>
      </w:r>
      <w:r>
        <w:rPr>
          <w:spacing w:val="18"/>
        </w:rPr>
        <w:t> </w:t>
      </w:r>
      <w:r>
        <w:rPr>
          <w:spacing w:val="2"/>
        </w:rPr>
        <w:t>comprising</w:t>
      </w:r>
      <w:r>
        <w:rPr>
          <w:spacing w:val="18"/>
        </w:rPr>
        <w:t> </w:t>
      </w:r>
      <w:r>
        <w:rPr>
          <w:spacing w:val="2"/>
        </w:rPr>
        <w:t>Volume</w:t>
      </w:r>
      <w:r>
        <w:rPr>
          <w:spacing w:val="18"/>
        </w:rPr>
        <w:t> </w:t>
      </w:r>
      <w:r>
        <w:rPr>
          <w:spacing w:val="2"/>
        </w:rPr>
        <w:t>1,</w:t>
      </w:r>
      <w:r>
        <w:rPr>
          <w:spacing w:val="18"/>
        </w:rPr>
        <w:t> </w:t>
      </w:r>
      <w:r>
        <w:rPr>
          <w:spacing w:val="2"/>
        </w:rPr>
        <w:t>the</w:t>
      </w:r>
      <w:r>
        <w:rPr>
          <w:spacing w:val="20"/>
        </w:rPr>
        <w:t> </w:t>
      </w:r>
      <w:r>
        <w:rPr>
          <w:spacing w:val="2"/>
        </w:rPr>
        <w:t>editors</w:t>
      </w:r>
      <w:r>
        <w:rPr>
          <w:spacing w:val="18"/>
        </w:rPr>
        <w:t> </w:t>
      </w:r>
      <w:r>
        <w:rPr>
          <w:spacing w:val="2"/>
        </w:rPr>
        <w:t>and</w:t>
      </w:r>
      <w:r>
        <w:rPr>
          <w:spacing w:val="18"/>
        </w:rPr>
        <w:t> </w:t>
      </w:r>
      <w:r>
        <w:rPr>
          <w:spacing w:val="-2"/>
        </w:rPr>
        <w:t>publisher</w:t>
      </w:r>
    </w:p>
    <w:p>
      <w:pPr>
        <w:pStyle w:val="BodyText"/>
        <w:spacing w:line="112" w:lineRule="auto" w:before="104"/>
        <w:ind w:left="118" w:right="39"/>
        <w:jc w:val="both"/>
      </w:pPr>
      <w:r>
        <w:rPr>
          <w:w w:val="110"/>
        </w:rPr>
        <w:t>acceptance</w:t>
      </w:r>
      <w:r>
        <w:rPr>
          <w:spacing w:val="19"/>
          <w:w w:val="110"/>
        </w:rPr>
        <w:t> </w:t>
      </w:r>
      <w:r>
        <w:rPr>
          <w:w w:val="110"/>
        </w:rPr>
        <w:t>rate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STIX Math" w:hAnsi="STIX Math"/>
          <w:w w:val="110"/>
        </w:rPr>
        <w:t>∼</w:t>
      </w:r>
      <w:r>
        <w:rPr>
          <w:w w:val="110"/>
        </w:rPr>
        <w:t>33%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bar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publication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i/>
          <w:w w:val="110"/>
        </w:rPr>
        <w:t>AILSCI</w:t>
      </w:r>
      <w:r>
        <w:rPr>
          <w:i/>
          <w:spacing w:val="19"/>
          <w:w w:val="110"/>
        </w:rPr>
        <w:t> </w:t>
      </w:r>
      <w:r>
        <w:rPr>
          <w:w w:val="110"/>
        </w:rPr>
        <w:t>has</w:t>
      </w:r>
      <w:r>
        <w:rPr>
          <w:spacing w:val="19"/>
          <w:w w:val="110"/>
        </w:rPr>
        <w:t> </w:t>
      </w:r>
      <w:r>
        <w:rPr>
          <w:w w:val="110"/>
        </w:rPr>
        <w:t>been of</w:t>
      </w:r>
      <w:r>
        <w:rPr>
          <w:spacing w:val="-8"/>
          <w:w w:val="110"/>
        </w:rPr>
        <w:t> </w:t>
      </w:r>
      <w:r>
        <w:rPr>
          <w:i/>
          <w:w w:val="110"/>
        </w:rPr>
        <w:t>AILSCI</w:t>
      </w:r>
      <w:r>
        <w:rPr>
          <w:i/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pleased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Journal’s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year.</w:t>
      </w:r>
      <w:r>
        <w:rPr>
          <w:spacing w:val="-7"/>
          <w:w w:val="110"/>
        </w:rPr>
        <w:t> </w:t>
      </w:r>
      <w:r>
        <w:rPr>
          <w:w w:val="110"/>
        </w:rPr>
        <w:t>Importantly,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an</w:t>
      </w:r>
    </w:p>
    <w:p>
      <w:pPr>
        <w:pStyle w:val="BodyText"/>
        <w:spacing w:line="273" w:lineRule="auto" w:before="21"/>
        <w:ind w:left="118" w:right="38"/>
        <w:jc w:val="both"/>
      </w:pPr>
      <w:r>
        <w:rPr>
          <w:w w:val="110"/>
        </w:rPr>
        <w:t>high</w:t>
      </w:r>
      <w:r>
        <w:rPr>
          <w:w w:val="110"/>
        </w:rPr>
        <w:t> and</w:t>
      </w:r>
      <w:r>
        <w:rPr>
          <w:w w:val="110"/>
        </w:rPr>
        <w:t> this</w:t>
      </w:r>
      <w:r>
        <w:rPr>
          <w:w w:val="110"/>
        </w:rPr>
        <w:t> will</w:t>
      </w:r>
      <w:r>
        <w:rPr>
          <w:w w:val="110"/>
        </w:rPr>
        <w:t> continue</w:t>
      </w:r>
      <w:r>
        <w:rPr>
          <w:w w:val="110"/>
        </w:rPr>
        <w:t> going</w:t>
      </w:r>
      <w:r>
        <w:rPr>
          <w:w w:val="110"/>
        </w:rPr>
        <w:t> forward.</w:t>
      </w:r>
      <w:r>
        <w:rPr>
          <w:w w:val="110"/>
        </w:rPr>
        <w:t> Striving</w:t>
      </w:r>
      <w:r>
        <w:rPr>
          <w:w w:val="110"/>
        </w:rPr>
        <w:t> for</w:t>
      </w:r>
      <w:r>
        <w:rPr>
          <w:w w:val="110"/>
        </w:rPr>
        <w:t> high</w:t>
      </w:r>
      <w:r>
        <w:rPr>
          <w:w w:val="110"/>
        </w:rPr>
        <w:t> scientific </w:t>
      </w:r>
      <w:r>
        <w:rPr/>
        <w:t>quality is a core value of </w:t>
      </w:r>
      <w:r>
        <w:rPr>
          <w:i/>
        </w:rPr>
        <w:t>AILSCI</w:t>
      </w:r>
      <w:r>
        <w:rPr/>
        <w:t>. Furthermore, we have been able to keep</w:t>
      </w:r>
      <w:r>
        <w:rPr>
          <w:w w:val="110"/>
        </w:rPr>
        <w:t> average review and publication times well below competitor journals, </w:t>
      </w:r>
      <w:bookmarkStart w:name="Reusable Reviews" w:id="4"/>
      <w:bookmarkEnd w:id="4"/>
      <w:r>
        <w:rPr>
          <w:w w:val="110"/>
        </w:rPr>
        <w:t>thanks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extra</w:t>
      </w:r>
      <w:r>
        <w:rPr>
          <w:spacing w:val="-6"/>
          <w:w w:val="110"/>
        </w:rPr>
        <w:t> </w:t>
      </w:r>
      <w:r>
        <w:rPr>
          <w:w w:val="110"/>
        </w:rPr>
        <w:t>efforts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editors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reviewers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-for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part- </w:t>
      </w:r>
      <w:bookmarkStart w:name="Editorial Board" w:id="5"/>
      <w:bookmarkEnd w:id="5"/>
      <w:r>
        <w:rPr>
          <w:w w:val="110"/>
        </w:rPr>
        <w:t>quic</w:t>
      </w:r>
      <w:r>
        <w:rPr>
          <w:w w:val="110"/>
        </w:rPr>
        <w:t>k turnaround by production.</w:t>
      </w:r>
    </w:p>
    <w:p>
      <w:pPr>
        <w:pStyle w:val="BodyText"/>
        <w:spacing w:before="87"/>
      </w:pPr>
    </w:p>
    <w:p>
      <w:pPr>
        <w:pStyle w:val="Heading1"/>
      </w:pPr>
      <w:r>
        <w:rPr>
          <w:w w:val="105"/>
        </w:rPr>
        <w:t>Editorial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Board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Interacting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international</w:t>
      </w:r>
      <w:r>
        <w:rPr>
          <w:spacing w:val="-4"/>
          <w:w w:val="110"/>
        </w:rPr>
        <w:t> </w:t>
      </w:r>
      <w:r>
        <w:rPr>
          <w:w w:val="110"/>
        </w:rPr>
        <w:t>Editorial</w:t>
      </w:r>
      <w:r>
        <w:rPr>
          <w:spacing w:val="-4"/>
          <w:w w:val="110"/>
        </w:rPr>
        <w:t> </w:t>
      </w:r>
      <w:r>
        <w:rPr>
          <w:w w:val="110"/>
        </w:rPr>
        <w:t>Board</w:t>
      </w:r>
      <w:r>
        <w:rPr>
          <w:spacing w:val="-3"/>
          <w:w w:val="110"/>
        </w:rPr>
        <w:t> </w:t>
      </w:r>
      <w:r>
        <w:rPr>
          <w:w w:val="110"/>
        </w:rPr>
        <w:t>(EB)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an- other highlight in year one and we are pleased that our current EB will continue to support the scientific development of </w:t>
      </w:r>
      <w:r>
        <w:rPr>
          <w:i/>
          <w:w w:val="110"/>
        </w:rPr>
        <w:t>AILSCI</w:t>
      </w:r>
      <w:r>
        <w:rPr>
          <w:w w:val="110"/>
        </w:rPr>
        <w:t>. In 2022, we welcome</w:t>
      </w:r>
      <w:r>
        <w:rPr>
          <w:spacing w:val="-6"/>
          <w:w w:val="110"/>
        </w:rPr>
        <w:t> </w:t>
      </w:r>
      <w:r>
        <w:rPr>
          <w:w w:val="110"/>
        </w:rPr>
        <w:t>several</w:t>
      </w:r>
      <w:r>
        <w:rPr>
          <w:spacing w:val="-6"/>
          <w:w w:val="110"/>
        </w:rPr>
        <w:t> </w:t>
      </w:r>
      <w:r>
        <w:rPr>
          <w:w w:val="110"/>
        </w:rPr>
        <w:t>additional</w:t>
      </w:r>
      <w:r>
        <w:rPr>
          <w:spacing w:val="-7"/>
          <w:w w:val="110"/>
        </w:rPr>
        <w:t> </w:t>
      </w:r>
      <w:r>
        <w:rPr>
          <w:w w:val="110"/>
        </w:rPr>
        <w:t>members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EB,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appoint- </w:t>
      </w:r>
      <w:bookmarkStart w:name="Article Categories" w:id="6"/>
      <w:bookmarkEnd w:id="6"/>
      <w:r>
        <w:rPr>
          <w:w w:val="110"/>
        </w:rPr>
        <w:t>ments</w:t>
      </w:r>
      <w:r>
        <w:rPr>
          <w:w w:val="110"/>
        </w:rPr>
        <w:t> will be announced in due course.</w:t>
      </w:r>
    </w:p>
    <w:p>
      <w:pPr>
        <w:pStyle w:val="BodyText"/>
        <w:spacing w:before="87"/>
      </w:pPr>
    </w:p>
    <w:p>
      <w:pPr>
        <w:pStyle w:val="Heading1"/>
      </w:pPr>
      <w:r>
        <w:rPr>
          <w:w w:val="110"/>
        </w:rPr>
        <w:t>Article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Categories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/>
        <w:t>A minor adjustment has been made to </w:t>
      </w:r>
      <w:r>
        <w:rPr>
          <w:i/>
        </w:rPr>
        <w:t>AILSCI’s </w:t>
      </w:r>
      <w:r>
        <w:rPr/>
        <w:t>article portfolio. Since</w:t>
      </w:r>
      <w:r>
        <w:rPr>
          <w:w w:val="110"/>
        </w:rPr>
        <w:t> there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qualifying</w:t>
      </w:r>
      <w:r>
        <w:rPr>
          <w:spacing w:val="-5"/>
          <w:w w:val="110"/>
        </w:rPr>
        <w:t> </w:t>
      </w:r>
      <w:r>
        <w:rPr>
          <w:i/>
          <w:w w:val="110"/>
        </w:rPr>
        <w:t>Controversial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Views</w:t>
      </w:r>
      <w:r>
        <w:rPr>
          <w:i/>
          <w:spacing w:val="-5"/>
          <w:w w:val="110"/>
        </w:rPr>
        <w:t> </w:t>
      </w:r>
      <w:r>
        <w:rPr>
          <w:w w:val="110"/>
        </w:rPr>
        <w:t>submissions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2021,</w:t>
      </w:r>
      <w:r>
        <w:rPr>
          <w:spacing w:val="-5"/>
          <w:w w:val="110"/>
        </w:rPr>
        <w:t> </w:t>
      </w:r>
      <w:r>
        <w:rPr>
          <w:w w:val="110"/>
        </w:rPr>
        <w:t>this manuscript</w:t>
      </w:r>
      <w:r>
        <w:rPr>
          <w:w w:val="110"/>
        </w:rPr>
        <w:t> type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combined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i/>
          <w:w w:val="110"/>
        </w:rPr>
        <w:t>Opinion</w:t>
      </w:r>
      <w:r>
        <w:rPr>
          <w:i/>
          <w:w w:val="110"/>
        </w:rPr>
        <w:t> </w:t>
      </w:r>
      <w:r>
        <w:rPr>
          <w:w w:val="110"/>
        </w:rPr>
        <w:t>articles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new </w:t>
      </w:r>
      <w:r>
        <w:rPr>
          <w:i/>
          <w:w w:val="110"/>
        </w:rPr>
        <w:t>Viewpoint</w:t>
      </w:r>
      <w:r>
        <w:rPr>
          <w:i/>
          <w:w w:val="110"/>
        </w:rPr>
        <w:t> </w:t>
      </w:r>
      <w:r>
        <w:rPr>
          <w:w w:val="110"/>
        </w:rPr>
        <w:t>type,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expected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broader</w:t>
      </w:r>
      <w:r>
        <w:rPr>
          <w:w w:val="110"/>
        </w:rPr>
        <w:t> in</w:t>
      </w:r>
      <w:r>
        <w:rPr>
          <w:w w:val="110"/>
        </w:rPr>
        <w:t> its</w:t>
      </w:r>
      <w:r>
        <w:rPr>
          <w:w w:val="110"/>
        </w:rPr>
        <w:t> scope</w:t>
      </w:r>
      <w:r>
        <w:rPr>
          <w:w w:val="110"/>
        </w:rPr>
        <w:t> than</w:t>
      </w:r>
      <w:r>
        <w:rPr>
          <w:w w:val="110"/>
        </w:rPr>
        <w:t> the two</w:t>
      </w:r>
      <w:r>
        <w:rPr>
          <w:spacing w:val="-1"/>
          <w:w w:val="110"/>
        </w:rPr>
        <w:t> </w:t>
      </w:r>
      <w:r>
        <w:rPr>
          <w:w w:val="110"/>
        </w:rPr>
        <w:t>original</w:t>
      </w:r>
      <w:r>
        <w:rPr>
          <w:spacing w:val="-1"/>
          <w:w w:val="110"/>
        </w:rPr>
        <w:t> </w:t>
      </w:r>
      <w:r>
        <w:rPr>
          <w:w w:val="110"/>
        </w:rPr>
        <w:t>types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articles.</w:t>
      </w:r>
      <w:r>
        <w:rPr>
          <w:spacing w:val="-1"/>
          <w:w w:val="110"/>
        </w:rPr>
        <w:t> </w:t>
      </w:r>
      <w:r>
        <w:rPr>
          <w:w w:val="110"/>
        </w:rPr>
        <w:t>Apart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minor</w:t>
      </w:r>
      <w:r>
        <w:rPr>
          <w:spacing w:val="-1"/>
          <w:w w:val="110"/>
        </w:rPr>
        <w:t> </w:t>
      </w:r>
      <w:r>
        <w:rPr>
          <w:w w:val="110"/>
        </w:rPr>
        <w:t>change,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article categories remain unchanged (for further details, please, see the Guide </w:t>
      </w:r>
      <w:bookmarkStart w:name="Ease of Submission" w:id="7"/>
      <w:bookmarkEnd w:id="7"/>
      <w:r>
        <w:rPr>
          <w:w w:val="110"/>
        </w:rPr>
        <w:t>for</w:t>
      </w:r>
      <w:r>
        <w:rPr>
          <w:w w:val="110"/>
        </w:rPr>
        <w:t> Authors).</w:t>
      </w:r>
    </w:p>
    <w:p>
      <w:pPr>
        <w:pStyle w:val="BodyText"/>
        <w:spacing w:before="86"/>
      </w:pPr>
    </w:p>
    <w:p>
      <w:pPr>
        <w:pStyle w:val="Heading1"/>
      </w:pPr>
      <w:r>
        <w:rPr>
          <w:w w:val="110"/>
        </w:rPr>
        <w:t>Ease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Submission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bookmarkStart w:name="Article Processing Charges" w:id="8"/>
      <w:bookmarkEnd w:id="8"/>
      <w:r>
        <w:rPr/>
      </w:r>
      <w:r>
        <w:rPr>
          <w:w w:val="110"/>
        </w:rPr>
        <w:t>Initial</w:t>
      </w:r>
      <w:r>
        <w:rPr>
          <w:w w:val="110"/>
        </w:rPr>
        <w:t> experiences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“Your</w:t>
      </w:r>
      <w:r>
        <w:rPr>
          <w:w w:val="110"/>
        </w:rPr>
        <w:t> Paper</w:t>
      </w:r>
      <w:r>
        <w:rPr>
          <w:w w:val="110"/>
        </w:rPr>
        <w:t> Your</w:t>
      </w:r>
      <w:r>
        <w:rPr>
          <w:w w:val="110"/>
        </w:rPr>
        <w:t> Way” policy</w:t>
      </w:r>
      <w:r>
        <w:rPr>
          <w:w w:val="110"/>
        </w:rPr>
        <w:t> for</w:t>
      </w:r>
      <w:r>
        <w:rPr>
          <w:w w:val="110"/>
        </w:rPr>
        <w:t> au- thors and the production of the final manuscripts have been very pos- itive.</w:t>
      </w:r>
      <w:r>
        <w:rPr>
          <w:w w:val="110"/>
        </w:rPr>
        <w:t> </w:t>
      </w:r>
      <w:r>
        <w:rPr>
          <w:i/>
          <w:w w:val="110"/>
        </w:rPr>
        <w:t>AILSCI</w:t>
      </w:r>
      <w:r>
        <w:rPr>
          <w:i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continue</w:t>
      </w:r>
      <w:r>
        <w:rPr>
          <w:w w:val="110"/>
        </w:rPr>
        <w:t> to</w:t>
      </w:r>
      <w:r>
        <w:rPr>
          <w:w w:val="110"/>
        </w:rPr>
        <w:t> alleviate</w:t>
      </w:r>
      <w:r>
        <w:rPr>
          <w:w w:val="110"/>
        </w:rPr>
        <w:t> formatting</w:t>
      </w:r>
      <w:r>
        <w:rPr>
          <w:w w:val="110"/>
        </w:rPr>
        <w:t> constraints</w:t>
      </w:r>
      <w:r>
        <w:rPr>
          <w:w w:val="110"/>
        </w:rPr>
        <w:t> for</w:t>
      </w:r>
      <w:r>
        <w:rPr>
          <w:w w:val="110"/>
        </w:rPr>
        <w:t> sub- mission, which makes the process much easier for authors (of course, manuscripts need to be submitted in a format adhering to generally ac- cepted scientific standards).</w:t>
      </w:r>
    </w:p>
    <w:p>
      <w:pPr>
        <w:spacing w:line="426" w:lineRule="exact" w:before="117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481469</wp:posOffset>
                </wp:positionH>
                <wp:positionV relativeFrom="paragraph">
                  <wp:posOffset>179136</wp:posOffset>
                </wp:positionV>
                <wp:extent cx="45593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24896" from="37.910999pt,14.105231pt" to="73.784999pt,14.105231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0" w:id="9"/>
      <w:bookmarkEnd w:id="9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54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author.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Tel:</w:t>
      </w:r>
      <w:r>
        <w:rPr>
          <w:spacing w:val="10"/>
          <w:w w:val="110"/>
          <w:sz w:val="14"/>
        </w:rPr>
        <w:t> </w:t>
      </w:r>
      <w:r>
        <w:rPr>
          <w:rFonts w:ascii="STIX Math" w:hAnsi="STIX Math"/>
          <w:w w:val="110"/>
          <w:sz w:val="14"/>
        </w:rPr>
        <w:t>+</w:t>
      </w:r>
      <w:r>
        <w:rPr>
          <w:w w:val="110"/>
          <w:sz w:val="14"/>
        </w:rPr>
        <w:t>49-228-7369-100,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Fax:</w:t>
      </w:r>
      <w:r>
        <w:rPr>
          <w:spacing w:val="10"/>
          <w:w w:val="110"/>
          <w:sz w:val="14"/>
        </w:rPr>
        <w:t> </w:t>
      </w:r>
      <w:r>
        <w:rPr>
          <w:rFonts w:ascii="STIX Math" w:hAnsi="STIX Math"/>
          <w:w w:val="110"/>
          <w:sz w:val="14"/>
        </w:rPr>
        <w:t>+</w:t>
      </w:r>
      <w:r>
        <w:rPr>
          <w:w w:val="110"/>
          <w:sz w:val="14"/>
        </w:rPr>
        <w:t>49-228-7369-</w:t>
      </w:r>
      <w:r>
        <w:rPr>
          <w:spacing w:val="-5"/>
          <w:w w:val="110"/>
          <w:sz w:val="14"/>
        </w:rPr>
        <w:t>101</w:t>
      </w:r>
    </w:p>
    <w:p>
      <w:pPr>
        <w:spacing w:line="154" w:lineRule="exact" w:before="0"/>
        <w:ind w:left="357" w:right="0" w:firstLine="0"/>
        <w:jc w:val="left"/>
        <w:rPr>
          <w:sz w:val="14"/>
        </w:rPr>
      </w:pPr>
      <w:r>
        <w:rPr>
          <w:i/>
          <w:w w:val="105"/>
          <w:sz w:val="14"/>
        </w:rPr>
        <w:t>E-mail</w:t>
      </w:r>
      <w:r>
        <w:rPr>
          <w:i/>
          <w:spacing w:val="17"/>
          <w:w w:val="105"/>
          <w:sz w:val="14"/>
        </w:rPr>
        <w:t> </w:t>
      </w:r>
      <w:r>
        <w:rPr>
          <w:i/>
          <w:w w:val="105"/>
          <w:sz w:val="14"/>
        </w:rPr>
        <w:t>address:</w:t>
      </w:r>
      <w:r>
        <w:rPr>
          <w:i/>
          <w:spacing w:val="18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bajorath@bit.uni-</w:t>
        </w:r>
        <w:r>
          <w:rPr>
            <w:color w:val="0080AC"/>
            <w:spacing w:val="-2"/>
            <w:w w:val="105"/>
            <w:sz w:val="14"/>
          </w:rPr>
          <w:t>bonn.de</w:t>
        </w:r>
      </w:hyperlink>
    </w:p>
    <w:p>
      <w:pPr>
        <w:pStyle w:val="Heading1"/>
        <w:spacing w:before="91"/>
      </w:pPr>
      <w:r>
        <w:rPr>
          <w:b w:val="0"/>
        </w:rPr>
        <w:br w:type="column"/>
      </w:r>
      <w:r>
        <w:rPr>
          <w:w w:val="110"/>
        </w:rPr>
        <w:t>Themed</w:t>
      </w:r>
      <w:r>
        <w:rPr>
          <w:spacing w:val="-10"/>
          <w:w w:val="110"/>
        </w:rPr>
        <w:t> </w:t>
      </w:r>
      <w:r>
        <w:rPr>
          <w:w w:val="110"/>
        </w:rPr>
        <w:t>Article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Collections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In</w:t>
      </w:r>
      <w:r>
        <w:rPr>
          <w:w w:val="110"/>
        </w:rPr>
        <w:t> early</w:t>
      </w:r>
      <w:r>
        <w:rPr>
          <w:w w:val="110"/>
        </w:rPr>
        <w:t> 2022,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launch</w:t>
      </w:r>
      <w:r>
        <w:rPr>
          <w:w w:val="110"/>
        </w:rPr>
        <w:t> several</w:t>
      </w:r>
      <w:r>
        <w:rPr>
          <w:w w:val="110"/>
        </w:rPr>
        <w:t> </w:t>
      </w:r>
      <w:r>
        <w:rPr>
          <w:i/>
          <w:w w:val="110"/>
        </w:rPr>
        <w:t>Themed</w:t>
      </w:r>
      <w:r>
        <w:rPr>
          <w:i/>
          <w:w w:val="110"/>
        </w:rPr>
        <w:t> Article</w:t>
      </w:r>
      <w:r>
        <w:rPr>
          <w:i/>
          <w:w w:val="110"/>
        </w:rPr>
        <w:t> Collections</w:t>
      </w:r>
      <w:r>
        <w:rPr>
          <w:i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TACs</w:t>
      </w:r>
      <w:r>
        <w:rPr>
          <w:w w:val="110"/>
        </w:rPr>
        <w:t>),</w:t>
      </w:r>
      <w:r>
        <w:rPr>
          <w:w w:val="110"/>
        </w:rPr>
        <w:t> corresponding</w:t>
      </w:r>
      <w:r>
        <w:rPr>
          <w:w w:val="110"/>
        </w:rPr>
        <w:t> to</w:t>
      </w:r>
      <w:r>
        <w:rPr>
          <w:w w:val="110"/>
        </w:rPr>
        <w:t> special</w:t>
      </w:r>
      <w:r>
        <w:rPr>
          <w:w w:val="110"/>
        </w:rPr>
        <w:t> issues</w:t>
      </w:r>
      <w:r>
        <w:rPr>
          <w:w w:val="110"/>
        </w:rPr>
        <w:t> in</w:t>
      </w:r>
      <w:r>
        <w:rPr>
          <w:w w:val="110"/>
        </w:rPr>
        <w:t> other</w:t>
      </w:r>
      <w:r>
        <w:rPr>
          <w:w w:val="110"/>
        </w:rPr>
        <w:t> journals.</w:t>
      </w:r>
      <w:r>
        <w:rPr>
          <w:w w:val="110"/>
        </w:rPr>
        <w:t> These</w:t>
      </w:r>
      <w:r>
        <w:rPr>
          <w:w w:val="110"/>
        </w:rPr>
        <w:t> TACs focus</w:t>
      </w:r>
      <w:r>
        <w:rPr>
          <w:spacing w:val="-11"/>
          <w:w w:val="110"/>
        </w:rPr>
        <w:t> </w:t>
      </w:r>
      <w:r>
        <w:rPr>
          <w:w w:val="110"/>
        </w:rPr>
        <w:t>on,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>
          <w:w w:val="110"/>
        </w:rPr>
        <w:t>female</w:t>
      </w:r>
      <w:r>
        <w:rPr>
          <w:spacing w:val="-11"/>
          <w:w w:val="110"/>
        </w:rPr>
        <w:t> </w:t>
      </w:r>
      <w:r>
        <w:rPr>
          <w:w w:val="110"/>
        </w:rPr>
        <w:t>investigators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AI,</w:t>
      </w:r>
      <w:r>
        <w:rPr>
          <w:spacing w:val="-11"/>
          <w:w w:val="110"/>
        </w:rPr>
        <w:t> </w:t>
      </w:r>
      <w:r>
        <w:rPr>
          <w:w w:val="110"/>
        </w:rPr>
        <w:t>investigators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indus- trial settings, or AI investigators and their contributions from selected geographical</w:t>
      </w:r>
      <w:r>
        <w:rPr>
          <w:w w:val="110"/>
        </w:rPr>
        <w:t> regions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Latin</w:t>
      </w:r>
      <w:r>
        <w:rPr>
          <w:w w:val="110"/>
        </w:rPr>
        <w:t> America</w:t>
      </w:r>
      <w:r>
        <w:rPr>
          <w:w w:val="110"/>
        </w:rPr>
        <w:t> or</w:t>
      </w:r>
      <w:r>
        <w:rPr>
          <w:w w:val="110"/>
        </w:rPr>
        <w:t> Asia.</w:t>
      </w:r>
      <w:r>
        <w:rPr>
          <w:w w:val="110"/>
        </w:rPr>
        <w:t> These</w:t>
      </w:r>
      <w:r>
        <w:rPr>
          <w:w w:val="110"/>
        </w:rPr>
        <w:t> initiatives will be spearheaded by EB members, other guest editors, and the edi- tors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i/>
          <w:w w:val="110"/>
        </w:rPr>
        <w:t>AILSCI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hoped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newly</w:t>
      </w:r>
      <w:r>
        <w:rPr>
          <w:spacing w:val="-11"/>
          <w:w w:val="110"/>
        </w:rPr>
        <w:t> </w:t>
      </w:r>
      <w:r>
        <w:rPr>
          <w:w w:val="110"/>
        </w:rPr>
        <w:t>introduced</w:t>
      </w:r>
      <w:r>
        <w:rPr>
          <w:spacing w:val="-11"/>
          <w:w w:val="110"/>
        </w:rPr>
        <w:t> </w:t>
      </w:r>
      <w:r>
        <w:rPr>
          <w:i/>
          <w:w w:val="110"/>
        </w:rPr>
        <w:t>TACs</w:t>
      </w:r>
      <w:r>
        <w:rPr>
          <w:i/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spark</w:t>
      </w:r>
      <w:r>
        <w:rPr>
          <w:spacing w:val="-11"/>
          <w:w w:val="110"/>
        </w:rPr>
        <w:t> </w:t>
      </w:r>
      <w:r>
        <w:rPr>
          <w:w w:val="110"/>
        </w:rPr>
        <w:t>the interest of many prospective authors in AI R&amp;D with relevance to the life sciences.</w:t>
      </w:r>
    </w:p>
    <w:p>
      <w:pPr>
        <w:pStyle w:val="BodyText"/>
      </w:pPr>
    </w:p>
    <w:p>
      <w:pPr>
        <w:pStyle w:val="BodyText"/>
        <w:spacing w:before="150"/>
      </w:pPr>
    </w:p>
    <w:p>
      <w:pPr>
        <w:pStyle w:val="Heading1"/>
      </w:pPr>
      <w:r>
        <w:rPr>
          <w:w w:val="110"/>
        </w:rPr>
        <w:t>Reusable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Reviews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 w:before="1"/>
        <w:ind w:left="118" w:right="115" w:firstLine="239"/>
        <w:jc w:val="both"/>
      </w:pPr>
      <w:r>
        <w:rPr>
          <w:w w:val="110"/>
        </w:rPr>
        <w:t>As a part of </w:t>
      </w:r>
      <w:r>
        <w:rPr>
          <w:i/>
          <w:w w:val="110"/>
        </w:rPr>
        <w:t>AILSCI’s </w:t>
      </w:r>
      <w:r>
        <w:rPr>
          <w:w w:val="110"/>
        </w:rPr>
        <w:t>dedication to open science and a transparent scientific dialogue, beginning in 2022, we also offer the option to con- sider</w:t>
      </w:r>
      <w:r>
        <w:rPr>
          <w:spacing w:val="-6"/>
          <w:w w:val="110"/>
        </w:rPr>
        <w:t> </w:t>
      </w:r>
      <w:r>
        <w:rPr>
          <w:w w:val="110"/>
        </w:rPr>
        <w:t>reviews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reputable</w:t>
      </w:r>
      <w:r>
        <w:rPr>
          <w:spacing w:val="-6"/>
          <w:w w:val="110"/>
        </w:rPr>
        <w:t> </w:t>
      </w:r>
      <w:r>
        <w:rPr>
          <w:w w:val="110"/>
        </w:rPr>
        <w:t>journals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case-by-case</w:t>
      </w:r>
      <w:r>
        <w:rPr>
          <w:spacing w:val="-5"/>
          <w:w w:val="110"/>
        </w:rPr>
        <w:t> </w:t>
      </w:r>
      <w:r>
        <w:rPr>
          <w:w w:val="110"/>
        </w:rPr>
        <w:t>basis.</w:t>
      </w:r>
      <w:r>
        <w:rPr>
          <w:spacing w:val="-6"/>
          <w:w w:val="110"/>
        </w:rPr>
        <w:t> </w:t>
      </w:r>
      <w:r>
        <w:rPr>
          <w:w w:val="110"/>
        </w:rPr>
        <w:t>For example,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frequently</w:t>
      </w:r>
      <w:r>
        <w:rPr>
          <w:spacing w:val="-7"/>
          <w:w w:val="110"/>
        </w:rPr>
        <w:t> </w:t>
      </w:r>
      <w:r>
        <w:rPr>
          <w:w w:val="110"/>
        </w:rPr>
        <w:t>happens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scientifically</w:t>
      </w:r>
      <w:r>
        <w:rPr>
          <w:spacing w:val="-7"/>
          <w:w w:val="110"/>
        </w:rPr>
        <w:t> </w:t>
      </w:r>
      <w:r>
        <w:rPr>
          <w:w w:val="110"/>
        </w:rPr>
        <w:t>sound</w:t>
      </w:r>
      <w:r>
        <w:rPr>
          <w:spacing w:val="-7"/>
          <w:w w:val="110"/>
        </w:rPr>
        <w:t> </w:t>
      </w:r>
      <w:r>
        <w:rPr>
          <w:w w:val="110"/>
        </w:rPr>
        <w:t>manuscripts</w:t>
      </w:r>
      <w:r>
        <w:rPr>
          <w:spacing w:val="-7"/>
          <w:w w:val="110"/>
        </w:rPr>
        <w:t> </w:t>
      </w:r>
      <w:r>
        <w:rPr>
          <w:w w:val="110"/>
        </w:rPr>
        <w:t>are rejected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basis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reviews</w:t>
      </w:r>
      <w:r>
        <w:rPr>
          <w:spacing w:val="-3"/>
          <w:w w:val="110"/>
        </w:rPr>
        <w:t> </w:t>
      </w:r>
      <w:r>
        <w:rPr>
          <w:w w:val="110"/>
        </w:rPr>
        <w:t>questioning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novelty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work,</w:t>
      </w:r>
      <w:r>
        <w:rPr>
          <w:spacing w:val="-3"/>
          <w:w w:val="110"/>
        </w:rPr>
        <w:t> </w:t>
      </w:r>
      <w:r>
        <w:rPr>
          <w:w w:val="110"/>
        </w:rPr>
        <w:t>its general interest, or practical relevance. While such assessments are not unreasonable</w:t>
      </w:r>
      <w:r>
        <w:rPr>
          <w:spacing w:val="-11"/>
          <w:w w:val="110"/>
        </w:rPr>
        <w:t> </w:t>
      </w:r>
      <w:r>
        <w:rPr>
          <w:w w:val="110"/>
        </w:rPr>
        <w:t>per</w:t>
      </w:r>
      <w:r>
        <w:rPr>
          <w:spacing w:val="-11"/>
          <w:w w:val="110"/>
        </w:rPr>
        <w:t> </w:t>
      </w:r>
      <w:r>
        <w:rPr>
          <w:w w:val="110"/>
        </w:rPr>
        <w:t>se</w:t>
      </w:r>
      <w:r>
        <w:rPr>
          <w:spacing w:val="-11"/>
          <w:w w:val="110"/>
        </w:rPr>
        <w:t> </w:t>
      </w:r>
      <w:r>
        <w:rPr>
          <w:w w:val="110"/>
        </w:rPr>
        <w:t>–and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depend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journal’s</w:t>
      </w:r>
      <w:r>
        <w:rPr>
          <w:spacing w:val="-11"/>
          <w:w w:val="110"/>
        </w:rPr>
        <w:t> </w:t>
      </w:r>
      <w:r>
        <w:rPr>
          <w:w w:val="110"/>
        </w:rPr>
        <w:t>standards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publi- cation culture– for authors, this can be a frustrating experience. Hence, authors</w:t>
      </w:r>
      <w:r>
        <w:rPr>
          <w:w w:val="110"/>
        </w:rPr>
        <w:t> facing</w:t>
      </w:r>
      <w:r>
        <w:rPr>
          <w:w w:val="110"/>
        </w:rPr>
        <w:t> priority-based</w:t>
      </w:r>
      <w:r>
        <w:rPr>
          <w:w w:val="110"/>
        </w:rPr>
        <w:t> reviews</w:t>
      </w:r>
      <w:r>
        <w:rPr>
          <w:w w:val="110"/>
        </w:rPr>
        <w:t> and</w:t>
      </w:r>
      <w:r>
        <w:rPr>
          <w:w w:val="110"/>
        </w:rPr>
        <w:t> decisions</w:t>
      </w:r>
      <w:r>
        <w:rPr>
          <w:w w:val="110"/>
        </w:rPr>
        <w:t> by</w:t>
      </w:r>
      <w:r>
        <w:rPr>
          <w:w w:val="110"/>
        </w:rPr>
        <w:t> other</w:t>
      </w:r>
      <w:r>
        <w:rPr>
          <w:w w:val="110"/>
        </w:rPr>
        <w:t> journals are</w:t>
      </w:r>
      <w:r>
        <w:rPr>
          <w:spacing w:val="-4"/>
          <w:w w:val="110"/>
        </w:rPr>
        <w:t> </w:t>
      </w:r>
      <w:r>
        <w:rPr>
          <w:w w:val="110"/>
        </w:rPr>
        <w:t>invited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re-submit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manuscript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current</w:t>
      </w:r>
      <w:r>
        <w:rPr>
          <w:spacing w:val="-5"/>
          <w:w w:val="110"/>
        </w:rPr>
        <w:t> </w:t>
      </w:r>
      <w:r>
        <w:rPr>
          <w:w w:val="110"/>
        </w:rPr>
        <w:t>format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i/>
          <w:w w:val="110"/>
        </w:rPr>
        <w:t>AILSCI</w:t>
      </w:r>
      <w:r>
        <w:rPr>
          <w:i/>
          <w:w w:val="110"/>
        </w:rPr>
        <w:t> </w:t>
      </w:r>
      <w:r>
        <w:rPr>
          <w:w w:val="110"/>
        </w:rPr>
        <w:t>together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reviews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explanatory</w:t>
      </w:r>
      <w:r>
        <w:rPr>
          <w:spacing w:val="-7"/>
          <w:w w:val="110"/>
        </w:rPr>
        <w:t> </w:t>
      </w:r>
      <w:r>
        <w:rPr>
          <w:w w:val="110"/>
        </w:rPr>
        <w:t>cover</w:t>
      </w:r>
      <w:r>
        <w:rPr>
          <w:spacing w:val="-7"/>
          <w:w w:val="110"/>
        </w:rPr>
        <w:t> </w:t>
      </w:r>
      <w:r>
        <w:rPr>
          <w:w w:val="110"/>
        </w:rPr>
        <w:t>letter.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cases, the</w:t>
      </w:r>
      <w:r>
        <w:rPr>
          <w:spacing w:val="-3"/>
          <w:w w:val="110"/>
        </w:rPr>
        <w:t> </w:t>
      </w:r>
      <w:r>
        <w:rPr>
          <w:w w:val="110"/>
        </w:rPr>
        <w:t>editors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reserve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option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make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decision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submission based</w:t>
      </w:r>
      <w:r>
        <w:rPr>
          <w:w w:val="110"/>
        </w:rPr>
        <w:t> upon</w:t>
      </w:r>
      <w:r>
        <w:rPr>
          <w:w w:val="110"/>
        </w:rPr>
        <w:t> available</w:t>
      </w:r>
      <w:r>
        <w:rPr>
          <w:w w:val="110"/>
        </w:rPr>
        <w:t> reviews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their</w:t>
      </w:r>
      <w:r>
        <w:rPr>
          <w:w w:val="110"/>
        </w:rPr>
        <w:t> own</w:t>
      </w:r>
      <w:r>
        <w:rPr>
          <w:w w:val="110"/>
        </w:rPr>
        <w:t> assessment</w:t>
      </w:r>
      <w:r>
        <w:rPr>
          <w:w w:val="110"/>
        </w:rPr>
        <w:t> of</w:t>
      </w:r>
      <w:r>
        <w:rPr>
          <w:w w:val="110"/>
        </w:rPr>
        <w:t> the manuscript, without another round of peer review. Going forward, this option is termed “</w:t>
      </w:r>
      <w:r>
        <w:rPr>
          <w:i/>
          <w:w w:val="110"/>
        </w:rPr>
        <w:t>Reusable Reviews</w:t>
      </w:r>
      <w:r>
        <w:rPr>
          <w:w w:val="110"/>
        </w:rPr>
        <w:t>” and interested authors are invited to</w:t>
      </w:r>
      <w:r>
        <w:rPr>
          <w:spacing w:val="-4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beginning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year.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submission, external</w:t>
      </w:r>
      <w:r>
        <w:rPr>
          <w:w w:val="110"/>
        </w:rPr>
        <w:t> reviews</w:t>
      </w:r>
      <w:r>
        <w:rPr>
          <w:w w:val="110"/>
        </w:rPr>
        <w:t> accompanying</w:t>
      </w:r>
      <w:r>
        <w:rPr>
          <w:w w:val="110"/>
        </w:rPr>
        <w:t> a</w:t>
      </w:r>
      <w:r>
        <w:rPr>
          <w:w w:val="110"/>
        </w:rPr>
        <w:t> manuscript</w:t>
      </w:r>
      <w:r>
        <w:rPr>
          <w:w w:val="110"/>
        </w:rPr>
        <w:t> submitted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i/>
          <w:w w:val="110"/>
        </w:rPr>
        <w:t>AILSCI</w:t>
      </w:r>
      <w:r>
        <w:rPr>
          <w:i/>
          <w:w w:val="110"/>
        </w:rPr>
        <w:t> </w:t>
      </w:r>
      <w:r>
        <w:rPr>
          <w:w w:val="110"/>
        </w:rPr>
        <w:t>are subject to the confidentiality of the editorial process.</w:t>
      </w:r>
    </w:p>
    <w:p>
      <w:pPr>
        <w:pStyle w:val="BodyText"/>
      </w:pPr>
    </w:p>
    <w:p>
      <w:pPr>
        <w:pStyle w:val="BodyText"/>
        <w:spacing w:before="144"/>
      </w:pPr>
    </w:p>
    <w:p>
      <w:pPr>
        <w:pStyle w:val="Heading1"/>
        <w:spacing w:before="1"/>
      </w:pPr>
      <w:r>
        <w:rPr>
          <w:w w:val="110"/>
        </w:rPr>
        <w:t>Article</w:t>
      </w:r>
      <w:r>
        <w:rPr>
          <w:spacing w:val="-8"/>
          <w:w w:val="110"/>
        </w:rPr>
        <w:t> </w:t>
      </w:r>
      <w:r>
        <w:rPr>
          <w:w w:val="110"/>
        </w:rPr>
        <w:t>Processing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Charges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18" w:right="115" w:firstLine="239"/>
        <w:jc w:val="both"/>
      </w:pPr>
      <w:r>
        <w:rPr>
          <w:w w:val="105"/>
        </w:rPr>
        <w:t>Last but not least, it is also noted that there will be no Article Pro- cessing Charges (APCs) for </w:t>
      </w:r>
      <w:r>
        <w:rPr>
          <w:i/>
          <w:w w:val="105"/>
        </w:rPr>
        <w:t>AILSCI </w:t>
      </w:r>
      <w:r>
        <w:rPr>
          <w:w w:val="105"/>
        </w:rPr>
        <w:t>in 2022.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We wish to thank all contributors to Volume 1 of </w:t>
      </w:r>
      <w:r>
        <w:rPr>
          <w:i/>
          <w:w w:val="110"/>
        </w:rPr>
        <w:t>AILSCI </w:t>
      </w:r>
      <w:r>
        <w:rPr>
          <w:w w:val="110"/>
        </w:rPr>
        <w:t>and look forward to receiving many interesting submissions in 2022!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24"/>
        <w:rPr>
          <w:sz w:val="14"/>
        </w:rPr>
      </w:pPr>
    </w:p>
    <w:p>
      <w:pPr>
        <w:spacing w:line="285" w:lineRule="auto" w:before="0"/>
        <w:ind w:left="118" w:right="7043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15"/>
            <w:sz w:val="14"/>
          </w:rPr>
          <w:t>https://doi.org/10.1016/j.ailsci.2022.100030</w:t>
        </w:r>
      </w:hyperlink>
      <w:r>
        <w:rPr>
          <w:color w:val="0080AC"/>
          <w:spacing w:val="80"/>
          <w:w w:val="115"/>
          <w:sz w:val="14"/>
        </w:rPr>
        <w:t>  </w:t>
      </w:r>
      <w:r>
        <w:rPr>
          <w:w w:val="115"/>
          <w:sz w:val="14"/>
        </w:rPr>
        <w:t>Received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19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January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2022;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19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January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2022</w:t>
      </w:r>
    </w:p>
    <w:p>
      <w:pPr>
        <w:spacing w:line="160" w:lineRule="exact" w:before="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22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January</w:t>
      </w:r>
      <w:r>
        <w:rPr>
          <w:spacing w:val="14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30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2022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tabs>
          <w:tab w:pos="7376" w:val="left" w:leader="none"/>
        </w:tabs>
        <w:spacing w:before="88"/>
        <w:ind w:left="118" w:right="0" w:firstLine="0"/>
        <w:jc w:val="left"/>
        <w:rPr>
          <w:i/>
          <w:sz w:val="12"/>
        </w:rPr>
      </w:pPr>
      <w:bookmarkStart w:name="Declaration of interests" w:id="10"/>
      <w:bookmarkEnd w:id="10"/>
      <w:r>
        <w:rPr/>
      </w:r>
      <w:r>
        <w:rPr>
          <w:i/>
          <w:w w:val="110"/>
          <w:sz w:val="12"/>
        </w:rPr>
        <w:t>J.</w:t>
      </w:r>
      <w:r>
        <w:rPr>
          <w:i/>
          <w:spacing w:val="6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Bajorath</w:t>
      </w:r>
      <w:r>
        <w:rPr>
          <w:i/>
          <w:sz w:val="12"/>
        </w:rPr>
        <w:tab/>
      </w:r>
      <w:r>
        <w:rPr>
          <w:i/>
          <w:w w:val="110"/>
          <w:sz w:val="12"/>
        </w:rPr>
        <w:t>Artificial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Intelligence</w:t>
      </w:r>
      <w:r>
        <w:rPr>
          <w:i/>
          <w:spacing w:val="1"/>
          <w:w w:val="110"/>
          <w:sz w:val="12"/>
        </w:rPr>
        <w:t> </w:t>
      </w:r>
      <w:r>
        <w:rPr>
          <w:i/>
          <w:w w:val="110"/>
          <w:sz w:val="12"/>
        </w:rPr>
        <w:t>in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the</w:t>
      </w:r>
      <w:r>
        <w:rPr>
          <w:i/>
          <w:spacing w:val="1"/>
          <w:w w:val="110"/>
          <w:sz w:val="12"/>
        </w:rPr>
        <w:t> </w:t>
      </w:r>
      <w:r>
        <w:rPr>
          <w:i/>
          <w:w w:val="110"/>
          <w:sz w:val="12"/>
        </w:rPr>
        <w:t>Life Sciences 2 (2022) </w:t>
      </w:r>
      <w:r>
        <w:rPr>
          <w:i/>
          <w:spacing w:val="-2"/>
          <w:w w:val="110"/>
          <w:sz w:val="12"/>
        </w:rPr>
        <w:t>100030</w:t>
      </w:r>
    </w:p>
    <w:p>
      <w:pPr>
        <w:pStyle w:val="BodyText"/>
        <w:spacing w:before="126"/>
        <w:rPr>
          <w:i/>
          <w:sz w:val="12"/>
        </w:rPr>
      </w:pPr>
    </w:p>
    <w:p>
      <w:pPr>
        <w:pStyle w:val="Heading1"/>
      </w:pPr>
      <w:r>
        <w:rPr>
          <w:w w:val="110"/>
        </w:rPr>
        <w:t>Declaration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interests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18" w:right="5497" w:firstLine="23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author</w:t>
      </w:r>
      <w:r>
        <w:rPr>
          <w:spacing w:val="-5"/>
          <w:w w:val="110"/>
        </w:rPr>
        <w:t> </w:t>
      </w:r>
      <w:r>
        <w:rPr>
          <w:w w:val="110"/>
        </w:rPr>
        <w:t>declares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he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known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5"/>
          <w:w w:val="110"/>
        </w:rPr>
        <w:t> </w:t>
      </w:r>
      <w:r>
        <w:rPr>
          <w:w w:val="110"/>
        </w:rPr>
        <w:t>financial</w:t>
      </w:r>
      <w:r>
        <w:rPr>
          <w:spacing w:val="-6"/>
          <w:w w:val="110"/>
        </w:rPr>
        <w:t> </w:t>
      </w:r>
      <w:r>
        <w:rPr>
          <w:w w:val="110"/>
        </w:rPr>
        <w:t>inter- ests or personal relationships that could have appeared to influence the work reported in this paper.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1"/>
        <w:ind w:left="0" w:right="5" w:firstLine="0"/>
        <w:jc w:val="center"/>
        <w:rPr>
          <w:sz w:val="12"/>
        </w:rPr>
      </w:pPr>
      <w:r>
        <w:rPr>
          <w:spacing w:val="-10"/>
          <w:w w:val="120"/>
          <w:sz w:val="12"/>
        </w:rPr>
        <w:t>2</w:t>
      </w:r>
    </w:p>
    <w:sectPr>
      <w:pgSz w:w="11910" w:h="15880"/>
      <w:pgMar w:top="62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2.100030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bajorath@bit.uni-bonn.de" TargetMode="External"/><Relationship Id="rId12" Type="http://schemas.openxmlformats.org/officeDocument/2006/relationships/hyperlink" Target="http://creativecommons.org/licenses/by-nc-nd/4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J&amp;#x00FC;rgen Bajorath</dc:creator>
  <dc:subject>Artificial Intelligence in the Life Sciences, 2 (2022) 100030. doi:10.1016/j.ailsci.2022.100030</dc:subject>
  <dc:title>AI in Life Science Research - The Road Ahead</dc:title>
  <dcterms:created xsi:type="dcterms:W3CDTF">2023-11-25T02:48:07Z</dcterms:created>
  <dcterms:modified xsi:type="dcterms:W3CDTF">2023-11-25T02:48:07Z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2022-01-28T00:00:00Z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10.1016/j.ailsci.2022.100030</vt:lpwstr>
  </property>
  <property fmtid="{D5CDD505-2E9C-101B-9397-08002B2CF9AE}" pid="14" name="robots">
    <vt:lpwstr>noindex</vt:lpwstr>
  </property>
</Properties>
</file>