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0"/>
        <w:ind w:left="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484555</wp:posOffset>
                </wp:positionH>
                <wp:positionV relativeFrom="paragraph">
                  <wp:posOffset>303980</wp:posOffset>
                </wp:positionV>
                <wp:extent cx="5687695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68769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87695" h="3810">
                              <a:moveTo>
                                <a:pt x="568727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5687275" y="3600"/>
                              </a:lnTo>
                              <a:lnTo>
                                <a:pt x="568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3.93549pt;width:447.817pt;height:.28351pt;mso-position-horizontal-relative:page;mso-position-vertical-relative:paragraph;z-index:15729664" id="docshape1" filled="true" fillcolor="#231f2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6360477</wp:posOffset>
            </wp:positionH>
            <wp:positionV relativeFrom="paragraph">
              <wp:posOffset>304711</wp:posOffset>
            </wp:positionV>
            <wp:extent cx="712579" cy="899159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579" cy="899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527609</wp:posOffset>
            </wp:positionH>
            <wp:positionV relativeFrom="paragraph">
              <wp:posOffset>579242</wp:posOffset>
            </wp:positionV>
            <wp:extent cx="682914" cy="487679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914" cy="487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1420558</wp:posOffset>
                </wp:positionH>
                <wp:positionV relativeFrom="paragraph">
                  <wp:posOffset>384619</wp:posOffset>
                </wp:positionV>
                <wp:extent cx="4756150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56150" cy="828040"/>
                        </a:xfrm>
                        <a:prstGeom prst="rect">
                          <a:avLst/>
                        </a:prstGeom>
                        <a:solidFill>
                          <a:srgbClr val="E6E7E8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2E3092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5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231F20"/>
                                <w:sz w:val="28"/>
                              </w:rPr>
                              <w:t>Arti</w:t>
                            </w:r>
                            <w:r>
                              <w:rPr>
                                <w:rFonts w:ascii="Times New Roman"/>
                                <w:color w:val="231F20"/>
                                <w:sz w:val="28"/>
                              </w:rPr>
                              <w:t>fi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cial</w:t>
                            </w:r>
                            <w:r>
                              <w:rPr>
                                <w:color w:val="231F20"/>
                                <w:spacing w:val="-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231F20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"/>
                                <w:sz w:val="28"/>
                              </w:rPr>
                              <w:t>Agriculture</w:t>
                            </w:r>
                          </w:p>
                          <w:p>
                            <w:pPr>
                              <w:pStyle w:val="BodyText"/>
                              <w:spacing w:line="285" w:lineRule="auto" w:before="131"/>
                              <w:ind w:left="450" w:right="42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16"/>
                                <w:w w:val="105"/>
                              </w:rPr>
                              <w:t>journal homepage: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8"/>
                                  <w:w w:val="105"/>
                                </w:rPr>
                                <w:t>http://www.keaipublishing.com/en/journa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15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ls/artificial- </w:t>
                              </w:r>
                            </w:hyperlink>
                            <w:hyperlink r:id="rId8"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intelligence-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-27"/>
                                  <w:w w:val="105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9"/>
                                  <w:w w:val="105"/>
                                </w:rPr>
                                <w:t>in-</w:t>
                              </w:r>
                              <w:r>
                                <w:rPr>
                                  <w:rFonts w:ascii="Arial"/>
                                  <w:color w:val="2E3092"/>
                                  <w:spacing w:val="17"/>
                                  <w:w w:val="105"/>
                                </w:rPr>
                                <w:t>agriculture/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855003pt;margin-top:30.285pt;width:374.5pt;height:65.2pt;mso-position-horizontal-relative:page;mso-position-vertical-relative:paragraph;z-index:15731200" type="#_x0000_t202" id="docshape2" filled="true" fillcolor="#e6e7e8" stroked="false"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</w:rPr>
                        <w:t>Contents</w:t>
                      </w:r>
                      <w:r>
                        <w:rPr>
                          <w:rFonts w:ascii="Arial"/>
                          <w:color w:val="231F20"/>
                          <w:spacing w:val="-5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lists</w:t>
                      </w:r>
                      <w:r>
                        <w:rPr>
                          <w:rFonts w:ascii="Arial"/>
                          <w:color w:val="231F20"/>
                          <w:spacing w:val="-4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available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</w:rPr>
                        <w:t>at</w:t>
                      </w:r>
                      <w:r>
                        <w:rPr>
                          <w:rFonts w:ascii="Arial"/>
                          <w:color w:val="231F20"/>
                          <w:spacing w:val="-6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2E3092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5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231F20"/>
                          <w:sz w:val="28"/>
                        </w:rPr>
                        <w:t>Arti</w:t>
                      </w:r>
                      <w:r>
                        <w:rPr>
                          <w:rFonts w:ascii="Times New Roman"/>
                          <w:color w:val="231F20"/>
                          <w:sz w:val="28"/>
                        </w:rPr>
                        <w:t>fi</w:t>
                      </w:r>
                      <w:r>
                        <w:rPr>
                          <w:color w:val="231F20"/>
                          <w:sz w:val="28"/>
                        </w:rPr>
                        <w:t>cial</w:t>
                      </w:r>
                      <w:r>
                        <w:rPr>
                          <w:color w:val="231F20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Intelligence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z w:val="28"/>
                        </w:rPr>
                        <w:t>in</w:t>
                      </w:r>
                      <w:r>
                        <w:rPr>
                          <w:color w:val="231F20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color w:val="231F20"/>
                          <w:spacing w:val="-2"/>
                          <w:sz w:val="28"/>
                        </w:rPr>
                        <w:t>Agriculture</w:t>
                      </w:r>
                    </w:p>
                    <w:p>
                      <w:pPr>
                        <w:pStyle w:val="BodyText"/>
                        <w:spacing w:line="285" w:lineRule="auto" w:before="131"/>
                        <w:ind w:left="450" w:right="42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231F20"/>
                          <w:spacing w:val="16"/>
                          <w:w w:val="105"/>
                        </w:rPr>
                        <w:t>journal homepage: </w:t>
                      </w:r>
                      <w:hyperlink r:id="rId8">
                        <w:r>
                          <w:rPr>
                            <w:rFonts w:ascii="Arial"/>
                            <w:color w:val="2E3092"/>
                            <w:spacing w:val="18"/>
                            <w:w w:val="105"/>
                          </w:rPr>
                          <w:t>http://www.keaipublishing.com/en/journa</w:t>
                        </w:r>
                        <w:r>
                          <w:rPr>
                            <w:rFonts w:ascii="Arial"/>
                            <w:color w:val="2E3092"/>
                            <w:spacing w:val="-15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ls/artificial- </w:t>
                        </w:r>
                      </w:hyperlink>
                      <w:hyperlink r:id="rId8"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intelligence-</w:t>
                        </w:r>
                        <w:r>
                          <w:rPr>
                            <w:rFonts w:ascii="Arial"/>
                            <w:color w:val="2E3092"/>
                            <w:spacing w:val="-27"/>
                            <w:w w:val="105"/>
                          </w:rPr>
                          <w:t> </w:t>
                        </w:r>
                        <w:r>
                          <w:rPr>
                            <w:rFonts w:ascii="Arial"/>
                            <w:color w:val="2E3092"/>
                            <w:spacing w:val="19"/>
                            <w:w w:val="105"/>
                          </w:rPr>
                          <w:t>in-</w:t>
                        </w:r>
                        <w:r>
                          <w:rPr>
                            <w:rFonts w:ascii="Arial"/>
                            <w:color w:val="2E3092"/>
                            <w:spacing w:val="17"/>
                            <w:w w:val="105"/>
                          </w:rPr>
                          <w:t>agriculture/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Erratum regarding missing Declaration of" w:id="1"/>
      <w:bookmarkEnd w:id="1"/>
      <w:r>
        <w:rPr/>
      </w:r>
      <w:r>
        <w:rPr>
          <w:color w:val="2E3092"/>
          <w:spacing w:val="-2"/>
          <w:w w:val="110"/>
          <w:sz w:val="12"/>
        </w:rPr>
        <w:t>Arti</w:t>
      </w:r>
      <w:r>
        <w:rPr>
          <w:rFonts w:ascii="Times New Roman"/>
          <w:color w:val="2E3092"/>
          <w:spacing w:val="-2"/>
          <w:w w:val="110"/>
          <w:sz w:val="12"/>
        </w:rPr>
        <w:t>fi</w:t>
      </w:r>
      <w:r>
        <w:rPr>
          <w:color w:val="2E3092"/>
          <w:spacing w:val="-2"/>
          <w:w w:val="110"/>
          <w:sz w:val="12"/>
        </w:rPr>
        <w:t>cial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2"/>
          <w:w w:val="110"/>
          <w:sz w:val="12"/>
        </w:rPr>
        <w:t>Intelligence in Agriculture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2"/>
          <w:w w:val="110"/>
          <w:sz w:val="12"/>
        </w:rPr>
        <w:t>5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2"/>
          <w:w w:val="110"/>
          <w:sz w:val="12"/>
        </w:rPr>
        <w:t>(2021)</w:t>
      </w:r>
      <w:r>
        <w:rPr>
          <w:color w:val="2E3092"/>
          <w:spacing w:val="-1"/>
          <w:w w:val="110"/>
          <w:sz w:val="12"/>
        </w:rPr>
        <w:t> </w:t>
      </w:r>
      <w:r>
        <w:rPr>
          <w:color w:val="2E3092"/>
          <w:spacing w:val="-5"/>
          <w:w w:val="110"/>
          <w:sz w:val="12"/>
        </w:rPr>
        <w:t>304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484555</wp:posOffset>
                </wp:positionH>
                <wp:positionV relativeFrom="paragraph">
                  <wp:posOffset>281742</wp:posOffset>
                </wp:positionV>
                <wp:extent cx="65919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5919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934" h="38735">
                              <a:moveTo>
                                <a:pt x="6591604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591604" y="38159"/>
                              </a:lnTo>
                              <a:lnTo>
                                <a:pt x="65916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.153999pt;margin-top:22.184479pt;width:519.024pt;height:3.0047pt;mso-position-horizontal-relative:page;mso-position-vertical-relative:paragraph;z-index:-15728640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2"/>
        <w:rPr>
          <w:sz w:val="12"/>
        </w:rPr>
      </w:pPr>
    </w:p>
    <w:p>
      <w:pPr>
        <w:spacing w:line="268" w:lineRule="auto" w:before="0"/>
        <w:ind w:left="123" w:right="1620" w:hanging="15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6363360</wp:posOffset>
            </wp:positionH>
            <wp:positionV relativeFrom="paragraph">
              <wp:posOffset>16261</wp:posOffset>
            </wp:positionV>
            <wp:extent cx="359994" cy="359994"/>
            <wp:effectExtent l="0" t="0" r="0" b="0"/>
            <wp:wrapNone/>
            <wp:docPr id="6" name="Image 6">
              <a:hlinkClick r:id="rId9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z w:val="27"/>
        </w:rPr>
        <w:t>Erratum</w:t>
      </w:r>
      <w:r>
        <w:rPr>
          <w:color w:val="231F20"/>
          <w:spacing w:val="-7"/>
          <w:sz w:val="27"/>
        </w:rPr>
        <w:t> </w:t>
      </w:r>
      <w:r>
        <w:rPr>
          <w:color w:val="231F20"/>
          <w:sz w:val="27"/>
        </w:rPr>
        <w:t>regarding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missing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Declaration</w:t>
      </w:r>
      <w:r>
        <w:rPr>
          <w:color w:val="231F20"/>
          <w:spacing w:val="-10"/>
          <w:sz w:val="27"/>
        </w:rPr>
        <w:t> </w:t>
      </w:r>
      <w:r>
        <w:rPr>
          <w:color w:val="231F20"/>
          <w:sz w:val="27"/>
        </w:rPr>
        <w:t>of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Competing</w:t>
      </w:r>
      <w:r>
        <w:rPr>
          <w:color w:val="231F20"/>
          <w:spacing w:val="-7"/>
          <w:sz w:val="27"/>
        </w:rPr>
        <w:t> </w:t>
      </w:r>
      <w:r>
        <w:rPr>
          <w:color w:val="231F20"/>
          <w:sz w:val="27"/>
        </w:rPr>
        <w:t>Interest</w:t>
      </w:r>
      <w:r>
        <w:rPr>
          <w:color w:val="231F20"/>
          <w:spacing w:val="-9"/>
          <w:sz w:val="27"/>
        </w:rPr>
        <w:t> </w:t>
      </w:r>
      <w:r>
        <w:rPr>
          <w:color w:val="231F20"/>
          <w:sz w:val="27"/>
        </w:rPr>
        <w:t>statements in previously published articles</w:t>
      </w:r>
    </w:p>
    <w:p>
      <w:pPr>
        <w:pStyle w:val="BodyText"/>
        <w:spacing w:before="174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40" w:bottom="280" w:left="640" w:right="640"/>
        </w:sectPr>
      </w:pPr>
    </w:p>
    <w:p>
      <w:pPr>
        <w:pStyle w:val="BodyText"/>
        <w:spacing w:line="276" w:lineRule="auto" w:before="110"/>
        <w:ind w:left="123" w:right="38" w:firstLine="238"/>
        <w:jc w:val="both"/>
      </w:pPr>
      <w:r>
        <w:rPr>
          <w:color w:val="231F20"/>
        </w:rPr>
        <w:t>Declaration of Competing Interest statements were not included in</w:t>
      </w:r>
      <w:r>
        <w:rPr>
          <w:color w:val="231F20"/>
          <w:spacing w:val="40"/>
        </w:rPr>
        <w:t> </w:t>
      </w:r>
      <w:r>
        <w:rPr>
          <w:color w:val="231F20"/>
        </w:rPr>
        <w:t>published</w:t>
      </w:r>
      <w:r>
        <w:rPr>
          <w:color w:val="231F20"/>
          <w:spacing w:val="-1"/>
        </w:rPr>
        <w:t> </w:t>
      </w:r>
      <w:r>
        <w:rPr>
          <w:color w:val="231F20"/>
        </w:rPr>
        <w:t>version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articles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appeared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previous</w:t>
      </w:r>
      <w:r>
        <w:rPr>
          <w:color w:val="231F20"/>
          <w:spacing w:val="-1"/>
        </w:rPr>
        <w:t> </w:t>
      </w:r>
      <w:r>
        <w:rPr>
          <w:color w:val="231F20"/>
        </w:rPr>
        <w:t>is-</w:t>
      </w:r>
      <w:r>
        <w:rPr>
          <w:color w:val="231F20"/>
          <w:spacing w:val="40"/>
        </w:rPr>
        <w:t> </w:t>
      </w:r>
      <w:r>
        <w:rPr>
          <w:color w:val="231F20"/>
        </w:rPr>
        <w:t>sues of Arti</w:t>
      </w:r>
      <w:r>
        <w:rPr>
          <w:rFonts w:ascii="Times New Roman"/>
          <w:color w:val="231F20"/>
        </w:rPr>
        <w:t>fi</w:t>
      </w:r>
      <w:r>
        <w:rPr>
          <w:color w:val="231F20"/>
        </w:rPr>
        <w:t>cial Intelligence in Agriculture. Hence, the authors of the</w:t>
      </w:r>
      <w:r>
        <w:rPr>
          <w:color w:val="231F20"/>
          <w:spacing w:val="40"/>
        </w:rPr>
        <w:t> </w:t>
      </w:r>
      <w:r>
        <w:rPr>
          <w:color w:val="231F20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articles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contacted</w:t>
      </w:r>
      <w:r>
        <w:rPr>
          <w:color w:val="231F20"/>
          <w:spacing w:val="-2"/>
        </w:rPr>
        <w:t> </w:t>
      </w:r>
      <w:r>
        <w:rPr>
          <w:color w:val="231F20"/>
        </w:rPr>
        <w:t>after</w:t>
      </w:r>
      <w:r>
        <w:rPr>
          <w:color w:val="231F20"/>
          <w:spacing w:val="-3"/>
        </w:rPr>
        <w:t> </w:t>
      </w:r>
      <w:r>
        <w:rPr>
          <w:color w:val="231F20"/>
        </w:rPr>
        <w:t>publication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request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Declaration</w:t>
      </w:r>
      <w:r>
        <w:rPr>
          <w:color w:val="231F20"/>
          <w:spacing w:val="40"/>
        </w:rPr>
        <w:t> </w:t>
      </w:r>
      <w:r>
        <w:rPr>
          <w:color w:val="231F20"/>
        </w:rPr>
        <w:t>of Interest statement: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1" w:val="left" w:leader="none"/>
        </w:tabs>
        <w:spacing w:line="256" w:lineRule="auto" w:before="88" w:after="0"/>
        <w:ind w:left="421" w:right="40" w:hanging="210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Study on body temperature detection of pig based on infrared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technology: A review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0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 Intelligence in Agriculture, 2019;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1: 14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26] </w:t>
      </w:r>
      <w:r>
        <w:rPr>
          <w:color w:val="2E3092"/>
          <w:sz w:val="16"/>
        </w:rPr>
        <w:t>https://10.1016/j.aiia.2019.02.002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56" w:lineRule="auto" w:before="0" w:after="0"/>
        <w:ind w:left="414" w:right="40" w:hanging="203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Comparison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two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data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fusion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methods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localization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wheeled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robot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farm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conditions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Agricul-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ture, 2019; 1: 48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55] </w:t>
      </w:r>
      <w:r>
        <w:rPr>
          <w:color w:val="2E3092"/>
          <w:sz w:val="16"/>
        </w:rPr>
        <w:t>https://10.1016/j.aiia.2019.05.002</w:t>
      </w:r>
    </w:p>
    <w:p>
      <w:pPr>
        <w:pStyle w:val="ListParagraph"/>
        <w:numPr>
          <w:ilvl w:val="0"/>
          <w:numId w:val="1"/>
        </w:numPr>
        <w:tabs>
          <w:tab w:pos="414" w:val="left" w:leader="none"/>
        </w:tabs>
        <w:spacing w:line="261" w:lineRule="auto" w:before="0" w:after="0"/>
        <w:ind w:left="414" w:right="38" w:hanging="203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 protocol of 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eld-based phenotyping procedure for no-till wheat</w:t>
      </w:r>
      <w:r>
        <w:rPr>
          <w:color w:val="231F20"/>
          <w:spacing w:val="40"/>
          <w:sz w:val="16"/>
        </w:rPr>
        <w:t> </w:t>
      </w:r>
      <w:r>
        <w:rPr>
          <w:color w:val="231F20"/>
          <w:spacing w:val="-2"/>
          <w:sz w:val="16"/>
        </w:rPr>
        <w:t>root system architecture based on data-driven model-assist</w:t>
      </w:r>
      <w:r>
        <w:rPr>
          <w:rFonts w:ascii="Verdana" w:hAnsi="Verdana"/>
          <w:color w:val="231F20"/>
          <w:spacing w:val="-2"/>
          <w:sz w:val="16"/>
        </w:rPr>
        <w:t>”</w:t>
      </w:r>
      <w:r>
        <w:rPr>
          <w:rFonts w:ascii="Verdana" w:hAnsi="Verdana"/>
          <w:color w:val="231F20"/>
          <w:spacing w:val="-13"/>
          <w:sz w:val="16"/>
        </w:rPr>
        <w:t> </w:t>
      </w:r>
      <w:r>
        <w:rPr>
          <w:color w:val="231F20"/>
          <w:spacing w:val="-2"/>
          <w:sz w:val="16"/>
        </w:rPr>
        <w:t>[Arti</w:t>
      </w:r>
      <w:r>
        <w:rPr>
          <w:rFonts w:ascii="Times New Roman" w:hAnsi="Times New Roman"/>
          <w:color w:val="231F20"/>
          <w:spacing w:val="-2"/>
          <w:sz w:val="16"/>
        </w:rPr>
        <w:t>fi</w:t>
      </w:r>
      <w:r>
        <w:rPr>
          <w:color w:val="231F20"/>
          <w:spacing w:val="-2"/>
          <w:sz w:val="16"/>
        </w:rPr>
        <w:t>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cial Intelligence in Agriculture, 2019; 3: 33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41] </w:t>
      </w:r>
      <w:r>
        <w:rPr>
          <w:color w:val="2E3092"/>
          <w:sz w:val="16"/>
        </w:rPr>
        <w:t>https://10.1016/j.</w:t>
      </w:r>
      <w:r>
        <w:rPr>
          <w:color w:val="2E3092"/>
          <w:spacing w:val="40"/>
          <w:sz w:val="16"/>
        </w:rPr>
        <w:t> </w:t>
      </w:r>
      <w:r>
        <w:rPr>
          <w:color w:val="2E3092"/>
          <w:spacing w:val="-2"/>
          <w:sz w:val="16"/>
        </w:rPr>
        <w:t>aiia.2019.10.002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7" w:val="left" w:leader="none"/>
        </w:tabs>
        <w:spacing w:line="256" w:lineRule="auto" w:before="0" w:after="0"/>
        <w:ind w:left="417" w:right="38" w:hanging="207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Recent advances in emerging techniques for non-destructive de-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tection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seed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viability: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review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Agricul-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ture, 2019; 1: 35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47] </w:t>
      </w:r>
      <w:r>
        <w:rPr>
          <w:color w:val="2E3092"/>
          <w:sz w:val="16"/>
        </w:rPr>
        <w:t>https://10.1016/j.aiia.2019.05.001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  <w:tab w:pos="415" w:val="left" w:leader="none"/>
        </w:tabs>
        <w:spacing w:line="264" w:lineRule="auto" w:before="0" w:after="0"/>
        <w:ind w:left="415" w:right="39" w:hanging="205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Agri-BIGDATA: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smart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pathway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crop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nitrogen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inputs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4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cial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Agriculture,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2020;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4: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150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152]</w:t>
      </w:r>
      <w:r>
        <w:rPr>
          <w:color w:val="231F20"/>
          <w:spacing w:val="-5"/>
          <w:sz w:val="16"/>
        </w:rPr>
        <w:t> </w:t>
      </w:r>
      <w:r>
        <w:rPr>
          <w:color w:val="2E3092"/>
          <w:sz w:val="16"/>
        </w:rPr>
        <w:t>https://10.1016/</w:t>
      </w:r>
      <w:r>
        <w:rPr>
          <w:color w:val="2E3092"/>
          <w:spacing w:val="40"/>
          <w:sz w:val="16"/>
        </w:rPr>
        <w:t> </w:t>
      </w:r>
      <w:r>
        <w:rPr>
          <w:color w:val="2E3092"/>
          <w:spacing w:val="-2"/>
          <w:sz w:val="16"/>
        </w:rPr>
        <w:t>j.aiia.2020.08.001</w:t>
      </w:r>
    </w:p>
    <w:p>
      <w:pPr>
        <w:pStyle w:val="ListParagraph"/>
        <w:numPr>
          <w:ilvl w:val="0"/>
          <w:numId w:val="1"/>
        </w:numPr>
        <w:tabs>
          <w:tab w:pos="415" w:val="left" w:leader="none"/>
          <w:tab w:pos="417" w:val="left" w:leader="none"/>
        </w:tabs>
        <w:spacing w:line="266" w:lineRule="auto" w:before="96" w:after="0"/>
        <w:ind w:left="417" w:right="120" w:hanging="206"/>
        <w:jc w:val="both"/>
        <w:rPr>
          <w:sz w:val="16"/>
        </w:rPr>
      </w:pPr>
      <w:r>
        <w:rPr/>
        <w:br w:type="column"/>
      </w: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Modeling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optimization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Terminalia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catappa</w:t>
      </w:r>
      <w:r>
        <w:rPr>
          <w:i/>
          <w:color w:val="231F20"/>
          <w:spacing w:val="-9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kernel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oil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ex-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traction using response surface methodology and 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 neural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network</w:t>
      </w:r>
      <w:r>
        <w:rPr>
          <w:rFonts w:ascii="Verdana" w:hAnsi="Verdana"/>
          <w:color w:val="231F20"/>
          <w:sz w:val="16"/>
        </w:rPr>
        <w:t>”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 Intelligence in Agriculture, 2020; 4: 1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11]</w:t>
      </w:r>
      <w:r>
        <w:rPr>
          <w:color w:val="231F20"/>
          <w:spacing w:val="40"/>
          <w:sz w:val="16"/>
        </w:rPr>
        <w:t> </w:t>
      </w:r>
      <w:r>
        <w:rPr>
          <w:color w:val="2E3092"/>
          <w:spacing w:val="-2"/>
          <w:sz w:val="16"/>
        </w:rPr>
        <w:t>https://10.1016/j.aiia.2020.01.001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  <w:tab w:pos="415" w:val="left" w:leader="none"/>
        </w:tabs>
        <w:spacing w:line="266" w:lineRule="auto" w:before="0" w:after="0"/>
        <w:ind w:left="415" w:right="117" w:hanging="203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Reliable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execution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of a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robust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soft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computing workplace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found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neuro-fuzzy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inference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systems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coupled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multiple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non-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linear equations for exhaustive perception of tractor-implement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performance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plowing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process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in Agricul-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ture, 2019; 2: 38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84] </w:t>
      </w:r>
      <w:r>
        <w:rPr>
          <w:color w:val="2E3092"/>
          <w:sz w:val="16"/>
        </w:rPr>
        <w:t>https://10.1016/j.aiia.2019.06.003</w:t>
      </w:r>
    </w:p>
    <w:p>
      <w:pPr>
        <w:pStyle w:val="ListParagraph"/>
        <w:numPr>
          <w:ilvl w:val="0"/>
          <w:numId w:val="1"/>
        </w:numPr>
        <w:tabs>
          <w:tab w:pos="413" w:val="left" w:leader="none"/>
          <w:tab w:pos="415" w:val="left" w:leader="none"/>
        </w:tabs>
        <w:spacing w:line="256" w:lineRule="auto" w:before="0" w:after="0"/>
        <w:ind w:left="415" w:right="118" w:hanging="203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Recent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advances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Raman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technology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applications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agricul-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ture,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food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biosystems: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review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Intelligence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Agri-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culture, 2019; 3: 1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10] </w:t>
      </w:r>
      <w:r>
        <w:rPr>
          <w:color w:val="2E3092"/>
          <w:sz w:val="16"/>
        </w:rPr>
        <w:t>https://10.1016/j.aiia.2019.11.001</w:t>
      </w:r>
    </w:p>
    <w:p>
      <w:pPr>
        <w:pStyle w:val="ListParagraph"/>
        <w:numPr>
          <w:ilvl w:val="0"/>
          <w:numId w:val="1"/>
        </w:numPr>
        <w:tabs>
          <w:tab w:pos="419" w:val="left" w:leader="none"/>
          <w:tab w:pos="421" w:val="left" w:leader="none"/>
        </w:tabs>
        <w:spacing w:line="256" w:lineRule="auto" w:before="0" w:after="0"/>
        <w:ind w:left="421" w:right="119" w:hanging="209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Seedling-lump integrated non-destructive monitoring for auto-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matic transplanting with Intel RealSense depth camera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5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Intelligence in Agriculture, 2019; 3: 18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32] </w:t>
      </w:r>
      <w:r>
        <w:rPr>
          <w:color w:val="2E3092"/>
          <w:sz w:val="16"/>
        </w:rPr>
        <w:t>https://10.1016/j.aiia.</w:t>
      </w:r>
    </w:p>
    <w:p>
      <w:pPr>
        <w:pStyle w:val="BodyText"/>
        <w:ind w:left="421"/>
      </w:pPr>
      <w:r>
        <w:rPr>
          <w:color w:val="2E3092"/>
          <w:spacing w:val="-2"/>
        </w:rPr>
        <w:t>2019.09.001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6" w:lineRule="auto" w:before="11" w:after="0"/>
        <w:ind w:left="420" w:right="119" w:hanging="298"/>
        <w:jc w:val="both"/>
        <w:rPr>
          <w:sz w:val="16"/>
        </w:rPr>
      </w:pPr>
      <w:r>
        <w:rPr>
          <w:rFonts w:ascii="Verdana" w:hAnsi="Verdana"/>
          <w:color w:val="231F20"/>
          <w:sz w:val="16"/>
        </w:rPr>
        <w:t>“</w:t>
      </w:r>
      <w:r>
        <w:rPr>
          <w:color w:val="231F20"/>
          <w:sz w:val="16"/>
        </w:rPr>
        <w:t>Improvement of energy ef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ciency and environmental impacts of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rainbow trout in Iran</w:t>
      </w:r>
      <w:r>
        <w:rPr>
          <w:rFonts w:ascii="Verdana" w:hAnsi="Verdana"/>
          <w:color w:val="231F20"/>
          <w:sz w:val="16"/>
        </w:rPr>
        <w:t>”</w:t>
      </w:r>
      <w:r>
        <w:rPr>
          <w:rFonts w:ascii="Verdana" w:hAnsi="Verdana"/>
          <w:color w:val="231F20"/>
          <w:spacing w:val="-13"/>
          <w:sz w:val="16"/>
        </w:rPr>
        <w:t> </w:t>
      </w:r>
      <w:r>
        <w:rPr>
          <w:color w:val="231F20"/>
          <w:sz w:val="16"/>
        </w:rPr>
        <w:t>[Arti</w:t>
      </w:r>
      <w:r>
        <w:rPr>
          <w:rFonts w:ascii="Times New Roman" w:hAnsi="Times New Roman"/>
          <w:color w:val="231F20"/>
          <w:sz w:val="16"/>
        </w:rPr>
        <w:t>fi</w:t>
      </w:r>
      <w:r>
        <w:rPr>
          <w:color w:val="231F20"/>
          <w:sz w:val="16"/>
        </w:rPr>
        <w:t>cial Intelligence in Agriculture, 2019;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2: 13</w:t>
      </w:r>
      <w:r>
        <w:rPr>
          <w:rFonts w:ascii="Verdana" w:hAnsi="Verdana"/>
          <w:color w:val="231F20"/>
          <w:sz w:val="16"/>
        </w:rPr>
        <w:t>–</w:t>
      </w:r>
      <w:r>
        <w:rPr>
          <w:color w:val="231F20"/>
          <w:sz w:val="16"/>
        </w:rPr>
        <w:t>27] </w:t>
      </w:r>
      <w:r>
        <w:rPr>
          <w:color w:val="2E3092"/>
          <w:sz w:val="16"/>
        </w:rPr>
        <w:t>https://10.1016/j.aiia.2019.06.002</w:t>
      </w:r>
    </w:p>
    <w:p>
      <w:pPr>
        <w:spacing w:after="0" w:line="256" w:lineRule="auto"/>
        <w:jc w:val="both"/>
        <w:rPr>
          <w:sz w:val="16"/>
        </w:rPr>
        <w:sectPr>
          <w:type w:val="continuous"/>
          <w:pgSz w:w="11910" w:h="15880"/>
          <w:pgMar w:top="640" w:bottom="280" w:left="640" w:right="640"/>
          <w:cols w:num="2" w:equalWidth="0">
            <w:col w:w="5186" w:space="173"/>
            <w:col w:w="5271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00"/>
        <w:rPr>
          <w:sz w:val="12"/>
        </w:rPr>
      </w:pPr>
    </w:p>
    <w:p>
      <w:pPr>
        <w:spacing w:before="0"/>
        <w:ind w:left="123" w:right="0" w:firstLine="0"/>
        <w:jc w:val="left"/>
        <w:rPr>
          <w:sz w:val="12"/>
        </w:rPr>
      </w:pPr>
      <w:hyperlink r:id="rId11">
        <w:r>
          <w:rPr>
            <w:color w:val="2E3092"/>
            <w:spacing w:val="-2"/>
            <w:w w:val="105"/>
            <w:sz w:val="12"/>
          </w:rPr>
          <w:t>https://doi.org/10.1016/j.aiia.2021.01.002</w:t>
        </w:r>
      </w:hyperlink>
    </w:p>
    <w:p>
      <w:pPr>
        <w:spacing w:line="302" w:lineRule="auto" w:before="36"/>
        <w:ind w:left="123" w:right="12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2589-7217/©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2021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Author.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Publishing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services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by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Elsevier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B.V.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on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behalf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of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KeAi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Communications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Co.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Ltd.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This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is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an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open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access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article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under</w:t>
      </w:r>
      <w:r>
        <w:rPr>
          <w:color w:val="231F20"/>
          <w:spacing w:val="9"/>
          <w:w w:val="105"/>
          <w:sz w:val="12"/>
        </w:rPr>
        <w:t> </w:t>
      </w:r>
      <w:r>
        <w:rPr>
          <w:color w:val="231F20"/>
          <w:w w:val="105"/>
          <w:sz w:val="12"/>
        </w:rPr>
        <w:t>the</w:t>
      </w:r>
      <w:r>
        <w:rPr>
          <w:color w:val="231F20"/>
          <w:spacing w:val="7"/>
          <w:w w:val="105"/>
          <w:sz w:val="12"/>
        </w:rPr>
        <w:t> </w:t>
      </w:r>
      <w:r>
        <w:rPr>
          <w:color w:val="231F20"/>
          <w:w w:val="105"/>
          <w:sz w:val="12"/>
        </w:rPr>
        <w:t>CC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BY-NC-ND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license</w:t>
      </w:r>
      <w:r>
        <w:rPr>
          <w:color w:val="231F20"/>
          <w:spacing w:val="8"/>
          <w:w w:val="105"/>
          <w:sz w:val="12"/>
        </w:rPr>
        <w:t> </w:t>
      </w:r>
      <w:r>
        <w:rPr>
          <w:color w:val="231F20"/>
          <w:w w:val="105"/>
          <w:sz w:val="12"/>
        </w:rPr>
        <w:t>(</w:t>
      </w:r>
      <w:r>
        <w:rPr>
          <w:color w:val="2E3092"/>
          <w:w w:val="105"/>
          <w:sz w:val="12"/>
        </w:rPr>
        <w:t>http://</w:t>
      </w:r>
      <w:r>
        <w:rPr>
          <w:color w:val="2E3092"/>
          <w:spacing w:val="40"/>
          <w:w w:val="105"/>
          <w:sz w:val="12"/>
        </w:rPr>
        <w:t> </w:t>
      </w:r>
      <w:r>
        <w:rPr>
          <w:color w:val="2E3092"/>
          <w:spacing w:val="-2"/>
          <w:w w:val="105"/>
          <w:sz w:val="12"/>
        </w:rPr>
        <w:t>creativecommons.org/licenses/by-nc-nd/4.0/</w:t>
      </w:r>
      <w:r>
        <w:rPr>
          <w:color w:val="231F20"/>
          <w:spacing w:val="-2"/>
          <w:w w:val="105"/>
          <w:sz w:val="12"/>
        </w:rPr>
        <w:t>).</w:t>
      </w:r>
    </w:p>
    <w:sectPr>
      <w:type w:val="continuous"/>
      <w:pgSz w:w="11910" w:h="15880"/>
      <w:pgMar w:top="640" w:bottom="280" w:left="64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21" w:hanging="210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1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9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6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2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9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5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2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5" w:right="38" w:hanging="203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" TargetMode="External"/><Relationship Id="rId8" Type="http://schemas.openxmlformats.org/officeDocument/2006/relationships/hyperlink" Target="http://www.keaipublishing.com/en/journals/artificial-intelligence-in-agriculture/" TargetMode="External"/><Relationship Id="rId9" Type="http://schemas.openxmlformats.org/officeDocument/2006/relationships/hyperlink" Target="http://crossmark.crossref.org/dialog/?doi=10.1016/j.aiia.2021.01.002&amp;domain=pdf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doi.org/10.1016/j.aiia.2021.01.002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Artificial Intelligence in Agriculture, 5 (2021) 304. doi:10.1016/j.aiia.2021.01.002</dc:subject>
  <dc:title>Erratum regarding missing Declaration of Competing Interest statements in previously published articles</dc:title>
  <dcterms:created xsi:type="dcterms:W3CDTF">2023-11-25T05:35:09Z</dcterms:created>
  <dcterms:modified xsi:type="dcterms:W3CDTF">2023-11-25T05:35:09Z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elsevier.com</vt:lpwstr>
  </property>
  <property fmtid="{D5CDD505-2E9C-101B-9397-08002B2CF9AE}" pid="5" name="CrossMarkDomains[2]">
    <vt:lpwstr>sciencedirect.com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2023-11-25T00:00:00Z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10.1016/j.aiia.2021.01.002</vt:lpwstr>
  </property>
  <property fmtid="{D5CDD505-2E9C-101B-9397-08002B2CF9AE}" pid="12" name="robots">
    <vt:lpwstr>noindex</vt:lpwstr>
  </property>
</Properties>
</file>