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autoSpaceDE w:val="0"/>
        <w:widowControl/>
        <w:spacing w:line="162" w:lineRule="exact" w:before="0" w:after="238"/>
        <w:ind w:left="0" w:right="0" w:firstLine="0"/>
        <w:jc w:val="center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Arti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cial Intelligence in Agriculture 5 (2021) 133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141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69"/>
        <w:gridCol w:w="3469"/>
        <w:gridCol w:w="3469"/>
      </w:tblGrid>
      <w:tr>
        <w:trPr>
          <w:trHeight w:hRule="exact" w:val="1584"/>
        </w:trPr>
        <w:tc>
          <w:tcPr>
            <w:tcW w:type="dxa" w:w="1476"/>
            <w:tcBorders>
              <w:top w:sz="2.3999999999999773" w:val="single" w:color="#221F1F"/>
              <w:bottom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3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8820" cy="74803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820" cy="7480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482"/>
            <w:tcBorders>
              <w:top w:sz="2.3999999999999773" w:val="single" w:color="#221F1F"/>
              <w:bottom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482"/>
            </w:tblGrid>
            <w:tr>
              <w:trPr>
                <w:trHeight w:hRule="exact" w:val="240"/>
              </w:trPr>
              <w:tc>
                <w:tcPr>
                  <w:tcW w:type="dxa" w:w="7488"/>
                  <w:tcBorders/>
                  <w:shd w:fill="e6e7e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2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21F1F"/>
                      <w:sz w:val="16"/>
                    </w:rPr>
                    <w:t>Contents lists available at</w:t>
                  </w: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E3092"/>
                      <w:sz w:val="16"/>
                    </w:rPr>
                    <w:t xml:space="preserve"> </w:t>
                  </w: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E3092"/>
                      <w:sz w:val="16"/>
                    </w:rPr>
                    <w:hyperlink r:id="rId11" w:history="1">
                      <w:r>
                        <w:rPr>
                          <w:rStyle w:val="Hyperlink"/>
                        </w:rPr>
                        <w:t>ScienceDirect</w:t>
                      </w:r>
                    </w:hyperlink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0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61.9999999999999" w:type="dxa"/>
            </w:tblPr>
            <w:tblGrid>
              <w:gridCol w:w="7482"/>
            </w:tblGrid>
            <w:tr>
              <w:trPr>
                <w:trHeight w:hRule="exact" w:val="474"/>
              </w:trPr>
              <w:tc>
                <w:tcPr>
                  <w:tcW w:type="dxa" w:w="5940"/>
                  <w:tcBorders/>
                  <w:shd w:fill="e6e7e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54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AdvTT5235d5a9" w:hAnsi="AdvTT5235d5a9" w:eastAsia="AdvTT5235d5a9"/>
                      <w:b w:val="0"/>
                      <w:i w:val="0"/>
                      <w:color w:val="221F1F"/>
                      <w:sz w:val="28"/>
                    </w:rPr>
                    <w:t>Arti</w:t>
                  </w:r>
                  <w:r>
                    <w:rPr>
                      <w:rFonts w:ascii="fb" w:hAnsi="fb" w:eastAsia="fb"/>
                      <w:b w:val="0"/>
                      <w:i w:val="0"/>
                      <w:color w:val="221F1F"/>
                      <w:sz w:val="28"/>
                    </w:rPr>
                    <w:t>fi</w:t>
                  </w:r>
                  <w:r>
                    <w:rPr>
                      <w:rFonts w:ascii="AdvTT5235d5a9" w:hAnsi="AdvTT5235d5a9" w:eastAsia="AdvTT5235d5a9"/>
                      <w:b w:val="0"/>
                      <w:i w:val="0"/>
                      <w:color w:val="221F1F"/>
                      <w:sz w:val="28"/>
                    </w:rPr>
                    <w:t>cial Intelligence in Agriculture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21.9999999999999" w:type="dxa"/>
            </w:tblPr>
            <w:tblGrid>
              <w:gridCol w:w="7482"/>
            </w:tblGrid>
            <w:tr>
              <w:trPr>
                <w:trHeight w:hRule="exact" w:val="260"/>
              </w:trPr>
              <w:tc>
                <w:tcPr>
                  <w:tcW w:type="dxa" w:w="7020"/>
                  <w:tcBorders/>
                  <w:shd w:fill="e6e7e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2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21F1F"/>
                      <w:sz w:val="16"/>
                    </w:rPr>
                    <w:t>journal homepage:</w:t>
                  </w: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E3092"/>
                      <w:sz w:val="16"/>
                    </w:rPr>
                    <w:t xml:space="preserve"> </w:t>
                  </w: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E3092"/>
                      <w:sz w:val="16"/>
                    </w:rPr>
                    <w:hyperlink r:id="rId12" w:history="1">
                      <w:r>
                        <w:rPr>
                          <w:rStyle w:val="Hyperlink"/>
                        </w:rPr>
                        <w:t>http://www.keaipublishing.com/en/journals/artificial-</w:t>
                      </w:r>
                    </w:hyperlink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2" w:lineRule="exact" w:before="18" w:after="0"/>
              <w:ind w:left="0" w:right="0" w:firstLine="0"/>
              <w:jc w:val="center"/>
            </w:pPr>
            <w:r>
              <w:rPr>
                <w:rFonts w:ascii="AdvTTc8c83e50" w:hAnsi="AdvTTc8c83e50" w:eastAsia="AdvTTc8c83e50"/>
                <w:b w:val="0"/>
                <w:i w:val="0"/>
                <w:color w:val="2E3092"/>
                <w:sz w:val="16"/>
              </w:rPr>
              <w:hyperlink r:id="rId12" w:history="1">
                <w:r>
                  <w:rPr>
                    <w:rStyle w:val="Hyperlink"/>
                  </w:rPr>
                  <w:t>intelligence-in-agriculture/</w:t>
                </w:r>
              </w:hyperlink>
            </w:r>
          </w:p>
        </w:tc>
        <w:tc>
          <w:tcPr>
            <w:tcW w:type="dxa" w:w="1424"/>
            <w:tcBorders>
              <w:top w:sz="2.3999999999999773" w:val="single" w:color="#221F1F"/>
              <w:bottom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9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1199" cy="89661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199" cy="8966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316"/>
        </w:trPr>
        <w:tc>
          <w:tcPr>
            <w:tcW w:type="dxa" w:w="8958"/>
            <w:gridSpan w:val="2"/>
            <w:tcBorders>
              <w:top w:sz="2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538" w:after="0"/>
              <w:ind w:left="2" w:right="864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27"/>
              </w:rPr>
              <w:t xml:space="preserve">A novel elemental composition based prediction model for biochar 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27"/>
              </w:rPr>
              <w:t>aromaticity derived from machine learning</w:t>
            </w:r>
          </w:p>
        </w:tc>
        <w:tc>
          <w:tcPr>
            <w:tcW w:type="dxa" w:w="1424"/>
            <w:tcBorders>
              <w:top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90" w:after="0"/>
              <w:ind w:left="3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68300" cy="3683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68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58" w:lineRule="exact" w:before="114" w:after="0"/>
        <w:ind w:left="2" w:right="864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21"/>
        </w:rPr>
        <w:t>Hongliang Cao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a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b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20" w:hAnsi="20" w:eastAsia="20"/>
          <w:b w:val="0"/>
          <w:i w:val="0"/>
          <w:color w:val="2E3092"/>
          <w:sz w:val="24"/>
        </w:rPr>
        <w:t>⁎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Yaime Jefferson Milan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b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Sohrab Haghighi Mood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b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Michael Ayiania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b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Shu Zhang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c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 xml:space="preserve">, 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Xuzhong Gong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d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Electo Eduardo Silva Lora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e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Qiaoxia Yuan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a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Manuel Garcia-Perez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b</w:t>
      </w:r>
    </w:p>
    <w:p>
      <w:pPr>
        <w:autoSpaceDN w:val="0"/>
        <w:autoSpaceDE w:val="0"/>
        <w:widowControl/>
        <w:spacing w:line="210" w:lineRule="exact" w:before="64" w:after="0"/>
        <w:ind w:left="0" w:right="0" w:firstLine="0"/>
        <w:jc w:val="center"/>
      </w:pPr>
      <w:r>
        <w:rPr>
          <w:rFonts w:ascii="AdvTT5235d5a9" w:hAnsi="AdvTT5235d5a9" w:eastAsia="AdvTT5235d5a9"/>
          <w:b w:val="0"/>
          <w:i w:val="0"/>
          <w:color w:val="221F1F"/>
          <w:sz w:val="9"/>
        </w:rPr>
        <w:t>a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Key Laboratory of Agricultural Equipment in Mid-lower Yangtze River, College of Engineering, Huazhong Agricultural University, No. 1, Shizishan Street, Hongshan District, Wuhan 430070, PR</w:t>
      </w:r>
    </w:p>
    <w:p>
      <w:pPr>
        <w:autoSpaceDN w:val="0"/>
        <w:autoSpaceDE w:val="0"/>
        <w:widowControl/>
        <w:spacing w:line="170" w:lineRule="exact" w:before="0" w:after="0"/>
        <w:ind w:left="2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China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9"/>
        </w:rPr>
        <w:t>b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Department of Biological Systems Engineering, Washington State University, Pullman, WA 99164, USA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9"/>
        </w:rPr>
        <w:t>c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College of Materials Science and Engineering, Nanjing Forestry University, Nanjing 210037, PR China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9"/>
        </w:rPr>
        <w:t>d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Key Laboratory of Green Process and Engineering, National Engineering Laboratory for Hydrometallurgical Cleaner Production Technology, Institute of Process Engineering, Chinese Academy of</w:t>
      </w:r>
    </w:p>
    <w:p>
      <w:pPr>
        <w:autoSpaceDN w:val="0"/>
        <w:autoSpaceDE w:val="0"/>
        <w:widowControl/>
        <w:spacing w:line="170" w:lineRule="exact" w:before="2" w:after="160"/>
        <w:ind w:left="2" w:right="4896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Sciences, Beijing 100190, PR China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9"/>
        </w:rPr>
        <w:t>e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Excellence Group in Thermal Power and Distributed Generation, Federal University of Itajubá, Brazil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69"/>
        <w:gridCol w:w="3469"/>
        <w:gridCol w:w="3469"/>
      </w:tblGrid>
      <w:tr>
        <w:trPr>
          <w:trHeight w:hRule="exact" w:val="644"/>
        </w:trPr>
        <w:tc>
          <w:tcPr>
            <w:tcW w:type="dxa" w:w="1178"/>
            <w:tcBorders>
              <w:top w:sz="2.400000000000091" w:val="single" w:color="#221F1F"/>
              <w:bottom w:sz="1.599999999999909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2" w:after="0"/>
              <w:ind w:left="2" w:right="0" w:firstLine="0"/>
              <w:jc w:val="left"/>
            </w:pPr>
            <w:r>
              <w:rPr>
                <w:rFonts w:ascii="AdvTT0f485e03" w:hAnsi="AdvTT0f485e03" w:eastAsia="AdvTT0f485e03"/>
                <w:b w:val="0"/>
                <w:i w:val="0"/>
                <w:color w:val="221F1F"/>
                <w:sz w:val="18"/>
              </w:rPr>
              <w:t>a r t i c l e</w:t>
            </w:r>
          </w:p>
        </w:tc>
        <w:tc>
          <w:tcPr>
            <w:tcW w:type="dxa" w:w="1488"/>
            <w:tcBorders>
              <w:top w:sz="2.400000000000091" w:val="single" w:color="#221F1F"/>
              <w:bottom w:sz="1.599999999999909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2" w:after="0"/>
              <w:ind w:left="120" w:right="0" w:firstLine="0"/>
              <w:jc w:val="left"/>
            </w:pPr>
            <w:r>
              <w:rPr>
                <w:rFonts w:ascii="AdvTT0f485e03" w:hAnsi="AdvTT0f485e03" w:eastAsia="AdvTT0f485e03"/>
                <w:b w:val="0"/>
                <w:i w:val="0"/>
                <w:color w:val="221F1F"/>
                <w:sz w:val="18"/>
              </w:rPr>
              <w:t>i n f o</w:t>
            </w:r>
          </w:p>
        </w:tc>
        <w:tc>
          <w:tcPr>
            <w:tcW w:type="dxa" w:w="7716"/>
            <w:tcBorders>
              <w:top w:sz="2.400000000000091" w:val="single" w:color="#221F1F"/>
              <w:bottom w:sz="1.599999999999909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2" w:after="0"/>
              <w:ind w:left="624" w:right="0" w:firstLine="0"/>
              <w:jc w:val="left"/>
            </w:pPr>
            <w:r>
              <w:rPr>
                <w:rFonts w:ascii="AdvTT0f485e03" w:hAnsi="AdvTT0f485e03" w:eastAsia="AdvTT0f485e03"/>
                <w:b w:val="0"/>
                <w:i w:val="0"/>
                <w:color w:val="221F1F"/>
                <w:sz w:val="18"/>
              </w:rPr>
              <w:t>a b s t r a c t</w:t>
            </w:r>
          </w:p>
        </w:tc>
      </w:tr>
      <w:tr>
        <w:trPr>
          <w:trHeight w:hRule="exact" w:val="1028"/>
        </w:trPr>
        <w:tc>
          <w:tcPr>
            <w:tcW w:type="dxa" w:w="2666"/>
            <w:gridSpan w:val="2"/>
            <w:tcBorders>
              <w:top w:sz="1.599999999999909" w:val="single" w:color="#221F1F"/>
              <w:bottom w:sz="2.39999999999963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0" w:after="0"/>
              <w:ind w:left="2" w:right="432" w:firstLine="0"/>
              <w:jc w:val="left"/>
            </w:pP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 xml:space="preserve">Article history: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Received 14 April 2021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Received in revised form 26 June 2021 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Accepted 26 June 2021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Available online 7 July 2021</w:t>
            </w:r>
          </w:p>
        </w:tc>
        <w:tc>
          <w:tcPr>
            <w:tcW w:type="dxa" w:w="7716"/>
            <w:tcBorders>
              <w:top w:sz="1.599999999999909" w:val="single" w:color="#221F1F"/>
              <w:bottom w:sz="2.39999999999963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8" w:after="0"/>
              <w:ind w:left="624" w:right="0" w:firstLine="0"/>
              <w:jc w:val="both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The measurement of aromaticity in biochars is generally conducted using solid state</w:t>
            </w:r>
            <w:r>
              <w:rPr>
                <w:w w:val="101.43482208251953"/>
                <w:rFonts w:ascii="AdvTT5235d5a9" w:hAnsi="AdvTT5235d5a9" w:eastAsia="AdvTT5235d5a9"/>
                <w:b w:val="0"/>
                <w:i w:val="0"/>
                <w:color w:val="221F1F"/>
                <w:sz w:val="10"/>
              </w:rPr>
              <w:t>13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C nuclear magnetic reso-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nance spectroscopy, which is expensive, time-consuming, and only accessible in a small number of research-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intensive universities. Mathematical modelling could be a viable alternative to predict biochar aromaticity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from other much easier accessible parameters (e.g. elemental composition). In this research, Genetic Program-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ming (GP), an advanced machine learning method, is used to develop new prediction models. In order to identify</w:t>
            </w:r>
          </w:p>
        </w:tc>
      </w:tr>
      <w:tr>
        <w:trPr>
          <w:trHeight w:hRule="exact" w:val="1112"/>
        </w:trPr>
        <w:tc>
          <w:tcPr>
            <w:tcW w:type="dxa" w:w="2666"/>
            <w:gridSpan w:val="2"/>
            <w:tcBorders>
              <w:top w:sz="2.39999999999963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6" w:after="0"/>
              <w:ind w:left="2" w:right="1296" w:firstLine="0"/>
              <w:jc w:val="left"/>
            </w:pP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 xml:space="preserve">Keywords: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Biochar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C aromaticity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Prediction model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Machine learning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Genetic programming</w:t>
            </w:r>
          </w:p>
        </w:tc>
        <w:tc>
          <w:tcPr>
            <w:tcW w:type="dxa" w:w="7716"/>
            <w:tcBorders>
              <w:top w:sz="2.39999999999963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624" w:right="0" w:firstLine="0"/>
              <w:jc w:val="both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and evaluate the performance of prediction models, an experimental data set with 98 biochar samples collected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from the literature was utilized. Due to the bene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221F1F"/>
                <w:sz w:val="14"/>
              </w:rPr>
              <w:t>fi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ts of the intelligence iteration and learning of GP algorithm, a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kind of underlying exponential relationship between the elemental compositions and the aromaticity of biochars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is disclosed clearly. The exponential relationship is clearer and simpler than the polynomial mapping relation-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ships implicated by Maroto-Valer, Mazumdar, and Mazumdar-Wang models. In this case, a novel exponential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model is proposed for the prediction of biochar aromaticity. The proposed exponential model appears better</w:t>
            </w:r>
          </w:p>
        </w:tc>
      </w:tr>
    </w:tbl>
    <w:p>
      <w:pPr>
        <w:autoSpaceDN w:val="0"/>
        <w:autoSpaceDE w:val="0"/>
        <w:widowControl/>
        <w:spacing w:line="176" w:lineRule="exact" w:before="4" w:after="0"/>
        <w:ind w:left="0" w:right="20" w:firstLine="0"/>
        <w:jc w:val="right"/>
      </w:pP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prediction accuracy and generalization ability than existing polynomial models during the statistical parameter</w:t>
      </w:r>
    </w:p>
    <w:p>
      <w:pPr>
        <w:autoSpaceDN w:val="0"/>
        <w:autoSpaceDE w:val="0"/>
        <w:widowControl/>
        <w:spacing w:line="176" w:lineRule="exact" w:before="16" w:after="0"/>
        <w:ind w:left="0" w:right="6416" w:firstLine="0"/>
        <w:jc w:val="right"/>
      </w:pP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evaluation.</w:t>
      </w:r>
    </w:p>
    <w:p>
      <w:pPr>
        <w:autoSpaceDN w:val="0"/>
        <w:autoSpaceDE w:val="0"/>
        <w:widowControl/>
        <w:spacing w:line="176" w:lineRule="exact" w:before="14" w:after="0"/>
        <w:ind w:left="0" w:right="28" w:firstLine="0"/>
        <w:jc w:val="right"/>
      </w:pP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© 2021 The Authors. Publishing services by Elsevier B.V. on behalf of KeAi Communications Co., Ltd. This is an open</w:t>
      </w:r>
    </w:p>
    <w:p>
      <w:pPr>
        <w:autoSpaceDN w:val="0"/>
        <w:autoSpaceDE w:val="0"/>
        <w:widowControl/>
        <w:spacing w:line="176" w:lineRule="exact" w:before="16" w:after="204"/>
        <w:ind w:left="0" w:right="28" w:firstLine="0"/>
        <w:jc w:val="right"/>
      </w:pP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access article under the CC BY-NC-ND license (</w:t>
      </w:r>
      <w:r>
        <w:rPr>
          <w:w w:val="102.4728570665632"/>
          <w:rFonts w:ascii="AdvTT5235d5a9" w:hAnsi="AdvTT5235d5a9" w:eastAsia="AdvTT5235d5a9"/>
          <w:b w:val="0"/>
          <w:i w:val="0"/>
          <w:color w:val="2E3092"/>
          <w:sz w:val="14"/>
        </w:rPr>
        <w:hyperlink r:id="rId15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04"/>
        <w:gridCol w:w="5204"/>
      </w:tblGrid>
      <w:tr>
        <w:trPr>
          <w:trHeight w:hRule="exact" w:val="550"/>
        </w:trPr>
        <w:tc>
          <w:tcPr>
            <w:tcW w:type="dxa" w:w="3238"/>
            <w:tcBorders>
              <w:top w:sz="1.600000000000363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44" w:after="0"/>
              <w:ind w:left="2" w:right="0" w:firstLine="0"/>
              <w:jc w:val="left"/>
            </w:pPr>
            <w:r>
              <w:rPr>
                <w:rFonts w:ascii="AdvTT28000ce1.B" w:hAnsi="AdvTT28000ce1.B" w:eastAsia="AdvTT28000ce1.B"/>
                <w:b w:val="0"/>
                <w:i w:val="0"/>
                <w:color w:val="221F1F"/>
                <w:sz w:val="16"/>
              </w:rPr>
              <w:t>1. Introduction</w:t>
            </w:r>
          </w:p>
        </w:tc>
        <w:tc>
          <w:tcPr>
            <w:tcW w:type="dxa" w:w="7144"/>
            <w:tcBorders>
              <w:top w:sz="1.600000000000363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46" w:after="0"/>
              <w:ind w:left="0" w:right="0" w:firstLine="0"/>
              <w:jc w:val="righ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(</w:t>
            </w:r>
            <w:r>
              <w:rPr>
                <w:rFonts w:ascii="AdvTT5235d5a9" w:hAnsi="AdvTT5235d5a9" w:eastAsia="AdvTT5235d5a9"/>
                <w:b w:val="0"/>
                <w:i w:val="0"/>
                <w:color w:val="2E3092"/>
                <w:sz w:val="16"/>
              </w:rPr>
              <w:t>Wiedemeier et al., 2015a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). Moreover,</w:t>
            </w:r>
            <w:r>
              <w:rPr>
                <w:rFonts w:ascii="AdvTT5235d5a9" w:hAnsi="AdvTT5235d5a9" w:eastAsia="AdvTT5235d5a9"/>
                <w:b w:val="0"/>
                <w:i w:val="0"/>
                <w:color w:val="2E3092"/>
                <w:sz w:val="16"/>
              </w:rPr>
              <w:t xml:space="preserve"> Han et al. (2014)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 xml:space="preserve"> explored a</w:t>
            </w:r>
          </w:p>
        </w:tc>
      </w:tr>
    </w:tbl>
    <w:p>
      <w:pPr>
        <w:autoSpaceDN w:val="0"/>
        <w:autoSpaceDE w:val="0"/>
        <w:widowControl/>
        <w:spacing w:line="196" w:lineRule="exact" w:before="6" w:after="12"/>
        <w:ind w:left="0" w:right="26" w:firstLine="0"/>
        <w:jc w:val="righ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positive relationship between the aromaticity of biochar C and their</w:t>
      </w:r>
    </w:p>
    <w:p>
      <w:pPr>
        <w:sectPr>
          <w:pgSz w:w="11906" w:h="15874"/>
          <w:pgMar w:top="366" w:right="736" w:bottom="482" w:left="762" w:header="720" w:footer="720" w:gutter="0"/>
          <w:cols w:space="720" w:num="1" w:equalWidth="0"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2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Biochar is the product of biomass thermochemical conversion in an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oxygen limited or depleted environment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Woolf et al., 2010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Yuan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et al.,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Biochar has received attention recently as a carbon-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negative product and as an effective means to improve soil fertility, 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well as other ecosystem gains such as carbon sequestration to mitigate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climate change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Cao et al., 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Cao et al., 2020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Chen et al., 2021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;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Czech et al., 2021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The aromaticity is one of the most important prop-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erty of biochars as it can improve the stability of biochars and affect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soil environment. The biochars, which possess greater proportion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aromatic C, offer greater chemical recalcitrance and resistance to bio-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logical degradation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Smith et al.,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Wiedemeier et al., 2015a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fraction of carbons present in aromatic rings is called aromaticity</w:t>
      </w:r>
    </w:p>
    <w:p>
      <w:pPr>
        <w:autoSpaceDN w:val="0"/>
        <w:autoSpaceDE w:val="0"/>
        <w:widowControl/>
        <w:spacing w:line="170" w:lineRule="exact" w:before="356" w:after="0"/>
        <w:ind w:left="2" w:right="170" w:firstLine="106"/>
        <w:jc w:val="both"/>
      </w:pP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⁎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Corresponding author at: Key Laboratory of Agricultural Equipment in Mid-lower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Yangtze River, College of Engineering, Huazhong Agricultural University, No. 1, Shizishan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Street, Hongshan District, Wuhan 430070, PR China.</w:t>
      </w:r>
    </w:p>
    <w:p>
      <w:pPr>
        <w:autoSpaceDN w:val="0"/>
        <w:autoSpaceDE w:val="0"/>
        <w:widowControl/>
        <w:spacing w:line="156" w:lineRule="exact" w:before="16" w:after="0"/>
        <w:ind w:left="24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E-mail address: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16" w:history="1">
          <w:r>
            <w:rPr>
              <w:rStyle w:val="Hyperlink"/>
            </w:rPr>
            <w:t>hongliangcao@mail.hzau.edu.cn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(H. Cao).</w:t>
      </w:r>
    </w:p>
    <w:p>
      <w:pPr>
        <w:autoSpaceDN w:val="0"/>
        <w:autoSpaceDE w:val="0"/>
        <w:widowControl/>
        <w:spacing w:line="156" w:lineRule="exact" w:before="228" w:after="0"/>
        <w:ind w:left="2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https://doi.org/10.1016/j.aiia.2021.06.002</w:t>
          </w:r>
        </w:hyperlink>
      </w:r>
    </w:p>
    <w:p>
      <w:pPr>
        <w:sectPr>
          <w:type w:val="continuous"/>
          <w:pgSz w:w="11906" w:h="15874"/>
          <w:pgMar w:top="366" w:right="736" w:bottom="482" w:left="762" w:header="720" w:footer="720" w:gutter="0"/>
          <w:cols w:space="720" w:num="2" w:equalWidth="0"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8" w:right="26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capacity for organic pollutants adsorption.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Singh et al. (2012)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discov-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ered that there is a de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nite link between the amount of CO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generated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during a long-term incubation of biochars and their initial proportion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fraction of aromatic C. Obviously, quanti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cation of the aromaticity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biochar C is highly signi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cant for their further utilization and could be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basis for business models.</w:t>
      </w:r>
    </w:p>
    <w:p>
      <w:pPr>
        <w:autoSpaceDN w:val="0"/>
        <w:autoSpaceDE w:val="0"/>
        <w:widowControl/>
        <w:spacing w:line="210" w:lineRule="exact" w:before="0" w:after="392"/>
        <w:ind w:left="168" w:right="26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To quantitatively characterize aromatic C of biochars, a wide variety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of chemical and physical methods have been used, such as Solid state 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13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 nuclear magnetic resonance (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13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 NMR) spectroscopy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McBeath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et al., 2011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McBeath et al., 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 Near-edge X-ray absorption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structure spectroscopy (NEXAFS)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Keiluweit et al., 2010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), Benzene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polycarboxylic acid (BPCA) analysis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Wiedemeier et al., 2013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), lipid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analysis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Wiedemeier et al., 2015b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However, these techniques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are expensive and time-consuming, and only available in research-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intensive universities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Baccile et al., 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Wiedemeier et al., 2015a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Consequently, simple and robust alternatives have been sought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evaluate the aromaticity of biochars.</w:t>
      </w:r>
    </w:p>
    <w:p>
      <w:pPr>
        <w:sectPr>
          <w:type w:val="nextColumn"/>
          <w:pgSz w:w="11906" w:h="15874"/>
          <w:pgMar w:top="366" w:right="736" w:bottom="482" w:left="762" w:header="720" w:footer="720" w:gutter="0"/>
          <w:cols w:space="720" w:num="2" w:equalWidth="0"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4" w:lineRule="exact" w:before="0" w:after="0"/>
        <w:ind w:left="2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2589-7217/© 2021 The Authors. Publishing services by Elsevier B.V. on behalf of KeAi Communications Co., Ltd. This is an open access article under the CC BY-NC-ND license (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15" w:history="1">
          <w:r>
            <w:rPr>
              <w:rStyle w:val="Hyperlink"/>
            </w:rPr>
            <w:t xml:space="preserve">http://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15" w:history="1">
          <w:r>
            <w:rPr>
              <w:rStyle w:val="Hyperlink"/>
            </w:rPr>
            <w:t>creativecommons.org/licenses/by-nc-nd/4.0/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).</w:t>
      </w:r>
    </w:p>
    <w:p>
      <w:pPr>
        <w:sectPr>
          <w:type w:val="continuous"/>
          <w:pgSz w:w="11906" w:h="15874"/>
          <w:pgMar w:top="366" w:right="736" w:bottom="482" w:left="762" w:header="720" w:footer="720" w:gutter="0"/>
          <w:cols w:space="720" w:num="1" w:equalWidth="0"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sectPr>
          <w:pgSz w:w="11906" w:h="15874"/>
          <w:pgMar w:top="366" w:right="742" w:bottom="318" w:left="764" w:header="720" w:footer="720" w:gutter="0"/>
          <w:cols w:space="720" w:num="1" w:equalWidth="0"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0" w:after="0"/>
        <w:ind w:left="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H. Cao, Y.J. Milan, S.H. Mood et al.</w:t>
      </w:r>
    </w:p>
    <w:p>
      <w:pPr>
        <w:autoSpaceDN w:val="0"/>
        <w:autoSpaceDE w:val="0"/>
        <w:widowControl/>
        <w:spacing w:line="208" w:lineRule="exact" w:before="226" w:after="0"/>
        <w:ind w:left="0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Mathematical modelling can be an economically-viable and ef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cient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alternative for evaluating the degree of aromaticity, since it is possible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accurately predict the aromaticity of biochar C by using some basic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feature parameters of biochars. Elemental composition data for any bio-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chars are easily obtained and assessed. Due to this reason,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Maroto-Valer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et al. (1998a)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developed a linear mathematical model for the prediction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the C aromaticity of bituminous coal by using atomic H/C ratio. How-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ever, the linear Maroto-Valer model has an application limit that H/C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only ranges from 0.5 to 0.8. Therefore,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Mazumdar (1999)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developed a</w:t>
      </w: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2" w:equalWidth="0"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0" w:right="22" w:firstLine="0"/>
        <w:jc w:val="righ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133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141</w:t>
      </w:r>
    </w:p>
    <w:p>
      <w:pPr>
        <w:autoSpaceDN w:val="0"/>
        <w:autoSpaceDE w:val="0"/>
        <w:widowControl/>
        <w:spacing w:line="210" w:lineRule="exact" w:before="210" w:after="220"/>
        <w:ind w:left="168" w:right="2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Just as discussed above, during the development of GP-based model,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model structure is not speci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ed in advance. Therefore, it is possible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to identify a suitable prediction model with higher generalization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abilities. Accordingly, the principal objectives of this research are: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(1) to develop elemental composition based prediction models for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biochar aromaticity with higher generalization abilities, and (2) to dis-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cover new mapping relationships and rules between the elemental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compositions and C aromaticity of biochars.</w:t>
      </w:r>
    </w:p>
    <w:p>
      <w:pPr>
        <w:sectPr>
          <w:type w:val="nextColumn"/>
          <w:pgSz w:w="11906" w:h="15874"/>
          <w:pgMar w:top="366" w:right="742" w:bottom="318" w:left="764" w:header="720" w:footer="720" w:gutter="0"/>
          <w:cols w:space="720" w:num="2" w:equalWidth="0"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5358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more accurate prediction model, derived from polyaromatic hydrocar-</w:t>
      </w:r>
      <w:r>
        <w:tab/>
      </w: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2. Methods</w:t>
      </w:r>
    </w:p>
    <w:p>
      <w:pPr>
        <w:autoSpaceDN w:val="0"/>
        <w:autoSpaceDE w:val="0"/>
        <w:widowControl/>
        <w:spacing w:line="196" w:lineRule="exact" w:before="14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bons (PAH, only including C and H) with a revised densimetric method,</w:t>
      </w:r>
    </w:p>
    <w:p>
      <w:pPr>
        <w:autoSpaceDN w:val="0"/>
        <w:tabs>
          <w:tab w:pos="5358" w:val="left"/>
        </w:tabs>
        <w:autoSpaceDE w:val="0"/>
        <w:widowControl/>
        <w:spacing w:line="196" w:lineRule="exact" w:before="12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for the C aromaticity by elemental compositions. The model has a better </w:t>
      </w:r>
      <w:r>
        <w:tab/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2.1. Data collection</w:t>
      </w:r>
    </w:p>
    <w:p>
      <w:pPr>
        <w:autoSpaceDN w:val="0"/>
        <w:autoSpaceDE w:val="0"/>
        <w:widowControl/>
        <w:spacing w:line="196" w:lineRule="exact" w:before="14" w:after="14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prediction capacity than the Maroto-Valer model, mainly because for-</w:t>
      </w: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1" w:equalWidth="0"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mer one considered the structure information of C-atom and H-atom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Mazumdar, 1999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However, when the Mazumdar model is used for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prediction of the C aromaticity of biochars, its prediction capacity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is dramatically reduced.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Wang et al. (2013)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discovered that because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Mazumdar's model only considered C- and H-atoms, the model failed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when applied to biochar. Biochar is a heterogenous material and does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not only involve C-atom and H-atom, it includes other heteroatoms,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such as O, N and S. In this case,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Wang et al. (2013)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further modi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Mazumdar model and obtained a specialized prediction model for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biochar aromaticity, which takes into account the in</w:t>
      </w:r>
      <w:r>
        <w:rPr>
          <w:rFonts w:ascii="fb" w:hAnsi="fb" w:eastAsia="fb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uence of hetero-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atoms of H, O, and N. Unfortunately, the generalization abilities of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modi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ed model is also limited, when the H/C ratio of biochars is more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than 1.0. Therefore, developing new prediction model for biochar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aromaticity with higher generalization abilities is greatly necessary.</w:t>
      </w:r>
    </w:p>
    <w:p>
      <w:pPr>
        <w:autoSpaceDN w:val="0"/>
        <w:autoSpaceDE w:val="0"/>
        <w:widowControl/>
        <w:spacing w:line="210" w:lineRule="exact" w:before="0" w:after="0"/>
        <w:ind w:left="0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Machine learning can effectively perform a modelling task by using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arti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cial intelligence algorithms. The machine learning methods directly</w:t>
      </w:r>
      <w:r>
        <w:rPr>
          <w:rFonts w:ascii="20" w:hAnsi="20" w:eastAsia="20"/>
          <w:b w:val="0"/>
          <w:i w:val="0"/>
          <w:color w:val="221F1F"/>
          <w:sz w:val="16"/>
        </w:rPr>
        <w:t>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learn</w:t>
      </w:r>
      <w:r>
        <w:rPr>
          <w:rFonts w:ascii="20" w:hAnsi="20" w:eastAsia="20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from raw experimental data and develop the functional relation-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ships among the data, even if the physical meaning is unknown or there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is no any prior knowledge about the nature of the underlying relation-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ships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Goldberg et al., 2015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Kankar et al., 2011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Because of these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advanced features, the intelligence method has been used to predict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biochar yield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Cao et al.,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), to identify inorganic phosphor host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Zhuo et al., 2018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 to study nanomaterial toxicity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Winkler et al.,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 as well as to optimize magnetoelastic Fe</w:t>
      </w:r>
      <w:r>
        <w:rPr>
          <w:rFonts w:ascii="20" w:hAnsi="20" w:eastAsia="20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Ga alloy microstructure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Liu et al., 2015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In practice, the adopted intelligence algorithms in-</w:t>
      </w: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2" w:equalWidth="0"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8" w:right="2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To develop robust prediction models for the C aromaticity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biochars, the experimental data including 98 biochar samples derived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from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13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 NMR spectroscopy were collected from previous literatures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Baldock and Smernik, 2002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Brewer et al., 2011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Cao et al., 2012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;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Enders et al., 2012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Kaal et al., 2012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Keiluweit et al., 2010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Manna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et al., 2020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McBeath et al., 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Singh et al., 2012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Wang et al., 2013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;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Wiedemeier et al., 2015a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Yue et al.,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), and the detailed data are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provided in the supplementary material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le (Table S1). The biochars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characteristics are diverse because of different feedstock (e.g. 24 kinds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of biomass) and different pyrolysis conditions (charring temperature,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heating rate, and holding time). In this case, the database covers 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wide distribution of C aromaticity and elemental composition. For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example, C aromaticity ranges from 0.1000</w:t>
      </w:r>
      <w:r>
        <w:rPr>
          <w:rFonts w:ascii="20" w:hAnsi="20" w:eastAsia="20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1.0000, and the ranges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H/C, O/C, N/C atomic ratios are 0.0249</w:t>
      </w:r>
      <w:r>
        <w:rPr>
          <w:rFonts w:ascii="20" w:hAnsi="20" w:eastAsia="20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1.8076, 0.0171</w:t>
      </w:r>
      <w:r>
        <w:rPr>
          <w:rFonts w:ascii="20" w:hAnsi="20" w:eastAsia="20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0.7166,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0.0006</w:t>
      </w:r>
      <w:r>
        <w:rPr>
          <w:rFonts w:ascii="20" w:hAnsi="20" w:eastAsia="20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0.0415, respectively.</w:t>
      </w:r>
    </w:p>
    <w:p>
      <w:pPr>
        <w:autoSpaceDN w:val="0"/>
        <w:autoSpaceDE w:val="0"/>
        <w:widowControl/>
        <w:spacing w:line="208" w:lineRule="exact" w:before="0" w:after="222"/>
        <w:ind w:left="168" w:right="2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order to develop C aromaticity prediction models, the above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collected experimental data were divided into two data sets, e.g. train-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ing set and testing set. The training set was employed to identify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model parameters, and the testing set was utilized for the evaluation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the model performance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Cao et al.,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To ensure the effectiveness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the developed model, the training and testing sets were chosen ran-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domly. In this research, 60 samples (about 60% of the prepared data)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were randomly selected as the training set, and the rest 38 samples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were taken as the testing set.</w:t>
      </w:r>
    </w:p>
    <w:p>
      <w:pPr>
        <w:sectPr>
          <w:type w:val="nextColumn"/>
          <w:pgSz w:w="11906" w:h="15874"/>
          <w:pgMar w:top="366" w:right="742" w:bottom="318" w:left="764" w:header="720" w:footer="720" w:gutter="0"/>
          <w:cols w:space="720" w:num="2" w:equalWidth="0"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5358" w:val="left"/>
        </w:tabs>
        <w:autoSpaceDE w:val="0"/>
        <w:widowControl/>
        <w:spacing w:line="204" w:lineRule="exact" w:before="0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clude Arti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cial Neural Network (ANN), Support Vector Machine </w:t>
      </w:r>
      <w:r>
        <w:tab/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2.2. Modelling methods</w:t>
      </w:r>
    </w:p>
    <w:p>
      <w:pPr>
        <w:autoSpaceDN w:val="0"/>
        <w:autoSpaceDE w:val="0"/>
        <w:widowControl/>
        <w:spacing w:line="196" w:lineRule="exact" w:before="6" w:after="14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(SVM), Bayesian Network (BN), and Random Forest (RF)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Cao et al.,</w:t>
      </w: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1" w:equalWidth="0"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Jha et al.,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Liu et al., 2015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Pan and Pandey,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Winkler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et al., 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Zhuo et al., 2018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), etc. Although these algorithms are strong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intelligent modelling methods with a wide applicability, the developed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models are</w:t>
      </w:r>
      <w:r>
        <w:rPr>
          <w:rFonts w:ascii="20" w:hAnsi="20" w:eastAsia="20"/>
          <w:b w:val="0"/>
          <w:i w:val="0"/>
          <w:color w:val="221F1F"/>
          <w:sz w:val="16"/>
        </w:rPr>
        <w:t xml:space="preserve"> 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black box</w:t>
      </w:r>
      <w:r>
        <w:rPr>
          <w:rFonts w:ascii="20" w:hAnsi="20" w:eastAsia="20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models whose structures and parameters do not</w:t>
      </w: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2" w:equalWidth="0"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406" w:val="left"/>
        </w:tabs>
        <w:autoSpaceDE w:val="0"/>
        <w:widowControl/>
        <w:spacing w:line="206" w:lineRule="exact" w:before="0" w:after="12"/>
        <w:ind w:left="168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2.2.1. Mazumdar-Wang model </w:t>
      </w:r>
      <w:r>
        <w:br/>
      </w:r>
      <w:r>
        <w:tab/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Mazumdar (1999)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employed a revised densimetric method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accurately predict the C aromaticity of polyaromatic hydrocarbons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(PAH, including only C and H):</w:t>
      </w:r>
    </w:p>
    <w:p>
      <w:pPr>
        <w:sectPr>
          <w:type w:val="nextColumn"/>
          <w:pgSz w:w="11906" w:h="15874"/>
          <w:pgMar w:top="366" w:right="742" w:bottom="318" w:left="764" w:header="720" w:footer="720" w:gutter="0"/>
          <w:cols w:space="720" w:num="2" w:equalWidth="0"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67"/>
        <w:gridCol w:w="3467"/>
        <w:gridCol w:w="3467"/>
      </w:tblGrid>
      <w:tr>
        <w:trPr>
          <w:trHeight w:hRule="exact" w:val="198"/>
        </w:trPr>
        <w:tc>
          <w:tcPr>
            <w:tcW w:type="dxa" w:w="5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supply any insight into the phenomena underlying the data being</w:t>
            </w:r>
          </w:p>
        </w:tc>
        <w:tc>
          <w:tcPr>
            <w:tcW w:type="dxa" w:w="3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82" w:lineRule="exact" w:before="0" w:after="0"/>
              <w:ind w:left="186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f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 xml:space="preserve"> a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 xml:space="preserve"> 1</w:t>
            </w:r>
            <w:r>
              <w:rPr>
                <w:rFonts w:ascii="22" w:hAnsi="22" w:eastAsia="22"/>
                <w:b w:val="0"/>
                <w:i w:val="0"/>
                <w:color w:val="221F1F"/>
                <w:sz w:val="16"/>
              </w:rPr>
              <w:t>−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H</w:t>
            </w:r>
            <w:r>
              <w:rPr>
                <w:w w:val="101.43454291603781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 xml:space="preserve">0 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C</w:t>
            </w:r>
            <w:r>
              <w:rPr>
                <w:w w:val="101.43454291603781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þ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α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Mc</w:t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22" w:hAnsi="22" w:eastAsia="22"/>
                <w:b w:val="0"/>
                <w:i w:val="0"/>
                <w:color w:val="221F1F"/>
                <w:sz w:val="16"/>
              </w:rPr>
              <w:t>−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5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: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34</w:t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1600"/>
            <w:vMerge w:val="restart"/>
            <w:tcBorders>
              <w:bottom w:sz="2.39999999999963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32" w:after="0"/>
              <w:ind w:left="0" w:right="58" w:firstLine="0"/>
              <w:jc w:val="righ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1</w:t>
            </w:r>
          </w:p>
        </w:tc>
      </w:tr>
      <w:tr>
        <w:trPr>
          <w:trHeight w:hRule="exact" w:val="232"/>
        </w:trPr>
        <w:tc>
          <w:tcPr>
            <w:tcW w:type="dxa" w:w="5196"/>
            <w:tcBorders>
              <w:bottom w:sz="2.39999999999963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" w:after="0"/>
              <w:ind w:left="0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modeled (</w:t>
            </w:r>
            <w:r>
              <w:rPr>
                <w:rFonts w:ascii="AdvTT5235d5a9" w:hAnsi="AdvTT5235d5a9" w:eastAsia="AdvTT5235d5a9"/>
                <w:b w:val="0"/>
                <w:i w:val="0"/>
                <w:color w:val="2E3092"/>
                <w:sz w:val="16"/>
              </w:rPr>
              <w:t>Jha et al., 2017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;</w:t>
            </w:r>
            <w:r>
              <w:rPr>
                <w:rFonts w:ascii="AdvTT5235d5a9" w:hAnsi="AdvTT5235d5a9" w:eastAsia="AdvTT5235d5a9"/>
                <w:b w:val="0"/>
                <w:i w:val="0"/>
                <w:color w:val="2E3092"/>
                <w:sz w:val="16"/>
              </w:rPr>
              <w:t xml:space="preserve"> Patil-Shinde et al., 2014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). Beside</w:t>
            </w:r>
            <w:r>
              <w:rPr>
                <w:rFonts w:ascii="20" w:hAnsi="20" w:eastAsia="20"/>
                <w:b w:val="0"/>
                <w:i w:val="0"/>
                <w:color w:val="221F1F"/>
                <w:sz w:val="16"/>
              </w:rPr>
              <w:t xml:space="preserve"> “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black box</w:t>
            </w:r>
            <w:r>
              <w:rPr>
                <w:rFonts w:ascii="20" w:hAnsi="20" w:eastAsia="20"/>
                <w:b w:val="0"/>
                <w:i w:val="0"/>
                <w:color w:val="221F1F"/>
                <w:sz w:val="16"/>
              </w:rPr>
              <w:t>”</w:t>
            </w:r>
          </w:p>
        </w:tc>
        <w:tc>
          <w:tcPr>
            <w:tcW w:type="dxa" w:w="3467"/>
            <w:vMerge/>
            <w:tcBorders/>
          </w:tcPr>
          <w:p/>
        </w:tc>
        <w:tc>
          <w:tcPr>
            <w:tcW w:type="dxa" w:w="3467"/>
            <w:vMerge/>
            <w:tcBorders>
              <w:bottom w:sz="2.399999999999636" w:val="single" w:color="#221F1F"/>
            </w:tcBorders>
          </w:tcPr>
          <w:p/>
        </w:tc>
      </w:tr>
      <w:tr>
        <w:trPr>
          <w:trHeight w:hRule="exact" w:val="188"/>
        </w:trPr>
        <w:tc>
          <w:tcPr>
            <w:tcW w:type="dxa" w:w="5196"/>
            <w:tcBorders>
              <w:top w:sz="2.39999999999963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intelligent algorithms, Genetic Programming (GP) as the advanced sub-</w:t>
            </w:r>
          </w:p>
        </w:tc>
        <w:tc>
          <w:tcPr>
            <w:tcW w:type="dxa" w:w="3467"/>
            <w:vMerge/>
            <w:tcBorders/>
          </w:tcPr>
          <w:p/>
        </w:tc>
        <w:tc>
          <w:tcPr>
            <w:tcW w:type="dxa" w:w="1600"/>
            <w:vMerge w:val="restart"/>
            <w:tcBorders>
              <w:top w:sz="2.39999999999963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0" w:right="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</w:tr>
      <w:tr>
        <w:trPr>
          <w:trHeight w:hRule="exact" w:val="186"/>
        </w:trPr>
        <w:tc>
          <w:tcPr>
            <w:tcW w:type="dxa" w:w="5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" w:after="0"/>
              <w:ind w:left="0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category of machine learning methods has the ability to obtain models</w:t>
            </w:r>
          </w:p>
        </w:tc>
        <w:tc>
          <w:tcPr>
            <w:tcW w:type="dxa" w:w="3467"/>
            <w:vMerge/>
            <w:tcBorders/>
          </w:tcPr>
          <w:p/>
        </w:tc>
        <w:tc>
          <w:tcPr>
            <w:tcW w:type="dxa" w:w="3467"/>
            <w:vMerge/>
            <w:tcBorders>
              <w:top w:sz="2.399999999999636" w:val="single" w:color="#221F1F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1" w:equalWidth="0"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with clear mathematical expression (analytical models)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Bagheri et al.,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2012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Ghugare et al., 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Pandey et al., 2015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More importantly, GP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is capable of automatically arriving at an optimized mathematic model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without making any assumptions regarding the structure and parame-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ters of the developing model. The most attractive feature of GP algo-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rithm is that, depending on the nature of dependencies (whether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linear or nonlinear) in the developing data (experimental data),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technique by itself can choose a suitable model that optimally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ts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developing data based on Darwinian theory of natural selection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Faris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and Sheta, 2013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Pandey et al., 2015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Sharma and Tambe, 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2" w:equalWidth="0"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where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f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a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denotes the aromaticity of carbon materials;</w:t>
      </w:r>
      <w:r>
        <w:rPr>
          <w:w w:val="101.43454291603781"/>
          <w:rFonts w:ascii="AdvTT94c8263f.I" w:hAnsi="AdvTT94c8263f.I" w:eastAsia="AdvTT94c8263f.I"/>
          <w:b w:val="0"/>
          <w:i w:val="0"/>
          <w:color w:val="221F1F"/>
          <w:sz w:val="11"/>
          <w:u w:val="single"/>
        </w:rPr>
        <w:t>H</w:t>
      </w:r>
      <w:r>
        <w:rPr>
          <w:rFonts w:ascii="AdvP4C4E74" w:hAnsi="AdvP4C4E74" w:eastAsia="AdvP4C4E74"/>
          <w:b w:val="0"/>
          <w:i w:val="0"/>
          <w:color w:val="221F1F"/>
          <w:sz w:val="8"/>
          <w:u w:val="single"/>
        </w:rPr>
        <w:t xml:space="preserve">0 </w:t>
      </w:r>
      <w:r>
        <w:rPr>
          <w:w w:val="101.43454291603781"/>
          <w:rFonts w:ascii="AdvTT94c8263f.I" w:hAnsi="AdvTT94c8263f.I" w:eastAsia="AdvTT94c8263f.I"/>
          <w:b w:val="0"/>
          <w:i w:val="0"/>
          <w:color w:val="221F1F"/>
          <w:sz w:val="11"/>
          <w:u w:val="single"/>
        </w:rPr>
        <w:t>C</w:t>
      </w:r>
      <w:r>
        <w:rPr>
          <w:rFonts w:ascii="AdvP4C4E74" w:hAnsi="AdvP4C4E74" w:eastAsia="AdvP4C4E74"/>
          <w:b w:val="0"/>
          <w:i w:val="0"/>
          <w:color w:val="221F1F"/>
          <w:sz w:val="8"/>
          <w:u w:val="single"/>
        </w:rPr>
        <w:t>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denotes</w:t>
      </w:r>
    </w:p>
    <w:p>
      <w:pPr>
        <w:autoSpaceDN w:val="0"/>
        <w:autoSpaceDE w:val="0"/>
        <w:widowControl/>
        <w:spacing w:line="206" w:lineRule="exact" w:before="0" w:after="0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atomic ratio of H and C;</w:t>
      </w:r>
      <w:r>
        <w:rPr>
          <w:w w:val="101.43454291603781"/>
          <w:rFonts w:ascii="AdvTT94c8263f.I" w:hAnsi="AdvTT94c8263f.I" w:eastAsia="AdvTT94c8263f.I"/>
          <w:b w:val="0"/>
          <w:i w:val="0"/>
          <w:color w:val="221F1F"/>
          <w:sz w:val="11"/>
          <w:u w:val="single"/>
        </w:rPr>
        <w:t xml:space="preserve">Mc </w:t>
      </w:r>
      <w:r>
        <w:rPr>
          <w:w w:val="101.43454291603781"/>
          <w:rFonts w:ascii="AdvTT94c8263f.I" w:hAnsi="AdvTT94c8263f.I" w:eastAsia="AdvTT94c8263f.I"/>
          <w:b w:val="0"/>
          <w:i w:val="0"/>
          <w:color w:val="221F1F"/>
          <w:sz w:val="11"/>
          <w:u w:val="single"/>
        </w:rPr>
        <w:t>d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denotes the average molar volume of</w:t>
      </w:r>
    </w:p>
    <w:p>
      <w:pPr>
        <w:autoSpaceDN w:val="0"/>
        <w:autoSpaceDE w:val="0"/>
        <w:widowControl/>
        <w:spacing w:line="196" w:lineRule="exact" w:before="0" w:after="0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C-atom, decreasing with the increase of the condensation degree of</w:t>
      </w:r>
    </w:p>
    <w:p>
      <w:pPr>
        <w:autoSpaceDN w:val="0"/>
        <w:autoSpaceDE w:val="0"/>
        <w:widowControl/>
        <w:spacing w:line="204" w:lineRule="exact" w:before="14" w:after="0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PAH;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α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denotes a modi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cation coef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cient, ranging from 0.115</w:t>
      </w:r>
      <w:r>
        <w:rPr>
          <w:rFonts w:ascii="20" w:hAnsi="20" w:eastAsia="20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0.125</w:t>
      </w:r>
    </w:p>
    <w:p>
      <w:pPr>
        <w:autoSpaceDN w:val="0"/>
        <w:autoSpaceDE w:val="0"/>
        <w:widowControl/>
        <w:spacing w:line="196" w:lineRule="exact" w:before="4" w:after="0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for coal samples, increasing with the increase of the C aromaticity.</w:t>
      </w:r>
    </w:p>
    <w:p>
      <w:pPr>
        <w:autoSpaceDN w:val="0"/>
        <w:autoSpaceDE w:val="0"/>
        <w:widowControl/>
        <w:spacing w:line="196" w:lineRule="exact" w:before="14" w:after="0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Notice that the constant, 5.34, is the average molar volume of graphite</w:t>
      </w:r>
    </w:p>
    <w:p>
      <w:pPr>
        <w:autoSpaceDN w:val="0"/>
        <w:autoSpaceDE w:val="0"/>
        <w:widowControl/>
        <w:spacing w:line="208" w:lineRule="exact" w:before="0" w:after="0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C-atom and is taken as the lower</w:t>
      </w:r>
      <w:r>
        <w:rPr>
          <w:w w:val="101.43454291603781"/>
          <w:rFonts w:ascii="AdvTT94c8263f.I" w:hAnsi="AdvTT94c8263f.I" w:eastAsia="AdvTT94c8263f.I"/>
          <w:b w:val="0"/>
          <w:i w:val="0"/>
          <w:color w:val="221F1F"/>
          <w:sz w:val="11"/>
          <w:u w:val="single"/>
        </w:rPr>
        <w:t xml:space="preserve">Mc </w:t>
      </w:r>
      <w:r>
        <w:rPr>
          <w:w w:val="101.43454291603781"/>
          <w:rFonts w:ascii="AdvTT94c8263f.I" w:hAnsi="AdvTT94c8263f.I" w:eastAsia="AdvTT94c8263f.I"/>
          <w:b w:val="0"/>
          <w:i w:val="0"/>
          <w:color w:val="221F1F"/>
          <w:sz w:val="11"/>
          <w:u w:val="single"/>
        </w:rPr>
        <w:t>d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limit of C. Moreover, the average</w:t>
      </w:r>
    </w:p>
    <w:p>
      <w:pPr>
        <w:autoSpaceDN w:val="0"/>
        <w:autoSpaceDE w:val="0"/>
        <w:widowControl/>
        <w:spacing w:line="206" w:lineRule="exact" w:before="0" w:after="0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molar volume of C-atom,</w:t>
      </w:r>
      <w:r>
        <w:rPr>
          <w:w w:val="101.43454291603781"/>
          <w:rFonts w:ascii="AdvTT94c8263f.I" w:hAnsi="AdvTT94c8263f.I" w:eastAsia="AdvTT94c8263f.I"/>
          <w:b w:val="0"/>
          <w:i w:val="0"/>
          <w:color w:val="221F1F"/>
          <w:sz w:val="11"/>
          <w:u w:val="single"/>
        </w:rPr>
        <w:t xml:space="preserve">Mc </w:t>
      </w:r>
      <w:r>
        <w:rPr>
          <w:w w:val="101.43454291603781"/>
          <w:rFonts w:ascii="AdvTT94c8263f.I" w:hAnsi="AdvTT94c8263f.I" w:eastAsia="AdvTT94c8263f.I"/>
          <w:b w:val="0"/>
          <w:i w:val="0"/>
          <w:color w:val="221F1F"/>
          <w:sz w:val="11"/>
          <w:u w:val="single"/>
        </w:rPr>
        <w:t>d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can be estimated by a second-order polyno-</w:t>
      </w:r>
    </w:p>
    <w:p>
      <w:pPr>
        <w:autoSpaceDN w:val="0"/>
        <w:autoSpaceDE w:val="0"/>
        <w:widowControl/>
        <w:spacing w:line="208" w:lineRule="exact" w:before="0" w:after="124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mial model of</w:t>
      </w:r>
      <w:r>
        <w:rPr>
          <w:w w:val="101.43454291603781"/>
          <w:rFonts w:ascii="AdvTT94c8263f.I" w:hAnsi="AdvTT94c8263f.I" w:eastAsia="AdvTT94c8263f.I"/>
          <w:b w:val="0"/>
          <w:i w:val="0"/>
          <w:color w:val="221F1F"/>
          <w:sz w:val="11"/>
          <w:u w:val="single"/>
        </w:rPr>
        <w:t>H</w:t>
      </w:r>
      <w:r>
        <w:rPr>
          <w:rFonts w:ascii="AdvP4C4E74" w:hAnsi="AdvP4C4E74" w:eastAsia="AdvP4C4E74"/>
          <w:b w:val="0"/>
          <w:i w:val="0"/>
          <w:color w:val="221F1F"/>
          <w:sz w:val="8"/>
          <w:u w:val="single"/>
        </w:rPr>
        <w:t xml:space="preserve">0 </w:t>
      </w:r>
      <w:r>
        <w:rPr>
          <w:w w:val="101.43454291603781"/>
          <w:rFonts w:ascii="AdvTT94c8263f.I" w:hAnsi="AdvTT94c8263f.I" w:eastAsia="AdvTT94c8263f.I"/>
          <w:b w:val="0"/>
          <w:i w:val="0"/>
          <w:color w:val="221F1F"/>
          <w:sz w:val="11"/>
          <w:u w:val="single"/>
        </w:rPr>
        <w:t>C</w:t>
      </w:r>
      <w:r>
        <w:rPr>
          <w:rFonts w:ascii="AdvP4C4E74" w:hAnsi="AdvP4C4E74" w:eastAsia="AdvP4C4E74"/>
          <w:b w:val="0"/>
          <w:i w:val="0"/>
          <w:color w:val="221F1F"/>
          <w:sz w:val="8"/>
          <w:u w:val="single"/>
        </w:rPr>
        <w:t>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Mazumdar, 1999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):</w:t>
      </w:r>
    </w:p>
    <w:p>
      <w:pPr>
        <w:sectPr>
          <w:type w:val="nextColumn"/>
          <w:pgSz w:w="11906" w:h="15874"/>
          <w:pgMar w:top="366" w:right="742" w:bottom="318" w:left="764" w:header="720" w:footer="720" w:gutter="0"/>
          <w:cols w:space="720" w:num="2" w:equalWidth="0"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0"/>
        <w:gridCol w:w="2600"/>
        <w:gridCol w:w="2600"/>
        <w:gridCol w:w="2600"/>
      </w:tblGrid>
      <w:tr>
        <w:trPr>
          <w:trHeight w:hRule="exact" w:val="200"/>
        </w:trPr>
        <w:tc>
          <w:tcPr>
            <w:tcW w:type="dxa" w:w="5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238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During the modi</w:t>
            </w:r>
            <w:r>
              <w:rPr>
                <w:rFonts w:ascii="fb" w:hAnsi="fb" w:eastAsia="fb"/>
                <w:b w:val="0"/>
                <w:i w:val="0"/>
                <w:color w:val="221F1F"/>
                <w:sz w:val="16"/>
              </w:rPr>
              <w:t>fi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cation of the Mazumdar model by considering</w:t>
            </w:r>
          </w:p>
        </w:tc>
        <w:tc>
          <w:tcPr>
            <w:tcW w:type="dxa" w:w="2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2" w:val="left"/>
                <w:tab w:pos="1460" w:val="left"/>
                <w:tab w:pos="2012" w:val="left"/>
              </w:tabs>
              <w:autoSpaceDE w:val="0"/>
              <w:widowControl/>
              <w:spacing w:line="174" w:lineRule="exact" w:before="246" w:after="0"/>
              <w:ind w:left="182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¼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 xml:space="preserve"> 5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: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34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þ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 xml:space="preserve"> 9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: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15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H</w:t>
            </w:r>
            <w:r>
              <w:rPr>
                <w:w w:val="101.43454291603781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 xml:space="preserve">0 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C</w:t>
            </w:r>
            <w:r>
              <w:rPr>
                <w:w w:val="101.43454291603781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  <w:r>
              <w:rPr>
                <w:rFonts w:ascii="22" w:hAnsi="22" w:eastAsia="22"/>
                <w:b w:val="0"/>
                <w:i w:val="0"/>
                <w:color w:val="221F1F"/>
                <w:sz w:val="16"/>
              </w:rPr>
              <w:t xml:space="preserve"> −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: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9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H</w:t>
            </w:r>
            <w:r>
              <w:rPr>
                <w:w w:val="101.43454291603781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0</w:t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Mc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0" w:after="0"/>
              <w:ind w:left="8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�</w:t>
            </w: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90" w:after="0"/>
              <w:ind w:left="0" w:right="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</w:tr>
      <w:tr>
        <w:trPr>
          <w:trHeight w:hRule="exact" w:val="220"/>
        </w:trPr>
        <w:tc>
          <w:tcPr>
            <w:tcW w:type="dxa" w:w="5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structure information of heteroatoms (e.g., H, O, and N), there were</w:t>
            </w:r>
          </w:p>
        </w:tc>
        <w:tc>
          <w:tcPr>
            <w:tcW w:type="dxa" w:w="2600"/>
            <w:vMerge/>
            <w:tcBorders/>
          </w:tcPr>
          <w:p/>
        </w:tc>
        <w:tc>
          <w:tcPr>
            <w:tcW w:type="dxa" w:w="2600"/>
            <w:vMerge/>
            <w:tcBorders/>
          </w:tcPr>
          <w:p/>
        </w:tc>
        <w:tc>
          <w:tcPr>
            <w:tcW w:type="dxa" w:w="2600"/>
            <w:vMerge/>
            <w:tcBorders/>
          </w:tcPr>
          <w:p/>
        </w:tc>
      </w:tr>
      <w:tr>
        <w:trPr>
          <w:trHeight w:hRule="exact" w:val="186"/>
        </w:trPr>
        <w:tc>
          <w:tcPr>
            <w:tcW w:type="dxa" w:w="5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" w:after="0"/>
              <w:ind w:left="0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introduced several ideal assumptions. For instance, one C=O bond</w:t>
            </w:r>
          </w:p>
        </w:tc>
        <w:tc>
          <w:tcPr>
            <w:tcW w:type="dxa" w:w="2600"/>
            <w:vMerge/>
            <w:tcBorders/>
          </w:tcPr>
          <w:p/>
        </w:tc>
        <w:tc>
          <w:tcPr>
            <w:tcW w:type="dxa" w:w="2600"/>
            <w:vMerge/>
            <w:tcBorders/>
          </w:tcPr>
          <w:p/>
        </w:tc>
        <w:tc>
          <w:tcPr>
            <w:tcW w:type="dxa" w:w="26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1" w:equalWidth="0"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3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was replaced by two C</w:t>
      </w:r>
      <w:r>
        <w:rPr>
          <w:rFonts w:ascii="20" w:hAnsi="20" w:eastAsia="20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 bonds and one N atom was replaced by a 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atom for the case with high C/N ratios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Wang et al., 2013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Considering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ideal assumptions may cause some key model information to be ig-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nored, which might be the reason why the prediction capacity of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modi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ed Mazumdar model is not satisfactory for practical application.</w:t>
      </w: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2" w:equalWidth="0"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3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134</w:t>
      </w:r>
    </w:p>
    <w:p>
      <w:pPr>
        <w:sectPr>
          <w:type w:val="nextColumn"/>
          <w:pgSz w:w="11906" w:h="15874"/>
          <w:pgMar w:top="366" w:right="742" w:bottom="318" w:left="764" w:header="720" w:footer="720" w:gutter="0"/>
          <w:cols w:space="720" w:num="2" w:equalWidth="0"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sectPr>
          <w:pgSz w:w="11906" w:h="15874"/>
          <w:pgMar w:top="366" w:right="742" w:bottom="318" w:left="762" w:header="720" w:footer="720" w:gutter="0"/>
          <w:cols w:space="720" w:num="2" w:equalWidth="0"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0" w:after="0"/>
        <w:ind w:left="2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H. Cao, Y.J. Milan, S.H. Mood et al.</w:t>
      </w:r>
    </w:p>
    <w:p>
      <w:pPr>
        <w:autoSpaceDN w:val="0"/>
        <w:tabs>
          <w:tab w:pos="516" w:val="left"/>
          <w:tab w:pos="4808" w:val="left"/>
        </w:tabs>
        <w:autoSpaceDE w:val="0"/>
        <w:widowControl/>
        <w:spacing w:line="526" w:lineRule="exact" w:before="310" w:after="0"/>
        <w:ind w:left="10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C</w:t>
      </w:r>
      <w:r>
        <w:rPr>
          <w:w w:val="101.43454291603781"/>
          <w:rFonts w:ascii="AdvP4C4E74" w:hAnsi="AdvP4C4E74" w:eastAsia="AdvP4C4E74"/>
          <w:b w:val="0"/>
          <w:i w:val="0"/>
          <w:color w:val="221F1F"/>
          <w:sz w:val="11"/>
        </w:rPr>
        <w:t>0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%</w:t>
      </w:r>
      <w:r>
        <w:rPr>
          <w:rFonts w:ascii="AdvP4C4E51" w:hAnsi="AdvP4C4E51" w:eastAsia="AdvP4C4E51"/>
          <w:b w:val="0"/>
          <w:i w:val="0"/>
          <w:color w:val="221F1F"/>
          <w:sz w:val="16"/>
        </w:rPr>
        <w:t>=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1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þ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2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θ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�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O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%</w:t>
      </w:r>
      <w:r>
        <w:rPr>
          <w:rFonts w:ascii="AdvP4C4E51" w:hAnsi="AdvP4C4E51" w:eastAsia="AdvP4C4E51"/>
          <w:b w:val="0"/>
          <w:i w:val="0"/>
          <w:color w:val="221F1F"/>
          <w:sz w:val="16"/>
        </w:rPr>
        <w:t>=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16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%</w:t>
      </w:r>
      <w:r>
        <w:rPr>
          <w:rFonts w:ascii="AdvP4C4E51" w:hAnsi="AdvP4C4E51" w:eastAsia="AdvP4C4E51"/>
          <w:b w:val="0"/>
          <w:i w:val="0"/>
          <w:color w:val="221F1F"/>
          <w:sz w:val="16"/>
        </w:rPr>
        <w:t>=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12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þ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N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%</w:t>
      </w:r>
      <w:r>
        <w:rPr>
          <w:rFonts w:ascii="AdvP4C4E51" w:hAnsi="AdvP4C4E51" w:eastAsia="AdvP4C4E51"/>
          <w:b w:val="0"/>
          <w:i w:val="0"/>
          <w:color w:val="221F1F"/>
          <w:sz w:val="16"/>
        </w:rPr>
        <w:t>=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14 </w:t>
      </w:r>
      <w:r>
        <w:tab/>
      </w:r>
      <w:r>
        <w:rPr>
          <w:rFonts w:ascii="AdvP4C4E74" w:hAnsi="AdvP4C4E74" w:eastAsia="AdvP4C4E74"/>
          <w:b w:val="0"/>
          <w:i w:val="0"/>
          <w:color w:val="221F1F"/>
          <w:sz w:val="16"/>
        </w:rPr>
        <w:t>ð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3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>Þ</w:t>
      </w:r>
    </w:p>
    <w:p>
      <w:pPr>
        <w:autoSpaceDN w:val="0"/>
        <w:autoSpaceDE w:val="0"/>
        <w:widowControl/>
        <w:spacing w:line="210" w:lineRule="exact" w:before="148" w:after="0"/>
        <w:ind w:left="2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Where H % /1, O % /16, C % /12, and N % /14 are the molar fractions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corresponding elements divided by their molecular weight;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θ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is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molar ratio of C=O bond to CO bonds (consisting of aliphatic and 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aryl C, C</w:t>
      </w:r>
      <w:r>
        <w:rPr>
          <w:rFonts w:ascii="20" w:hAnsi="20" w:eastAsia="20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 single bond, and C=O double bond). The modi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ed model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taken into account the presence of heteratom groups of O and N; One</w:t>
      </w:r>
    </w:p>
    <w:p>
      <w:pPr>
        <w:sectPr>
          <w:type w:val="continuous"/>
          <w:pgSz w:w="11906" w:h="15874"/>
          <w:pgMar w:top="366" w:right="742" w:bottom="318" w:left="762" w:header="720" w:footer="720" w:gutter="0"/>
          <w:cols w:space="720" w:num="2" w:equalWidth="0"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408" w:val="left"/>
          <w:tab w:pos="2272" w:val="left"/>
        </w:tabs>
        <w:autoSpaceDE w:val="0"/>
        <w:widowControl/>
        <w:spacing w:line="250" w:lineRule="exact" w:before="0" w:after="10"/>
        <w:ind w:left="170" w:right="0" w:firstLine="0"/>
        <w:jc w:val="left"/>
      </w:pPr>
      <w:r>
        <w:tab/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133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141 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2.3. Model performance evaluations </w:t>
      </w:r>
      <w:r>
        <w:br/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To evaluate the capabilities of the developed models,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ve statistical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parameters (e.g. AAE, MAE, RMSE, R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and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ρ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 were employed. AAE,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MAE, RMSE, R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and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ρ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are widely adopted statistical parameters and 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spectively represent the Average Absolute Error, Maximum Absolute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Error, Root Mean Squared Error, coef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cient of determination, and corre-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lation coef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cient. These coef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cients are de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ned as follows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Cao et al.,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Gandomi et al., 2013a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):</w:t>
      </w:r>
    </w:p>
    <w:p>
      <w:pPr>
        <w:sectPr>
          <w:type w:val="nextColumn"/>
          <w:pgSz w:w="11906" w:h="15874"/>
          <w:pgMar w:top="366" w:right="742" w:bottom="318" w:left="762" w:header="720" w:footer="720" w:gutter="0"/>
          <w:cols w:space="720" w:num="2" w:equalWidth="0"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2.0000000000000284" w:type="dxa"/>
      </w:tblPr>
      <w:tblGrid>
        <w:gridCol w:w="2080"/>
        <w:gridCol w:w="2080"/>
        <w:gridCol w:w="2080"/>
        <w:gridCol w:w="2080"/>
        <w:gridCol w:w="2080"/>
      </w:tblGrid>
      <w:tr>
        <w:trPr>
          <w:trHeight w:hRule="exact" w:val="204"/>
        </w:trPr>
        <w:tc>
          <w:tcPr>
            <w:tcW w:type="dxa" w:w="5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4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C=O bond is replaced by 2C</w:t>
            </w:r>
            <w:r>
              <w:rPr>
                <w:rFonts w:ascii="20" w:hAnsi="20" w:eastAsia="20"/>
                <w:b w:val="0"/>
                <w:i w:val="0"/>
                <w:color w:val="221F1F"/>
                <w:sz w:val="16"/>
              </w:rPr>
              <w:t>–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H bonds and one N atom is replaced by a</w:t>
            </w:r>
          </w:p>
        </w:tc>
        <w:tc>
          <w:tcPr>
            <w:tcW w:type="dxa" w:w="366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88" w:val="left"/>
                <w:tab w:pos="888" w:val="left"/>
                <w:tab w:pos="1118" w:val="left"/>
                <w:tab w:pos="1320" w:val="left"/>
                <w:tab w:pos="1512" w:val="left"/>
                <w:tab w:pos="1766" w:val="left"/>
                <w:tab w:pos="1942" w:val="left"/>
                <w:tab w:pos="2016" w:val="left"/>
                <w:tab w:pos="2094" w:val="left"/>
              </w:tabs>
              <w:autoSpaceDE w:val="0"/>
              <w:widowControl/>
              <w:spacing w:line="358" w:lineRule="exact" w:before="0" w:after="0"/>
              <w:ind w:left="18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AAE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tab/>
            </w:r>
            <w:r>
              <w:rPr>
                <w:rFonts w:ascii="22" w:hAnsi="22" w:eastAsia="22"/>
                <w:b w:val="0"/>
                <w:i w:val="0"/>
                <w:color w:val="221F1F"/>
                <w:sz w:val="16"/>
              </w:rPr>
              <w:t>∑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N</w:t>
            </w:r>
            <w:r>
              <w:rPr>
                <w:w w:val="101.43454291603781"/>
                <w:rFonts w:ascii="22" w:hAnsi="22" w:eastAsia="22"/>
                <w:b w:val="0"/>
                <w:i w:val="0"/>
                <w:color w:val="221F1F"/>
                <w:sz w:val="11"/>
              </w:rPr>
              <w:t>∑</w:t>
            </w:r>
            <w:r>
              <w:tab/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i</w:t>
            </w:r>
            <w:r>
              <w:rPr>
                <w:w w:val="101.43454291603781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¼</w:t>
            </w: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Y</w:t>
            </w: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>pred</w:t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���</w:t>
            </w:r>
            <w:r>
              <w:tab/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N</w:t>
            </w:r>
            <w:r>
              <w:tab/>
            </w:r>
            <w:r>
              <w:rPr>
                <w:rFonts w:ascii="22" w:hAnsi="22" w:eastAsia="22"/>
                <w:b w:val="0"/>
                <w:i w:val="0"/>
                <w:color w:val="221F1F"/>
                <w:sz w:val="16"/>
              </w:rPr>
              <w:t>−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Y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 xml:space="preserve">exp 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i</w:t>
            </w:r>
            <w:r>
              <w:tab/>
            </w:r>
            <w:r>
              <w:rPr>
                <w:rFonts w:ascii="20" w:hAnsi="20" w:eastAsia="20"/>
                <w:b w:val="0"/>
                <w:i w:val="0"/>
                <w:color w:val="221F1F"/>
                <w:sz w:val="16"/>
              </w:rPr>
              <w:t>‖</w:t>
            </w:r>
            <w:r>
              <w:tab/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���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,</w:t>
            </w:r>
          </w:p>
          <w:p>
            <w:pPr>
              <w:autoSpaceDN w:val="0"/>
              <w:tabs>
                <w:tab w:pos="1078" w:val="left"/>
                <w:tab w:pos="1470" w:val="left"/>
                <w:tab w:pos="1726" w:val="left"/>
                <w:tab w:pos="1900" w:val="left"/>
                <w:tab w:pos="1976" w:val="left"/>
              </w:tabs>
              <w:autoSpaceDE w:val="0"/>
              <w:widowControl/>
              <w:spacing w:line="340" w:lineRule="exact" w:before="0" w:after="0"/>
              <w:ind w:left="18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MAE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max Y</w:t>
            </w: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>pred</w:t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���</w:t>
            </w:r>
            <w:r>
              <w:tab/>
            </w:r>
            <w:r>
              <w:rPr>
                <w:rFonts w:ascii="22" w:hAnsi="22" w:eastAsia="22"/>
                <w:b w:val="0"/>
                <w:i w:val="0"/>
                <w:color w:val="221F1F"/>
                <w:sz w:val="16"/>
              </w:rPr>
              <w:t>−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Y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 xml:space="preserve">exp 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i</w:t>
            </w:r>
            <w:r>
              <w:tab/>
            </w:r>
            <w:r>
              <w:rPr>
                <w:rFonts w:ascii="20" w:hAnsi="20" w:eastAsia="20"/>
                <w:b w:val="0"/>
                <w:i w:val="0"/>
                <w:color w:val="221F1F"/>
                <w:sz w:val="16"/>
              </w:rPr>
              <w:t>‖</w:t>
            </w:r>
            <w:r>
              <w:tab/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���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,</w:t>
            </w:r>
          </w:p>
          <w:p>
            <w:pPr>
              <w:autoSpaceDN w:val="0"/>
              <w:autoSpaceDE w:val="0"/>
              <w:widowControl/>
              <w:spacing w:line="310" w:lineRule="exact" w:before="0" w:after="0"/>
              <w:ind w:left="18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RMSE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 </w:t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 xml:space="preserve">s </w:t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 xml:space="preserve">ffiffiffiffiffiffiffiffiffiffiffiffiffiffiffiffiffiffiffiffiffiffiffiffiffiffiffiffiffiffiffiffiffiffiffiffiffiffiffiffi 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;</w:t>
            </w:r>
          </w:p>
        </w:tc>
        <w:tc>
          <w:tcPr>
            <w:tcW w:type="dxa" w:w="1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362" w:after="0"/>
              <w:ind w:left="0" w:right="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6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</w:tr>
      <w:tr>
        <w:trPr>
          <w:trHeight w:hRule="exact" w:val="200"/>
        </w:trPr>
        <w:tc>
          <w:tcPr>
            <w:tcW w:type="dxa" w:w="5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4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C atom. In this research, the modi</w:t>
            </w:r>
            <w:r>
              <w:rPr>
                <w:rFonts w:ascii="fb" w:hAnsi="fb" w:eastAsia="fb"/>
                <w:b w:val="0"/>
                <w:i w:val="0"/>
                <w:color w:val="221F1F"/>
                <w:sz w:val="16"/>
              </w:rPr>
              <w:t>fi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ed model is referred as Mazumdar-</w:t>
            </w:r>
          </w:p>
        </w:tc>
        <w:tc>
          <w:tcPr>
            <w:tcW w:type="dxa" w:w="6240"/>
            <w:gridSpan w:val="3"/>
            <w:vMerge/>
            <w:tcBorders/>
          </w:tcPr>
          <w:p/>
        </w:tc>
        <w:tc>
          <w:tcPr>
            <w:tcW w:type="dxa" w:w="2080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5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" w:after="0"/>
              <w:ind w:left="4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Wang model.</w:t>
            </w:r>
          </w:p>
        </w:tc>
        <w:tc>
          <w:tcPr>
            <w:tcW w:type="dxa" w:w="6240"/>
            <w:gridSpan w:val="3"/>
            <w:vMerge/>
            <w:tcBorders/>
          </w:tcPr>
          <w:p/>
        </w:tc>
        <w:tc>
          <w:tcPr>
            <w:tcW w:type="dxa" w:w="2080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5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8" w:after="0"/>
              <w:ind w:left="4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2.2.2. Genetic programming modelling method</w:t>
            </w:r>
          </w:p>
        </w:tc>
        <w:tc>
          <w:tcPr>
            <w:tcW w:type="dxa" w:w="6240"/>
            <w:gridSpan w:val="3"/>
            <w:vMerge/>
            <w:tcBorders/>
          </w:tcPr>
          <w:p/>
        </w:tc>
        <w:tc>
          <w:tcPr>
            <w:tcW w:type="dxa" w:w="1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142" w:after="0"/>
              <w:ind w:left="0" w:right="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7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</w:tr>
      <w:tr>
        <w:trPr>
          <w:trHeight w:hRule="exact" w:val="220"/>
        </w:trPr>
        <w:tc>
          <w:tcPr>
            <w:tcW w:type="dxa" w:w="5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24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GP simulates Darwin's theory of biological evolution:</w:t>
            </w:r>
            <w:r>
              <w:rPr>
                <w:rFonts w:ascii="20" w:hAnsi="20" w:eastAsia="20"/>
                <w:b w:val="0"/>
                <w:i w:val="0"/>
                <w:color w:val="221F1F"/>
                <w:sz w:val="16"/>
              </w:rPr>
              <w:t xml:space="preserve"> “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survival of the</w:t>
            </w:r>
          </w:p>
        </w:tc>
        <w:tc>
          <w:tcPr>
            <w:tcW w:type="dxa" w:w="6240"/>
            <w:gridSpan w:val="3"/>
            <w:vMerge/>
            <w:tcBorders/>
          </w:tcPr>
          <w:p/>
        </w:tc>
        <w:tc>
          <w:tcPr>
            <w:tcW w:type="dxa" w:w="2080"/>
            <w:vMerge/>
            <w:tcBorders/>
          </w:tcPr>
          <w:p/>
        </w:tc>
      </w:tr>
      <w:tr>
        <w:trPr>
          <w:trHeight w:hRule="exact" w:val="216"/>
        </w:trPr>
        <w:tc>
          <w:tcPr>
            <w:tcW w:type="dxa" w:w="5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2" w:after="0"/>
              <w:ind w:left="4" w:right="0" w:firstLine="0"/>
              <w:jc w:val="left"/>
            </w:pPr>
            <w:r>
              <w:rPr>
                <w:rFonts w:ascii="fb" w:hAnsi="fb" w:eastAsia="fb"/>
                <w:b w:val="0"/>
                <w:i w:val="0"/>
                <w:color w:val="221F1F"/>
                <w:sz w:val="16"/>
              </w:rPr>
              <w:t>fi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ttest</w:t>
            </w:r>
            <w:r>
              <w:rPr>
                <w:rFonts w:ascii="20" w:hAnsi="20" w:eastAsia="20"/>
                <w:b w:val="0"/>
                <w:i w:val="0"/>
                <w:color w:val="221F1F"/>
                <w:sz w:val="16"/>
              </w:rPr>
              <w:t>”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 xml:space="preserve"> and</w:t>
            </w:r>
            <w:r>
              <w:rPr>
                <w:rFonts w:ascii="20" w:hAnsi="20" w:eastAsia="20"/>
                <w:b w:val="0"/>
                <w:i w:val="0"/>
                <w:color w:val="221F1F"/>
                <w:sz w:val="16"/>
              </w:rPr>
              <w:t xml:space="preserve"> “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genetic propagation of characteristics</w:t>
            </w:r>
            <w:r>
              <w:rPr>
                <w:rFonts w:ascii="20" w:hAnsi="20" w:eastAsia="20"/>
                <w:b w:val="0"/>
                <w:i w:val="0"/>
                <w:color w:val="221F1F"/>
                <w:sz w:val="16"/>
              </w:rPr>
              <w:t>”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; it is an intelligent</w:t>
            </w:r>
          </w:p>
        </w:tc>
        <w:tc>
          <w:tcPr>
            <w:tcW w:type="dxa" w:w="6240"/>
            <w:gridSpan w:val="3"/>
            <w:vMerge/>
            <w:tcBorders/>
          </w:tcPr>
          <w:p/>
        </w:tc>
        <w:tc>
          <w:tcPr>
            <w:tcW w:type="dxa" w:w="1540"/>
            <w:vMerge w:val="restart"/>
            <w:tcBorders>
              <w:bottom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4" w:after="0"/>
              <w:ind w:left="0" w:right="58" w:firstLine="0"/>
              <w:jc w:val="righ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8</w:t>
            </w:r>
          </w:p>
        </w:tc>
      </w:tr>
      <w:tr>
        <w:trPr>
          <w:trHeight w:hRule="exact" w:val="228"/>
        </w:trPr>
        <w:tc>
          <w:tcPr>
            <w:tcW w:type="dxa" w:w="5180"/>
            <w:tcBorders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4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evolution strategy which automatically evolves computer programs to</w:t>
            </w:r>
          </w:p>
        </w:tc>
        <w:tc>
          <w:tcPr>
            <w:tcW w:type="dxa" w:w="6240"/>
            <w:gridSpan w:val="3"/>
            <w:vMerge/>
            <w:tcBorders/>
          </w:tcPr>
          <w:p/>
        </w:tc>
        <w:tc>
          <w:tcPr>
            <w:tcW w:type="dxa" w:w="2080"/>
            <w:vMerge/>
            <w:tcBorders>
              <w:bottom w:sz="2.400000000000091" w:val="single" w:color="#221F1F"/>
            </w:tcBorders>
          </w:tcPr>
          <w:p/>
        </w:tc>
      </w:tr>
      <w:tr>
        <w:trPr>
          <w:trHeight w:hRule="exact" w:val="176"/>
        </w:trPr>
        <w:tc>
          <w:tcPr>
            <w:tcW w:type="dxa" w:w="5180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4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solve the task without specifying the structure of the solution in ad-</w:t>
            </w:r>
          </w:p>
        </w:tc>
        <w:tc>
          <w:tcPr>
            <w:tcW w:type="dxa" w:w="6240"/>
            <w:gridSpan w:val="3"/>
            <w:vMerge/>
            <w:tcBorders/>
          </w:tcPr>
          <w:p/>
        </w:tc>
        <w:tc>
          <w:tcPr>
            <w:tcW w:type="dxa" w:w="1540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0" w:after="0"/>
              <w:ind w:left="0" w:right="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</w:tr>
      <w:tr>
        <w:trPr>
          <w:trHeight w:hRule="exact" w:val="222"/>
        </w:trPr>
        <w:tc>
          <w:tcPr>
            <w:tcW w:type="dxa" w:w="5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4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vance (</w:t>
            </w:r>
            <w:r>
              <w:rPr>
                <w:rFonts w:ascii="AdvTT5235d5a9" w:hAnsi="AdvTT5235d5a9" w:eastAsia="AdvTT5235d5a9"/>
                <w:b w:val="0"/>
                <w:i w:val="0"/>
                <w:color w:val="2E3092"/>
                <w:sz w:val="16"/>
              </w:rPr>
              <w:t>Baumes et al., 2009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;</w:t>
            </w:r>
            <w:r>
              <w:rPr>
                <w:rFonts w:ascii="AdvTT5235d5a9" w:hAnsi="AdvTT5235d5a9" w:eastAsia="AdvTT5235d5a9"/>
                <w:b w:val="0"/>
                <w:i w:val="0"/>
                <w:color w:val="2E3092"/>
                <w:sz w:val="16"/>
              </w:rPr>
              <w:t xml:space="preserve"> Gandomi et al., 2015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). Hence, the advantage</w:t>
            </w:r>
          </w:p>
        </w:tc>
        <w:tc>
          <w:tcPr>
            <w:tcW w:type="dxa" w:w="1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94" w:val="left"/>
                <w:tab w:pos="1028" w:val="left"/>
                <w:tab w:pos="1096" w:val="left"/>
                <w:tab w:pos="1424" w:val="left"/>
                <w:tab w:pos="1590" w:val="left"/>
              </w:tabs>
              <w:autoSpaceDE w:val="0"/>
              <w:widowControl/>
              <w:spacing w:line="428" w:lineRule="exact" w:before="0" w:after="0"/>
              <w:ind w:left="182" w:right="0" w:firstLine="0"/>
              <w:jc w:val="left"/>
            </w:pPr>
            <w:r>
              <w:tab/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exp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8"/>
              </w:rPr>
              <w:t xml:space="preserve">pred 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8"/>
              </w:rPr>
              <w:t xml:space="preserve">i 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R</w:t>
            </w: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¼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 xml:space="preserve"> 1</w:t>
            </w:r>
            <w:r>
              <w:rPr>
                <w:rFonts w:ascii="22" w:hAnsi="22" w:eastAsia="22"/>
                <w:b w:val="0"/>
                <w:i w:val="0"/>
                <w:color w:val="221F1F"/>
                <w:sz w:val="16"/>
              </w:rPr>
              <w:t xml:space="preserve">− </w:t>
            </w:r>
            <w:r>
              <w:rPr>
                <w:rFonts w:ascii="22" w:hAnsi="22" w:eastAsia="22"/>
                <w:b w:val="0"/>
                <w:i w:val="0"/>
                <w:color w:val="221F1F"/>
                <w:sz w:val="16"/>
              </w:rPr>
              <w:t>∑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N</w:t>
            </w:r>
            <w:r>
              <w:rPr>
                <w:w w:val="101.43454291603781"/>
                <w:rFonts w:ascii="22" w:hAnsi="22" w:eastAsia="22"/>
                <w:b w:val="0"/>
                <w:i w:val="0"/>
                <w:color w:val="221F1F"/>
                <w:sz w:val="11"/>
              </w:rPr>
              <w:t>∑</w:t>
            </w:r>
            <w:r>
              <w:tab/>
            </w:r>
            <w:r>
              <w:rPr>
                <w:rFonts w:ascii="22" w:hAnsi="22" w:eastAsia="22"/>
                <w:b w:val="0"/>
                <w:i w:val="0"/>
                <w:color w:val="221F1F"/>
                <w:sz w:val="16"/>
              </w:rPr>
              <w:t>∑</w:t>
            </w:r>
            <w:r>
              <w:tab/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i</w:t>
            </w:r>
            <w:r>
              <w:rPr>
                <w:w w:val="101.43454291603781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¼</w:t>
            </w: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Y </w:t>
            </w:r>
            <w:r>
              <w:tab/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exp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8"/>
              </w:rPr>
              <w:t>exp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8"/>
              </w:rPr>
              <w:t>2</w:t>
            </w:r>
          </w:p>
          <w:p>
            <w:pPr>
              <w:autoSpaceDN w:val="0"/>
              <w:tabs>
                <w:tab w:pos="1262" w:val="left"/>
                <w:tab w:pos="1424" w:val="left"/>
              </w:tabs>
              <w:autoSpaceDE w:val="0"/>
              <w:widowControl/>
              <w:spacing w:line="162" w:lineRule="exact" w:before="0" w:after="0"/>
              <w:ind w:left="1096" w:right="144" w:firstLine="0"/>
              <w:jc w:val="left"/>
            </w:pP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 xml:space="preserve">i </w:t>
            </w:r>
            <w:r>
              <w:br/>
            </w:r>
            <w:r>
              <w:tab/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8"/>
              </w:rPr>
              <w:t xml:space="preserve">ave </w:t>
            </w:r>
            <w:r>
              <w:br/>
            </w:r>
            <w:r>
              <w:tab/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i</w:t>
            </w:r>
          </w:p>
          <w:p>
            <w:pPr>
              <w:autoSpaceDN w:val="0"/>
              <w:autoSpaceDE w:val="0"/>
              <w:widowControl/>
              <w:spacing w:line="96" w:lineRule="exact" w:before="0" w:after="0"/>
              <w:ind w:left="0" w:right="238" w:firstLine="0"/>
              <w:jc w:val="righ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8"/>
              </w:rPr>
              <w:t>N</w:t>
            </w:r>
          </w:p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righ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8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8"/>
              </w:rPr>
              <w:t>¼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8"/>
              </w:rPr>
              <w:t xml:space="preserve">1 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Y</w:t>
            </w:r>
          </w:p>
        </w:tc>
        <w:tc>
          <w:tcPr>
            <w:tcW w:type="dxa" w:w="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8" w:lineRule="exact" w:before="204" w:after="0"/>
              <w:ind w:left="0" w:right="0" w:firstLine="0"/>
              <w:jc w:val="center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8"/>
              </w:rPr>
              <w:t>2</w:t>
            </w:r>
          </w:p>
        </w:tc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8" w:after="0"/>
              <w:ind w:left="34" w:right="0" w:firstLine="0"/>
              <w:jc w:val="left"/>
            </w:pP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;</w:t>
            </w:r>
          </w:p>
        </w:tc>
        <w:tc>
          <w:tcPr>
            <w:tcW w:type="dxa" w:w="1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432" w:after="0"/>
              <w:ind w:left="0" w:right="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9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</w:tr>
      <w:tr>
        <w:trPr>
          <w:trHeight w:hRule="exact" w:val="208"/>
        </w:trPr>
        <w:tc>
          <w:tcPr>
            <w:tcW w:type="dxa" w:w="5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4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of GP modelling method is that not only the parameters of models are</w:t>
            </w:r>
          </w:p>
        </w:tc>
        <w:tc>
          <w:tcPr>
            <w:tcW w:type="dxa" w:w="2080"/>
            <w:vMerge/>
            <w:tcBorders/>
          </w:tcPr>
          <w:p/>
        </w:tc>
        <w:tc>
          <w:tcPr>
            <w:tcW w:type="dxa" w:w="2080"/>
            <w:vMerge/>
            <w:tcBorders/>
          </w:tcPr>
          <w:p/>
        </w:tc>
        <w:tc>
          <w:tcPr>
            <w:tcW w:type="dxa" w:w="2080"/>
            <w:vMerge/>
            <w:tcBorders/>
          </w:tcPr>
          <w:p/>
        </w:tc>
        <w:tc>
          <w:tcPr>
            <w:tcW w:type="dxa" w:w="2080"/>
            <w:vMerge/>
            <w:tcBorders/>
          </w:tcPr>
          <w:p/>
        </w:tc>
      </w:tr>
      <w:tr>
        <w:trPr>
          <w:trHeight w:hRule="exact" w:val="210"/>
        </w:trPr>
        <w:tc>
          <w:tcPr>
            <w:tcW w:type="dxa" w:w="5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8" w:after="0"/>
              <w:ind w:left="4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identi</w:t>
            </w:r>
            <w:r>
              <w:rPr>
                <w:rFonts w:ascii="fb" w:hAnsi="fb" w:eastAsia="fb"/>
                <w:b w:val="0"/>
                <w:i w:val="0"/>
                <w:color w:val="221F1F"/>
                <w:sz w:val="16"/>
              </w:rPr>
              <w:t>fi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ed automatically but also it can identify the structure of models.</w:t>
            </w:r>
          </w:p>
        </w:tc>
        <w:tc>
          <w:tcPr>
            <w:tcW w:type="dxa" w:w="2080"/>
            <w:vMerge/>
            <w:tcBorders/>
          </w:tcPr>
          <w:p/>
        </w:tc>
        <w:tc>
          <w:tcPr>
            <w:tcW w:type="dxa" w:w="2080"/>
            <w:vMerge/>
            <w:tcBorders/>
          </w:tcPr>
          <w:p/>
        </w:tc>
        <w:tc>
          <w:tcPr>
            <w:tcW w:type="dxa" w:w="2080"/>
            <w:vMerge/>
            <w:tcBorders/>
          </w:tcPr>
          <w:p/>
        </w:tc>
        <w:tc>
          <w:tcPr>
            <w:tcW w:type="dxa" w:w="2080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5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24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Herein, we consider a multiple input-single output (MISO)</w:t>
            </w:r>
          </w:p>
        </w:tc>
        <w:tc>
          <w:tcPr>
            <w:tcW w:type="dxa" w:w="2080"/>
            <w:vMerge/>
            <w:tcBorders/>
          </w:tcPr>
          <w:p/>
        </w:tc>
        <w:tc>
          <w:tcPr>
            <w:tcW w:type="dxa" w:w="2080"/>
            <w:vMerge/>
            <w:tcBorders/>
          </w:tcPr>
          <w:p/>
        </w:tc>
        <w:tc>
          <w:tcPr>
            <w:tcW w:type="dxa" w:w="2080"/>
            <w:vMerge/>
            <w:tcBorders/>
          </w:tcPr>
          <w:p/>
        </w:tc>
        <w:tc>
          <w:tcPr>
            <w:tcW w:type="dxa" w:w="2080"/>
            <w:vMerge/>
            <w:tcBorders/>
          </w:tcPr>
          <w:p/>
        </w:tc>
      </w:tr>
      <w:tr>
        <w:trPr>
          <w:trHeight w:hRule="exact" w:val="192"/>
        </w:trPr>
        <w:tc>
          <w:tcPr>
            <w:tcW w:type="dxa" w:w="5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4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predicting task. Modelling data set is,</w:t>
            </w:r>
          </w:p>
        </w:tc>
        <w:tc>
          <w:tcPr>
            <w:tcW w:type="dxa" w:w="2080"/>
            <w:vMerge/>
            <w:tcBorders/>
          </w:tcPr>
          <w:p/>
        </w:tc>
        <w:tc>
          <w:tcPr>
            <w:tcW w:type="dxa" w:w="2080"/>
            <w:vMerge/>
            <w:tcBorders/>
          </w:tcPr>
          <w:p/>
        </w:tc>
        <w:tc>
          <w:tcPr>
            <w:tcW w:type="dxa" w:w="2080"/>
            <w:vMerge/>
            <w:tcBorders/>
          </w:tcPr>
          <w:p/>
        </w:tc>
        <w:tc>
          <w:tcPr>
            <w:tcW w:type="dxa" w:w="208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88"/>
        <w:ind w:left="0" w:right="0"/>
      </w:pPr>
    </w:p>
    <w:p>
      <w:pPr>
        <w:sectPr>
          <w:type w:val="continuous"/>
          <w:pgSz w:w="11906" w:h="15874"/>
          <w:pgMar w:top="366" w:right="742" w:bottom="318" w:left="762" w:header="720" w:footer="720" w:gutter="0"/>
          <w:cols w:space="720" w:num="1" w:equalWidth="0"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2.0000000000000284" w:type="dxa"/>
      </w:tblPr>
      <w:tblGrid>
        <w:gridCol w:w="2600"/>
        <w:gridCol w:w="2600"/>
        <w:gridCol w:w="2600"/>
        <w:gridCol w:w="2600"/>
      </w:tblGrid>
      <w:tr>
        <w:trPr>
          <w:trHeight w:hRule="exact" w:val="378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12" w:after="0"/>
              <w:ind w:left="0" w:right="0" w:firstLine="0"/>
              <w:jc w:val="center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0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f 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TT1753cc9b.BI" w:hAnsi="AdvTT1753cc9b.BI" w:eastAsia="AdvTT1753cc9b.BI"/>
                <w:b w:val="0"/>
                <w:i w:val="0"/>
                <w:color w:val="221F1F"/>
                <w:sz w:val="16"/>
              </w:rPr>
              <w:t>x</w:t>
            </w: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,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y</w:t>
            </w: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>1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0" w:after="0"/>
              <w:ind w:left="22" w:right="0" w:firstLine="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,</w:t>
            </w:r>
            <w:r>
              <w:rPr>
                <w:rFonts w:ascii="AdvTT1753cc9b.BI" w:hAnsi="AdvTT1753cc9b.BI" w:eastAsia="AdvTT1753cc9b.BI"/>
                <w:b w:val="0"/>
                <w:i w:val="0"/>
                <w:color w:val="221F1F"/>
                <w:sz w:val="16"/>
              </w:rPr>
              <w:t xml:space="preserve"> x</w:t>
            </w: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, y</w:t>
            </w: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,</w:t>
            </w:r>
            <w:r>
              <w:rPr>
                <w:rFonts w:ascii="22" w:hAnsi="22" w:eastAsia="22"/>
                <w:b w:val="0"/>
                <w:i w:val="0"/>
                <w:color w:val="221F1F"/>
                <w:sz w:val="16"/>
              </w:rPr>
              <w:t xml:space="preserve"> ⋯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,</w:t>
            </w:r>
            <w:r>
              <w:rPr>
                <w:rFonts w:ascii="AdvTT1753cc9b.BI" w:hAnsi="AdvTT1753cc9b.BI" w:eastAsia="AdvTT1753cc9b.BI"/>
                <w:b w:val="0"/>
                <w:i w:val="0"/>
                <w:color w:val="221F1F"/>
                <w:sz w:val="16"/>
              </w:rPr>
              <w:t xml:space="preserve"> x</w:t>
            </w: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>N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, y</w:t>
            </w: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Þ 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g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,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10" w:after="0"/>
              <w:ind w:left="0" w:right="76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</w:tr>
    </w:tbl>
    <w:p>
      <w:pPr>
        <w:autoSpaceDN w:val="0"/>
        <w:autoSpaceDE w:val="0"/>
        <w:widowControl/>
        <w:spacing w:line="206" w:lineRule="exact" w:before="76" w:after="140"/>
        <w:ind w:left="2" w:right="17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including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data patterns, where</w:t>
      </w:r>
      <w:r>
        <w:rPr>
          <w:rFonts w:ascii="AdvTT1753cc9b.BI" w:hAnsi="AdvTT1753cc9b.BI" w:eastAsia="AdvTT1753cc9b.BI"/>
          <w:b w:val="0"/>
          <w:i w:val="0"/>
          <w:color w:val="221F1F"/>
          <w:sz w:val="16"/>
        </w:rPr>
        <w:t xml:space="preserve"> x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= 1,2,</w:t>
      </w:r>
      <w:r>
        <w:rPr>
          <w:rFonts w:ascii="22" w:hAnsi="22" w:eastAsia="22"/>
          <w:b w:val="0"/>
          <w:i w:val="0"/>
          <w:color w:val="221F1F"/>
          <w:sz w:val="16"/>
        </w:rPr>
        <w:t>⋯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 is an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M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-dimensional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input vector (</w:t>
      </w:r>
      <w:r>
        <w:rPr>
          <w:rFonts w:ascii="AdvTT1753cc9b.BI" w:hAnsi="AdvTT1753cc9b.BI" w:eastAsia="AdvTT1753cc9b.BI"/>
          <w:b w:val="0"/>
          <w:i w:val="0"/>
          <w:color w:val="221F1F"/>
          <w:sz w:val="16"/>
        </w:rPr>
        <w:t>x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= [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x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x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</w:t>
      </w:r>
      <w:r>
        <w:rPr>
          <w:rFonts w:ascii="22" w:hAnsi="22" w:eastAsia="22"/>
          <w:b w:val="0"/>
          <w:i w:val="0"/>
          <w:color w:val="221F1F"/>
          <w:sz w:val="16"/>
        </w:rPr>
        <w:t>⋯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x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nM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]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T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 and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y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is the corresponding model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output. Using the data set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D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the GP can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nd the exact form and the as-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sociated parameters of the unknown MISO model (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f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The general form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the model to be solved by GP is given as,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2.0000000000000284" w:type="dxa"/>
      </w:tblPr>
      <w:tblGrid>
        <w:gridCol w:w="3467"/>
        <w:gridCol w:w="3467"/>
        <w:gridCol w:w="3467"/>
      </w:tblGrid>
      <w:tr>
        <w:trPr>
          <w:trHeight w:hRule="exact" w:val="430"/>
        </w:trPr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f</w:t>
            </w:r>
            <w:r>
              <w:rPr>
                <w:rFonts w:ascii="AdvTT1753cc9b.BI" w:hAnsi="AdvTT1753cc9b.BI" w:eastAsia="AdvTT1753cc9b.BI"/>
                <w:b w:val="0"/>
                <w:i w:val="0"/>
                <w:color w:val="221F1F"/>
                <w:sz w:val="16"/>
              </w:rPr>
              <w:t xml:space="preserve"> x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,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ω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94" w:after="0"/>
              <w:ind w:left="2" w:right="0" w:firstLine="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  <w:tc>
          <w:tcPr>
            <w:tcW w:type="dxa" w:w="2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62" w:after="0"/>
              <w:ind w:left="0" w:right="76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5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</w:tr>
    </w:tbl>
    <w:p>
      <w:pPr>
        <w:autoSpaceDN w:val="0"/>
        <w:autoSpaceDE w:val="0"/>
        <w:widowControl/>
        <w:spacing w:line="220" w:lineRule="exact" w:before="64" w:after="0"/>
        <w:ind w:left="2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where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ω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= [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ω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ω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</w:t>
      </w:r>
      <w:r>
        <w:rPr>
          <w:rFonts w:ascii="22" w:hAnsi="22" w:eastAsia="22"/>
          <w:b w:val="0"/>
          <w:i w:val="0"/>
          <w:color w:val="221F1F"/>
          <w:sz w:val="16"/>
        </w:rPr>
        <w:t>⋯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ω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Q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] denotes a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Q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-dimensional parameter vector.</w:t>
      </w:r>
    </w:p>
    <w:p>
      <w:pPr>
        <w:autoSpaceDN w:val="0"/>
        <w:autoSpaceDE w:val="0"/>
        <w:widowControl/>
        <w:spacing w:line="206" w:lineRule="exact" w:before="0" w:after="0"/>
        <w:ind w:left="2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At the beginning of the GP, a population of candidate solutions is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randomly generated to the model identi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cation problem. As seen in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Fig. 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(a), a candidate solution is coded with a form of trees (gene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expression trees), which forms a candidate model for the model output</w:t>
      </w:r>
    </w:p>
    <w:p>
      <w:pPr>
        <w:sectPr>
          <w:type w:val="continuous"/>
          <w:pgSz w:w="11906" w:h="15874"/>
          <w:pgMar w:top="366" w:right="742" w:bottom="318" w:left="762" w:header="720" w:footer="720" w:gutter="0"/>
          <w:cols w:space="720" w:num="2" w:equalWidth="0"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6.00000000000023" w:type="dxa"/>
      </w:tblPr>
      <w:tblGrid>
        <w:gridCol w:w="3467"/>
        <w:gridCol w:w="3467"/>
        <w:gridCol w:w="3467"/>
      </w:tblGrid>
      <w:tr>
        <w:trPr>
          <w:trHeight w:hRule="exact" w:val="1110"/>
        </w:trPr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64" w:after="0"/>
              <w:ind w:left="0" w:right="18" w:firstLine="0"/>
              <w:jc w:val="righ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ρ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</w:p>
        </w:tc>
        <w:tc>
          <w:tcPr>
            <w:tcW w:type="dxa" w:w="3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34" w:after="0"/>
              <w:ind w:left="320" w:right="0" w:firstLine="0"/>
              <w:jc w:val="left"/>
            </w:pPr>
            <w:r>
              <w:rPr>
                <w:rFonts w:ascii="22" w:hAnsi="22" w:eastAsia="22"/>
                <w:b w:val="0"/>
                <w:i w:val="0"/>
                <w:color w:val="221F1F"/>
                <w:sz w:val="16"/>
              </w:rPr>
              <w:t>∑</w:t>
            </w:r>
          </w:p>
          <w:p>
            <w:pPr>
              <w:autoSpaceDN w:val="0"/>
              <w:tabs>
                <w:tab w:pos="378" w:val="left"/>
                <w:tab w:pos="520" w:val="left"/>
                <w:tab w:pos="614" w:val="left"/>
                <w:tab w:pos="716" w:val="left"/>
                <w:tab w:pos="908" w:val="left"/>
                <w:tab w:pos="1162" w:val="left"/>
                <w:tab w:pos="1354" w:val="left"/>
                <w:tab w:pos="1448" w:val="left"/>
                <w:tab w:pos="1542" w:val="left"/>
                <w:tab w:pos="1646" w:val="left"/>
                <w:tab w:pos="1886" w:val="left"/>
                <w:tab w:pos="2140" w:val="left"/>
                <w:tab w:pos="2380" w:val="left"/>
              </w:tabs>
              <w:autoSpaceDE w:val="0"/>
              <w:widowControl/>
              <w:spacing w:line="298" w:lineRule="exact" w:before="0" w:after="0"/>
              <w:ind w:left="328" w:right="1008" w:firstLine="0"/>
              <w:jc w:val="left"/>
            </w:pP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i</w:t>
            </w:r>
            <w:r>
              <w:rPr>
                <w:w w:val="101.43454291603781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¼</w:t>
            </w: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Y</w:t>
            </w: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 xml:space="preserve">exp 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i</w:t>
            </w:r>
            <w:r>
              <w:tab/>
            </w:r>
            <w:r>
              <w:rPr>
                <w:rFonts w:ascii="22" w:hAnsi="22" w:eastAsia="22"/>
                <w:b w:val="0"/>
                <w:i w:val="0"/>
                <w:color w:val="221F1F"/>
                <w:sz w:val="16"/>
              </w:rPr>
              <w:t>−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Y 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ave</w:t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Y</w:t>
            </w: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 xml:space="preserve">pred 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i</w:t>
            </w:r>
            <w:r>
              <w:tab/>
            </w:r>
            <w:r>
              <w:rPr>
                <w:rFonts w:ascii="22" w:hAnsi="22" w:eastAsia="22"/>
                <w:b w:val="0"/>
                <w:i w:val="0"/>
                <w:color w:val="221F1F"/>
                <w:sz w:val="16"/>
              </w:rPr>
              <w:t>−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Y 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ave</w:t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�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 xml:space="preserve">N </w:t>
            </w:r>
            <w:r>
              <w:tab/>
            </w: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 xml:space="preserve">exp </w:t>
            </w:r>
            <w:r>
              <w:tab/>
            </w: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>pred</w:t>
            </w:r>
          </w:p>
          <w:p>
            <w:pPr>
              <w:autoSpaceDN w:val="0"/>
              <w:tabs>
                <w:tab w:pos="184" w:val="left"/>
                <w:tab w:pos="194" w:val="left"/>
                <w:tab w:pos="412" w:val="left"/>
                <w:tab w:pos="1246" w:val="left"/>
                <w:tab w:pos="1450" w:val="left"/>
                <w:tab w:pos="1668" w:val="left"/>
                <w:tab w:pos="2598" w:val="left"/>
              </w:tabs>
              <w:autoSpaceDE w:val="0"/>
              <w:widowControl/>
              <w:spacing w:line="596" w:lineRule="exact" w:before="0" w:after="0"/>
              <w:ind w:left="26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 xml:space="preserve">s </w:t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ffiffiffiffiffiffiffiffiffiffiffiffiffiffiffiffiffiffiffiffiffiffiffi</w:t>
            </w:r>
            <w:r>
              <w:rPr>
                <w:rFonts w:ascii="AdvP4C4E46" w:hAnsi="AdvP4C4E46" w:eastAsia="AdvP4C4E46"/>
                <w:b w:val="0"/>
                <w:i w:val="0"/>
                <w:strike/>
                <w:color w:val="221F1F"/>
                <w:sz w:val="16"/>
              </w:rPr>
              <w:t>ffi</w:t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ffiffiffiffiffiffiffiffiffiffiffiffiffiffiffiffiffiffiffiffiffiffiffiffiffiffiffiffiffiffiffiffiffiffiffiffiffiffiffi</w:t>
            </w:r>
            <w:r>
              <w:rPr>
                <w:rFonts w:ascii="AdvP4C4E46" w:hAnsi="AdvP4C4E46" w:eastAsia="AdvP4C4E46"/>
                <w:b w:val="0"/>
                <w:i w:val="0"/>
                <w:strike/>
                <w:color w:val="221F1F"/>
                <w:sz w:val="16"/>
              </w:rPr>
              <w:t>ffi</w:t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 xml:space="preserve">ffiffiffiffiffiffiffiffiffiffiffiffiffiffi 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i</w:t>
            </w:r>
            <w:r>
              <w:rPr>
                <w:w w:val="101.43454291603781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¼</w:t>
            </w: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�</w:t>
            </w:r>
            <w:r>
              <w:tab/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�</w:t>
            </w: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 xml:space="preserve">2 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i</w:t>
            </w:r>
            <w:r>
              <w:rPr>
                <w:w w:val="101.43454291603781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¼</w:t>
            </w: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�</w:t>
            </w:r>
            <w:r>
              <w:tab/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�</w:t>
            </w: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362" w:after="0"/>
              <w:ind w:left="0" w:right="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10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</w:tr>
      <w:tr>
        <w:trPr>
          <w:trHeight w:hRule="exact" w:val="1116"/>
        </w:trPr>
        <w:tc>
          <w:tcPr>
            <w:tcW w:type="dxa" w:w="5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340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Where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N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 xml:space="preserve"> is the number of samples,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Y</w:t>
            </w:r>
            <w:r>
              <w:rPr>
                <w:w w:val="102.4592312899503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 xml:space="preserve">i </w:t>
            </w:r>
            <w:r>
              <w:rPr>
                <w:w w:val="102.4592312899503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>pred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 xml:space="preserve"> and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Y</w:t>
            </w:r>
            <w:r>
              <w:rPr>
                <w:w w:val="102.4592312899503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 xml:space="preserve">i </w:t>
            </w:r>
            <w:r>
              <w:rPr>
                <w:w w:val="102.4592312899503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exp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are respectively</w:t>
            </w:r>
          </w:p>
          <w:p>
            <w:pPr>
              <w:autoSpaceDN w:val="0"/>
              <w:autoSpaceDE w:val="0"/>
              <w:widowControl/>
              <w:spacing w:line="138" w:lineRule="exact" w:before="16" w:after="0"/>
              <w:ind w:left="0" w:right="8" w:firstLine="0"/>
              <w:jc w:val="right"/>
            </w:pP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>pred</w:t>
            </w:r>
          </w:p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the predicted and experimental values for the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i</w:t>
            </w:r>
            <w:r>
              <w:rPr>
                <w:w w:val="102.4592312899503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>th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output, and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Y 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ave</w:t>
            </w:r>
          </w:p>
          <w:p>
            <w:pPr>
              <w:autoSpaceDN w:val="0"/>
              <w:autoSpaceDE w:val="0"/>
              <w:widowControl/>
              <w:spacing w:line="136" w:lineRule="exact" w:before="0" w:after="0"/>
              <w:ind w:left="568" w:right="0" w:firstLine="0"/>
              <w:jc w:val="left"/>
            </w:pP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>exp</w:t>
            </w:r>
          </w:p>
          <w:p>
            <w:pPr>
              <w:autoSpaceDN w:val="0"/>
              <w:autoSpaceDE w:val="0"/>
              <w:widowControl/>
              <w:spacing w:line="196" w:lineRule="exact" w:before="0" w:after="0"/>
              <w:ind w:left="10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and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Y 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ave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are the average of predicted and experimental values,</w:t>
            </w:r>
          </w:p>
          <w:p>
            <w:pPr>
              <w:autoSpaceDN w:val="0"/>
              <w:autoSpaceDE w:val="0"/>
              <w:widowControl/>
              <w:spacing w:line="206" w:lineRule="exact" w:before="0" w:after="0"/>
              <w:ind w:left="10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respectively. Moreover, because correlation coef</w:t>
            </w:r>
            <w:r>
              <w:rPr>
                <w:rFonts w:ascii="fb" w:hAnsi="fb" w:eastAsia="fb"/>
                <w:b w:val="0"/>
                <w:i w:val="0"/>
                <w:color w:val="221F1F"/>
                <w:sz w:val="16"/>
              </w:rPr>
              <w:t>fi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cient,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ρ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, will not</w:t>
            </w:r>
          </w:p>
        </w:tc>
      </w:tr>
    </w:tbl>
    <w:p>
      <w:pPr>
        <w:autoSpaceDN w:val="0"/>
        <w:autoSpaceDE w:val="0"/>
        <w:widowControl/>
        <w:spacing w:line="202" w:lineRule="exact" w:before="0" w:after="0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change signi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cantly via shifting the predicted output of a model</w:t>
      </w:r>
    </w:p>
    <w:p>
      <w:pPr>
        <w:autoSpaceDN w:val="0"/>
        <w:autoSpaceDE w:val="0"/>
        <w:widowControl/>
        <w:spacing w:line="196" w:lineRule="exact" w:before="8" w:after="0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equally, and error functions, such as AAE and RMSE, only indicate the</w:t>
      </w:r>
    </w:p>
    <w:p>
      <w:pPr>
        <w:autoSpaceDN w:val="0"/>
        <w:autoSpaceDE w:val="0"/>
        <w:widowControl/>
        <w:spacing w:line="196" w:lineRule="exact" w:before="12" w:after="0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error not the correlation. Therefore, a comprehensive performance</w:t>
      </w:r>
    </w:p>
    <w:p>
      <w:pPr>
        <w:autoSpaceDN w:val="0"/>
        <w:autoSpaceDE w:val="0"/>
        <w:widowControl/>
        <w:spacing w:line="206" w:lineRule="exact" w:before="14" w:after="0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index (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β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 is usually used for model performance evaluation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Gandomi</w:t>
      </w:r>
    </w:p>
    <w:p>
      <w:pPr>
        <w:autoSpaceDN w:val="0"/>
        <w:autoSpaceDE w:val="0"/>
        <w:widowControl/>
        <w:spacing w:line="196" w:lineRule="exact" w:before="2" w:after="142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et al.,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):</w:t>
      </w:r>
    </w:p>
    <w:p>
      <w:pPr>
        <w:sectPr>
          <w:type w:val="nextColumn"/>
          <w:pgSz w:w="11906" w:h="15874"/>
          <w:pgMar w:top="366" w:right="742" w:bottom="318" w:left="762" w:header="720" w:footer="720" w:gutter="0"/>
          <w:cols w:space="720" w:num="2" w:equalWidth="0"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2.0000000000000284" w:type="dxa"/>
      </w:tblPr>
      <w:tblGrid>
        <w:gridCol w:w="3467"/>
        <w:gridCol w:w="3467"/>
        <w:gridCol w:w="3467"/>
      </w:tblGrid>
      <w:tr>
        <w:trPr>
          <w:trHeight w:hRule="exact" w:val="206"/>
        </w:trPr>
        <w:tc>
          <w:tcPr>
            <w:tcW w:type="dxa" w:w="5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4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of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y</w:t>
            </w:r>
            <w:r>
              <w:rPr>
                <w:w w:val="102.4592312899503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>n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 xml:space="preserve"> when decoded. The tree structure derives from a root node and</w:t>
            </w:r>
          </w:p>
        </w:tc>
        <w:tc>
          <w:tcPr>
            <w:tcW w:type="dxa" w:w="2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6" w:lineRule="exact" w:before="0" w:after="0"/>
              <w:ind w:left="182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β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 xml:space="preserve">RMSE 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þ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ρ</w:t>
            </w:r>
          </w:p>
        </w:tc>
        <w:tc>
          <w:tcPr>
            <w:tcW w:type="dxa" w:w="2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108" w:after="0"/>
              <w:ind w:left="0" w:right="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11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</w:tr>
      <w:tr>
        <w:trPr>
          <w:trHeight w:hRule="exact" w:val="200"/>
        </w:trPr>
        <w:tc>
          <w:tcPr>
            <w:tcW w:type="dxa" w:w="5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4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involves operator nodes and operand nodes. The operator nodes repre-</w:t>
            </w:r>
          </w:p>
        </w:tc>
        <w:tc>
          <w:tcPr>
            <w:tcW w:type="dxa" w:w="3467"/>
            <w:vMerge/>
            <w:tcBorders/>
          </w:tcPr>
          <w:p/>
        </w:tc>
        <w:tc>
          <w:tcPr>
            <w:tcW w:type="dxa" w:w="3467"/>
            <w:vMerge/>
            <w:tcBorders/>
          </w:tcPr>
          <w:p/>
        </w:tc>
      </w:tr>
      <w:tr>
        <w:trPr>
          <w:trHeight w:hRule="exact" w:val="218"/>
        </w:trPr>
        <w:tc>
          <w:tcPr>
            <w:tcW w:type="dxa" w:w="5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" w:after="0"/>
              <w:ind w:left="4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sent mathematical operators, e.g. addition, subtraction, multiplication,</w:t>
            </w:r>
          </w:p>
        </w:tc>
        <w:tc>
          <w:tcPr>
            <w:tcW w:type="dxa" w:w="3467"/>
            <w:vMerge/>
            <w:tcBorders/>
          </w:tcPr>
          <w:p/>
        </w:tc>
        <w:tc>
          <w:tcPr>
            <w:tcW w:type="dxa" w:w="3467"/>
            <w:vMerge/>
            <w:tcBorders/>
          </w:tcPr>
          <w:p/>
        </w:tc>
      </w:tr>
    </w:tbl>
    <w:p>
      <w:pPr>
        <w:autoSpaceDN w:val="0"/>
        <w:tabs>
          <w:tab w:pos="5360" w:val="left"/>
        </w:tabs>
        <w:autoSpaceDE w:val="0"/>
        <w:widowControl/>
        <w:spacing w:line="208" w:lineRule="exact" w:before="2" w:after="6"/>
        <w:ind w:left="2" w:right="3168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division, sine, cosine, exponentiation, etc.; while operand nodes de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ne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model inputs (</w:t>
      </w:r>
      <w:r>
        <w:rPr>
          <w:rFonts w:ascii="AdvTT1753cc9b.BI" w:hAnsi="AdvTT1753cc9b.BI" w:eastAsia="AdvTT1753cc9b.BI"/>
          <w:b w:val="0"/>
          <w:i w:val="0"/>
          <w:color w:val="221F1F"/>
          <w:sz w:val="16"/>
        </w:rPr>
        <w:t>x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 and parameters (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ω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tness of each candidate </w:t>
      </w:r>
      <w:r>
        <w:tab/>
      </w: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 xml:space="preserve">3. Results and discussion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solution for the predicting task is evaluated by its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tness score, which</w:t>
      </w:r>
    </w:p>
    <w:p>
      <w:pPr>
        <w:sectPr>
          <w:type w:val="continuous"/>
          <w:pgSz w:w="11906" w:h="15874"/>
          <w:pgMar w:top="366" w:right="742" w:bottom="318" w:left="762" w:header="720" w:footer="720" w:gutter="0"/>
          <w:cols w:space="720" w:num="1" w:equalWidth="0"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2" w:right="3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is calculated from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tness functions, such as root mean square error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(RMSE). The candidate solutions with high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tness scores are more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probably chosen to create a mating pool termed</w:t>
      </w:r>
      <w:r>
        <w:rPr>
          <w:rFonts w:ascii="20" w:hAnsi="20" w:eastAsia="20"/>
          <w:b w:val="0"/>
          <w:i w:val="0"/>
          <w:color w:val="221F1F"/>
          <w:sz w:val="16"/>
        </w:rPr>
        <w:t xml:space="preserve"> 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parents</w:t>
      </w:r>
      <w:r>
        <w:rPr>
          <w:rFonts w:ascii="20" w:hAnsi="20" w:eastAsia="20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for the repro-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duction of new candidate solutions. The new candidate solutions are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produced from the parents by evolution operation of crossover and mu-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tation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Fig. 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(b) and (c)). During crossover operation, a pair of parents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from the mating pool is selected randomly; and then two new offspring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are obtained by tailoring each parent tree at a random point and mutu-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ally exchanging the tailored branches between the parents. The cross-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over operation is addressed with a pre-speci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ed probability value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termed</w:t>
      </w:r>
      <w:r>
        <w:rPr>
          <w:rFonts w:ascii="20" w:hAnsi="20" w:eastAsia="20"/>
          <w:b w:val="0"/>
          <w:i w:val="0"/>
          <w:color w:val="221F1F"/>
          <w:sz w:val="16"/>
        </w:rPr>
        <w:t xml:space="preserve"> 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crossover probability</w:t>
      </w:r>
      <w:r>
        <w:rPr>
          <w:rFonts w:ascii="20" w:hAnsi="20" w:eastAsia="20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. For mutation operation, the changes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are applied to the operator and operand nodes of the parent selected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randomly to generate a new offspring. The mutation operation is also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conducted with a pre-speci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ed probability termed</w:t>
      </w:r>
      <w:r>
        <w:rPr>
          <w:rFonts w:ascii="20" w:hAnsi="20" w:eastAsia="20"/>
          <w:b w:val="0"/>
          <w:i w:val="0"/>
          <w:color w:val="221F1F"/>
          <w:sz w:val="16"/>
        </w:rPr>
        <w:t xml:space="preserve"> 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mutation probabil-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ity</w:t>
      </w:r>
      <w:r>
        <w:rPr>
          <w:rFonts w:ascii="20" w:hAnsi="20" w:eastAsia="20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, which is usually of a small probability. In this reproduction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iteration way, the satis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ed predicting model is developed automa-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tically. The detailed implementation processes of the algorithm are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available in literatures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Faris and Sheta, 2013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Pandey et al., 2015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;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Patil-Shinde et al., 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sectPr>
          <w:type w:val="continuous"/>
          <w:pgSz w:w="11906" w:h="15874"/>
          <w:pgMar w:top="366" w:right="742" w:bottom="318" w:left="762" w:header="720" w:footer="720" w:gutter="0"/>
          <w:cols w:space="720" w:num="2" w:equalWidth="0"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3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135</w:t>
      </w:r>
    </w:p>
    <w:p>
      <w:pPr>
        <w:sectPr>
          <w:type w:val="nextColumn"/>
          <w:pgSz w:w="11906" w:h="15874"/>
          <w:pgMar w:top="366" w:right="742" w:bottom="318" w:left="762" w:header="720" w:footer="720" w:gutter="0"/>
          <w:cols w:space="720" w:num="2" w:equalWidth="0"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7460" w:val="left"/>
        </w:tabs>
        <w:autoSpaceDE w:val="0"/>
        <w:widowControl/>
        <w:spacing w:line="154" w:lineRule="exact" w:before="0" w:after="0"/>
        <w:ind w:left="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H. Cao, Y.J. Milan, S.H. Mood et al. </w:t>
      </w:r>
      <w:r>
        <w:tab/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133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141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060950" cy="695451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69545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226" w:after="0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1.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Schematic of genetic programming: (a) basic tree structure, (b) two offspring trees created by crossover operation, and (c) one offspring tree created by mutation operation.</w:t>
      </w:r>
    </w:p>
    <w:p>
      <w:pPr>
        <w:autoSpaceDN w:val="0"/>
        <w:tabs>
          <w:tab w:pos="5358" w:val="left"/>
        </w:tabs>
        <w:autoSpaceDE w:val="0"/>
        <w:widowControl/>
        <w:spacing w:line="200" w:lineRule="exact" w:before="474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larger fraction of organic O existing as C</w:t>
      </w:r>
      <w:r>
        <w:rPr>
          <w:rFonts w:ascii="20" w:hAnsi="20" w:eastAsia="20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 (accounting for almost </w:t>
      </w:r>
      <w:r>
        <w:tab/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3.2. GP-based models</w:t>
      </w:r>
    </w:p>
    <w:p>
      <w:pPr>
        <w:autoSpaceDN w:val="0"/>
        <w:autoSpaceDE w:val="0"/>
        <w:widowControl/>
        <w:spacing w:line="206" w:lineRule="exact" w:before="10" w:after="2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100% of total CO bonds when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θ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= 0), while those obtained at</w:t>
      </w:r>
    </w:p>
    <w:p>
      <w:pPr>
        <w:sectPr>
          <w:pgSz w:w="11906" w:h="15874"/>
          <w:pgMar w:top="366" w:right="742" w:bottom="318" w:left="764" w:header="720" w:footer="720" w:gutter="0"/>
          <w:cols w:space="720" w:num="1" w:equalWidth="0"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high temperature have a higher fraction of organic O as C=O (up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to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θ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= 1). In this research, there is a quite number of low tempera-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ture biochar samples and the atomic ratio of H/C reaches a maximal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value of 1.8076, but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Wang et al. (2013)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just considered biochars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with H/C less than 1. Therefore, we have utilized a wider sample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range which could be the reason for the difference of model</w:t>
      </w: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2" w:equalWidth="0"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2"/>
        <w:ind w:left="170" w:right="2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For the identi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cation of GP-based C aromaticity models, H/C, O/C, N/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 are considered as the input parameters. During the training of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model, the population size and the maximum number of the generation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were set as 300 and 1000, respectively. To select the parent genes from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pool of available solutions, the tournament selection strategy was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adopted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Pandey et al., 2015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The tournament size is set to 4. The de-</w:t>
      </w:r>
    </w:p>
    <w:p>
      <w:pPr>
        <w:sectPr>
          <w:type w:val="nextColumn"/>
          <w:pgSz w:w="11906" w:h="15874"/>
          <w:pgMar w:top="366" w:right="742" w:bottom="318" w:left="764" w:header="720" w:footer="720" w:gutter="0"/>
          <w:cols w:space="720" w:num="2" w:equalWidth="0"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5358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parameters.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tailed parameters of the GP algorithm are given in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Table 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which have</w:t>
      </w:r>
    </w:p>
    <w:p>
      <w:pPr>
        <w:autoSpaceDN w:val="0"/>
        <w:autoSpaceDE w:val="0"/>
        <w:widowControl/>
        <w:spacing w:line="158" w:lineRule="exact" w:before="338" w:after="0"/>
        <w:ind w:left="0" w:right="0" w:firstLine="0"/>
        <w:jc w:val="center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136</w:t>
      </w: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1" w:equalWidth="0"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1069340</wp:posOffset>
            </wp:positionH>
            <wp:positionV relativeFrom="page">
              <wp:posOffset>6812280</wp:posOffset>
            </wp:positionV>
            <wp:extent cx="5420360" cy="2408371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40837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2336800</wp:posOffset>
            </wp:positionH>
            <wp:positionV relativeFrom="page">
              <wp:posOffset>8521700</wp:posOffset>
            </wp:positionV>
            <wp:extent cx="38100" cy="381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1816100</wp:posOffset>
            </wp:positionH>
            <wp:positionV relativeFrom="page">
              <wp:posOffset>8534400</wp:posOffset>
            </wp:positionV>
            <wp:extent cx="38100" cy="381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2006600</wp:posOffset>
            </wp:positionH>
            <wp:positionV relativeFrom="page">
              <wp:posOffset>8496300</wp:posOffset>
            </wp:positionV>
            <wp:extent cx="114300" cy="635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1803400</wp:posOffset>
            </wp:positionH>
            <wp:positionV relativeFrom="page">
              <wp:posOffset>8483600</wp:posOffset>
            </wp:positionV>
            <wp:extent cx="38100" cy="381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1892300</wp:posOffset>
            </wp:positionH>
            <wp:positionV relativeFrom="page">
              <wp:posOffset>8242300</wp:posOffset>
            </wp:positionV>
            <wp:extent cx="152400" cy="1016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2146300</wp:posOffset>
            </wp:positionH>
            <wp:positionV relativeFrom="page">
              <wp:posOffset>8166100</wp:posOffset>
            </wp:positionV>
            <wp:extent cx="165100" cy="1651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1739900</wp:posOffset>
            </wp:positionH>
            <wp:positionV relativeFrom="page">
              <wp:posOffset>7886700</wp:posOffset>
            </wp:positionV>
            <wp:extent cx="165100" cy="1651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8572500</wp:posOffset>
            </wp:positionV>
            <wp:extent cx="38100" cy="381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5461000</wp:posOffset>
            </wp:positionH>
            <wp:positionV relativeFrom="page">
              <wp:posOffset>8534400</wp:posOffset>
            </wp:positionV>
            <wp:extent cx="152400" cy="762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2374900</wp:posOffset>
            </wp:positionH>
            <wp:positionV relativeFrom="page">
              <wp:posOffset>7861300</wp:posOffset>
            </wp:positionV>
            <wp:extent cx="76200" cy="889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2082800</wp:posOffset>
            </wp:positionH>
            <wp:positionV relativeFrom="page">
              <wp:posOffset>7645400</wp:posOffset>
            </wp:positionV>
            <wp:extent cx="50800" cy="381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4013200</wp:posOffset>
            </wp:positionH>
            <wp:positionV relativeFrom="page">
              <wp:posOffset>8674100</wp:posOffset>
            </wp:positionV>
            <wp:extent cx="63500" cy="381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4191000</wp:posOffset>
            </wp:positionH>
            <wp:positionV relativeFrom="page">
              <wp:posOffset>8369300</wp:posOffset>
            </wp:positionV>
            <wp:extent cx="88900" cy="889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3505200</wp:posOffset>
            </wp:positionH>
            <wp:positionV relativeFrom="page">
              <wp:posOffset>7531100</wp:posOffset>
            </wp:positionV>
            <wp:extent cx="63500" cy="381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9080500</wp:posOffset>
            </wp:positionV>
            <wp:extent cx="76200" cy="635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6159500</wp:posOffset>
            </wp:positionH>
            <wp:positionV relativeFrom="page">
              <wp:posOffset>8851900</wp:posOffset>
            </wp:positionV>
            <wp:extent cx="50800" cy="762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5422900</wp:posOffset>
            </wp:positionH>
            <wp:positionV relativeFrom="page">
              <wp:posOffset>8064500</wp:posOffset>
            </wp:positionV>
            <wp:extent cx="88900" cy="889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5638800</wp:posOffset>
            </wp:positionH>
            <wp:positionV relativeFrom="page">
              <wp:posOffset>7848600</wp:posOffset>
            </wp:positionV>
            <wp:extent cx="63500" cy="381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5359400</wp:posOffset>
            </wp:positionH>
            <wp:positionV relativeFrom="page">
              <wp:posOffset>7594600</wp:posOffset>
            </wp:positionV>
            <wp:extent cx="76200" cy="762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5029200</wp:posOffset>
            </wp:positionH>
            <wp:positionV relativeFrom="page">
              <wp:posOffset>7378700</wp:posOffset>
            </wp:positionV>
            <wp:extent cx="63500" cy="254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25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5874"/>
          <w:pgMar w:top="366" w:right="740" w:bottom="318" w:left="762" w:header="720" w:footer="720" w:gutter="0"/>
          <w:cols w:space="720" w:num="1" w:equalWidth="0"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0" w:after="0"/>
        <w:ind w:left="2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H. Cao, Y.J. Milan, S.H. Mood et al.</w:t>
      </w:r>
    </w:p>
    <w:p>
      <w:pPr>
        <w:autoSpaceDN w:val="0"/>
        <w:autoSpaceDE w:val="0"/>
        <w:widowControl/>
        <w:spacing w:line="240" w:lineRule="auto" w:before="194" w:after="0"/>
        <w:ind w:left="119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13000" cy="1854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854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0" w:right="2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70100" cy="889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2" w:equalWidth="0"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0" w:right="24" w:firstLine="0"/>
        <w:jc w:val="righ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133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141</w:t>
      </w:r>
    </w:p>
    <w:p>
      <w:pPr>
        <w:autoSpaceDN w:val="0"/>
        <w:autoSpaceDE w:val="0"/>
        <w:widowControl/>
        <w:spacing w:line="240" w:lineRule="auto" w:before="186" w:after="0"/>
        <w:ind w:left="2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74900" cy="1854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854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7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57400" cy="889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80"/>
        <w:sectPr>
          <w:type w:val="nextColumn"/>
          <w:pgSz w:w="11906" w:h="15874"/>
          <w:pgMar w:top="366" w:right="740" w:bottom="318" w:left="762" w:header="720" w:footer="720" w:gutter="0"/>
          <w:cols w:space="720" w:num="2" w:equalWidth="0"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6978" w:val="left"/>
        </w:tabs>
        <w:autoSpaceDE w:val="0"/>
        <w:widowControl/>
        <w:spacing w:line="240" w:lineRule="auto" w:before="0" w:after="0"/>
        <w:ind w:left="27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23900" cy="1143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723900" cy="1143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6" w:lineRule="exact" w:before="248" w:after="480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2.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Performance scattered plots Mazumdar-Wang model with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α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=0.0960 and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θ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=0: (a) on training data set and (b) on testing data set.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1" w:equalWidth="0"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4" w:lineRule="exact" w:before="0" w:after="76"/>
        <w:ind w:left="2" w:right="3024" w:firstLine="0"/>
        <w:jc w:val="left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 xml:space="preserve">Table 1 </w:t>
      </w:r>
      <w:r>
        <w:br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Parameters used for the GP algorithm.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02"/>
        <w:gridCol w:w="5202"/>
      </w:tblGrid>
      <w:tr>
        <w:trPr>
          <w:trHeight w:hRule="exact" w:val="214"/>
        </w:trPr>
        <w:tc>
          <w:tcPr>
            <w:tcW w:type="dxa" w:w="1478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Parameters of the GP</w:t>
            </w:r>
          </w:p>
        </w:tc>
        <w:tc>
          <w:tcPr>
            <w:tcW w:type="dxa" w:w="3544"/>
            <w:tcBorders>
              <w:top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15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Parameter settings</w:t>
            </w:r>
          </w:p>
        </w:tc>
      </w:tr>
    </w:tbl>
    <w:p>
      <w:pPr>
        <w:autoSpaceDN w:val="0"/>
        <w:autoSpaceDE w:val="0"/>
        <w:widowControl/>
        <w:spacing w:line="158" w:lineRule="exact" w:before="2" w:after="48"/>
        <w:ind w:left="12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algorithm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02"/>
        <w:gridCol w:w="5202"/>
      </w:tblGrid>
      <w:tr>
        <w:trPr>
          <w:trHeight w:hRule="exact" w:val="360"/>
        </w:trPr>
        <w:tc>
          <w:tcPr>
            <w:tcW w:type="dxa" w:w="1518"/>
            <w:tcBorders>
              <w:top w:sz="3.200000000000273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2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Population size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Number of generation</w:t>
            </w:r>
          </w:p>
        </w:tc>
        <w:tc>
          <w:tcPr>
            <w:tcW w:type="dxa" w:w="3504"/>
            <w:tcBorders>
              <w:top w:sz="3.200000000000273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2" w:after="0"/>
              <w:ind w:left="0" w:right="3024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300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1000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2" w:equalWidth="0"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0"/>
        <w:ind w:left="170" w:right="2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subtraction operation, and then the root node connects different sub-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programs (genes) to form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nal prediction models. Any individual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aspect of the problem to be modeled is accentuated by each of the sub-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programs so that a meaningful overall solution is identi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ed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Faris and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Sheta, 2013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Sharma and Tambe, 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In this way, the important 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formation underlying in the problem could be achieved via each of the</w:t>
      </w:r>
    </w:p>
    <w:p>
      <w:pPr>
        <w:sectPr>
          <w:type w:val="nextColumn"/>
          <w:pgSz w:w="11906" w:h="15874"/>
          <w:pgMar w:top="366" w:right="740" w:bottom="318" w:left="762" w:header="720" w:footer="720" w:gutter="0"/>
          <w:cols w:space="720" w:num="2" w:equalWidth="0"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7.99999999999997" w:type="dxa"/>
      </w:tblPr>
      <w:tblGrid>
        <w:gridCol w:w="3468"/>
        <w:gridCol w:w="3468"/>
        <w:gridCol w:w="3468"/>
      </w:tblGrid>
      <w:tr>
        <w:trPr>
          <w:trHeight w:hRule="exact" w:val="188"/>
        </w:trPr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6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Tournament size</w:t>
            </w:r>
          </w:p>
        </w:tc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2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evolved subprograms.</w:t>
            </w:r>
          </w:p>
        </w:tc>
      </w:tr>
      <w:tr>
        <w:trPr>
          <w:trHeight w:hRule="exact" w:val="140"/>
        </w:trPr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Maximum depth of tree</w:t>
            </w:r>
          </w:p>
        </w:tc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</w:t>
            </w:r>
          </w:p>
        </w:tc>
        <w:tc>
          <w:tcPr>
            <w:tcW w:type="dxa" w:w="5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560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E3092"/>
                <w:sz w:val="16"/>
              </w:rPr>
              <w:t>Fig. 4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 xml:space="preserve"> shows the comparison of the experimental against predicted C</w:t>
            </w:r>
          </w:p>
        </w:tc>
      </w:tr>
      <w:tr>
        <w:trPr>
          <w:trHeight w:hRule="exact" w:val="80"/>
        </w:trPr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6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Crossover probability</w:t>
            </w:r>
          </w:p>
        </w:tc>
        <w:tc>
          <w:tcPr>
            <w:tcW w:type="dxa" w:w="3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0.85</w:t>
            </w:r>
          </w:p>
        </w:tc>
        <w:tc>
          <w:tcPr>
            <w:tcW w:type="dxa" w:w="3468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3468"/>
            <w:vMerge/>
            <w:tcBorders/>
          </w:tcPr>
          <w:p/>
        </w:tc>
        <w:tc>
          <w:tcPr>
            <w:tcW w:type="dxa" w:w="3468"/>
            <w:vMerge/>
            <w:tcBorders/>
          </w:tcPr>
          <w:p/>
        </w:tc>
        <w:tc>
          <w:tcPr>
            <w:tcW w:type="dxa" w:w="5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" w:after="0"/>
              <w:ind w:left="32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aromaticity values from the three prediction models, and the corre-</w:t>
            </w:r>
          </w:p>
        </w:tc>
      </w:tr>
      <w:tr>
        <w:trPr>
          <w:trHeight w:hRule="exact" w:val="182"/>
        </w:trPr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6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Mutation probability</w:t>
            </w:r>
          </w:p>
        </w:tc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0.1</w:t>
            </w:r>
          </w:p>
        </w:tc>
        <w:tc>
          <w:tcPr>
            <w:tcW w:type="dxa" w:w="3468"/>
            <w:vMerge/>
            <w:tcBorders/>
          </w:tcPr>
          <w:p/>
        </w:tc>
      </w:tr>
      <w:tr>
        <w:trPr>
          <w:trHeight w:hRule="exact" w:val="157"/>
        </w:trPr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6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Reproduction</w:t>
            </w:r>
          </w:p>
        </w:tc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2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sponding performance evaluation parameters are given in</w:t>
            </w:r>
            <w:r>
              <w:rPr>
                <w:rFonts w:ascii="AdvTT5235d5a9" w:hAnsi="AdvTT5235d5a9" w:eastAsia="AdvTT5235d5a9"/>
                <w:b w:val="0"/>
                <w:i w:val="0"/>
                <w:color w:val="2E3092"/>
                <w:sz w:val="16"/>
              </w:rPr>
              <w:t xml:space="preserve"> Table 2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. It is</w:t>
            </w:r>
          </w:p>
        </w:tc>
      </w:tr>
      <w:tr>
        <w:trPr>
          <w:trHeight w:hRule="exact" w:val="205"/>
        </w:trPr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" w:after="0"/>
              <w:ind w:left="18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probability</w:t>
            </w:r>
          </w:p>
        </w:tc>
        <w:tc>
          <w:tcPr>
            <w:tcW w:type="dxa" w:w="3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Plain lexicographic tournament selection</w:t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32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interesting to notice that all three GP-based models have better predic-</w:t>
            </w:r>
          </w:p>
        </w:tc>
      </w:tr>
      <w:tr>
        <w:trPr>
          <w:trHeight w:hRule="exact" w:val="135"/>
        </w:trPr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6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Selection method</w:t>
            </w:r>
          </w:p>
        </w:tc>
        <w:tc>
          <w:tcPr>
            <w:tcW w:type="dxa" w:w="3468"/>
            <w:vMerge/>
            <w:tcBorders/>
          </w:tcPr>
          <w:p/>
        </w:tc>
        <w:tc>
          <w:tcPr>
            <w:tcW w:type="dxa" w:w="5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32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tion performances than the Mazumdar-Wang model, due to lower AAE,</w:t>
            </w:r>
          </w:p>
        </w:tc>
      </w:tr>
      <w:tr>
        <w:trPr>
          <w:trHeight w:hRule="exact" w:val="80"/>
        </w:trPr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6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Termination criteria</w:t>
            </w:r>
          </w:p>
        </w:tc>
        <w:tc>
          <w:tcPr>
            <w:tcW w:type="dxa" w:w="3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1000 generation or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221F1F"/>
                <w:sz w:val="13"/>
              </w:rPr>
              <w:t xml:space="preserve"> fi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tness value less than 1.0 × 10</w:t>
            </w:r>
            <w:r>
              <w:rPr>
                <w:rFonts w:ascii="22" w:hAnsi="22" w:eastAsia="22"/>
                <w:b w:val="0"/>
                <w:i w:val="0"/>
                <w:color w:val="221F1F"/>
                <w:sz w:val="9"/>
              </w:rPr>
              <w:t>−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4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,</w:t>
            </w:r>
          </w:p>
        </w:tc>
        <w:tc>
          <w:tcPr>
            <w:tcW w:type="dxa" w:w="3468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3468"/>
            <w:vMerge/>
            <w:tcBorders/>
          </w:tcPr>
          <w:p/>
        </w:tc>
        <w:tc>
          <w:tcPr>
            <w:tcW w:type="dxa" w:w="3468"/>
            <w:vMerge/>
            <w:tcBorders/>
          </w:tcPr>
          <w:p/>
        </w:tc>
        <w:tc>
          <w:tcPr>
            <w:tcW w:type="dxa" w:w="5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" w:after="0"/>
              <w:ind w:left="32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MAE, RMSE, and comprehensive performance index (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β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), as well as</w:t>
            </w:r>
          </w:p>
        </w:tc>
      </w:tr>
      <w:tr>
        <w:trPr>
          <w:trHeight w:hRule="exact" w:val="110"/>
        </w:trPr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2" w:after="0"/>
              <w:ind w:left="6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Mathematical</w:t>
            </w:r>
          </w:p>
        </w:tc>
        <w:tc>
          <w:tcPr>
            <w:tcW w:type="dxa" w:w="3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whichever is earlier</w:t>
            </w:r>
          </w:p>
        </w:tc>
        <w:tc>
          <w:tcPr>
            <w:tcW w:type="dxa" w:w="3468"/>
            <w:vMerge/>
            <w:tcBorders/>
          </w:tcPr>
          <w:p/>
        </w:tc>
      </w:tr>
      <w:tr>
        <w:trPr>
          <w:trHeight w:hRule="exact" w:val="70"/>
        </w:trPr>
        <w:tc>
          <w:tcPr>
            <w:tcW w:type="dxa" w:w="3468"/>
            <w:vMerge/>
            <w:tcBorders/>
          </w:tcPr>
          <w:p/>
        </w:tc>
        <w:tc>
          <w:tcPr>
            <w:tcW w:type="dxa" w:w="3468"/>
            <w:vMerge/>
            <w:tcBorders/>
          </w:tcPr>
          <w:p/>
        </w:tc>
        <w:tc>
          <w:tcPr>
            <w:tcW w:type="dxa" w:w="5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32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higher R</w:t>
            </w:r>
            <w:r>
              <w:rPr>
                <w:w w:val="102.4592312899503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and correlation coef</w:t>
            </w:r>
            <w:r>
              <w:rPr>
                <w:rFonts w:ascii="fb" w:hAnsi="fb" w:eastAsia="fb"/>
                <w:b w:val="0"/>
                <w:i w:val="0"/>
                <w:color w:val="221F1F"/>
                <w:sz w:val="16"/>
              </w:rPr>
              <w:t>fi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cient (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ρ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). GP-I model predicts the C aro-</w:t>
            </w:r>
          </w:p>
        </w:tc>
      </w:tr>
      <w:tr>
        <w:trPr>
          <w:trHeight w:hRule="exact" w:val="160"/>
        </w:trPr>
        <w:tc>
          <w:tcPr>
            <w:tcW w:type="dxa" w:w="3468"/>
            <w:vMerge/>
            <w:tcBorders/>
          </w:tcPr>
          <w:p/>
        </w:tc>
        <w:tc>
          <w:tcPr>
            <w:tcW w:type="dxa" w:w="3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0" w:after="0"/>
              <w:ind w:left="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{+,</w:t>
            </w:r>
            <w:r>
              <w:rPr>
                <w:w w:val="98.09230657724234"/>
                <w:rFonts w:ascii="22" w:hAnsi="22" w:eastAsia="22"/>
                <w:b w:val="0"/>
                <w:i w:val="0"/>
                <w:color w:val="221F1F"/>
                <w:sz w:val="13"/>
              </w:rPr>
              <w:t xml:space="preserve"> −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, ×, ÷, cos, sin, tan, exp., log, ()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^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}</w:t>
            </w:r>
          </w:p>
        </w:tc>
        <w:tc>
          <w:tcPr>
            <w:tcW w:type="dxa" w:w="3468"/>
            <w:vMerge/>
            <w:tcBorders/>
          </w:tcPr>
          <w:p/>
        </w:tc>
      </w:tr>
      <w:tr>
        <w:trPr>
          <w:trHeight w:hRule="exact" w:val="166"/>
        </w:trPr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8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operations</w:t>
            </w:r>
          </w:p>
        </w:tc>
        <w:tc>
          <w:tcPr>
            <w:tcW w:type="dxa" w:w="3468"/>
            <w:vMerge/>
            <w:tcBorders/>
          </w:tcPr>
          <w:p/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2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maticity using a polynomial combination of H/C and O/C; GP-II and GP-</w:t>
            </w:r>
          </w:p>
        </w:tc>
      </w:tr>
    </w:tbl>
    <w:p>
      <w:pPr>
        <w:autoSpaceDN w:val="0"/>
        <w:autoSpaceDE w:val="0"/>
        <w:widowControl/>
        <w:spacing w:line="14" w:lineRule="exact" w:before="0" w:after="44"/>
        <w:ind w:left="0" w:right="0"/>
      </w:pP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1" w:equalWidth="0"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366" w:after="0"/>
        <w:ind w:left="2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been examined until there was no longer signi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cant improvement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performance of the GP-based models. Three alternative models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(expression trees) were determined by considering their corresponding 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tness scores and model complexities (see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Fig. 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10" w:lineRule="exact" w:before="0" w:after="0"/>
        <w:ind w:left="2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As shown in the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Fig. 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the proposed GP-based C aromaticity predic-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tion models are created by the arrangement of operators, variables,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constants. we can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nd that those models have same root node,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2" w:equalWidth="0"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68" w:right="22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III models indicate that there are exponential relationships between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 aromaticity and the elemental atom ratios. Moreover, GP-III model be-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lieves N/C has in</w:t>
      </w:r>
      <w:r>
        <w:rPr>
          <w:rFonts w:ascii="fb" w:hAnsi="fb" w:eastAsia="fb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uence for the aromaticity prediction, and considers its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effect in the model.</w:t>
      </w:r>
    </w:p>
    <w:p>
      <w:pPr>
        <w:autoSpaceDN w:val="0"/>
        <w:autoSpaceDE w:val="0"/>
        <w:widowControl/>
        <w:spacing w:line="210" w:lineRule="exact" w:before="6" w:after="4412"/>
        <w:ind w:left="168" w:right="2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For further veri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cation of the GP-based models, box-and-whisker di-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agrams of the prediction errors in testing set were conducted, as shown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Fig. 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. Box-and-whisker diagram is a standardized way of displaying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distribution of data based on a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ve number summary (</w:t>
      </w:r>
      <w:r>
        <w:rPr>
          <w:rFonts w:ascii="20" w:hAnsi="20" w:eastAsia="20"/>
          <w:b w:val="0"/>
          <w:i w:val="0"/>
          <w:color w:val="221F1F"/>
          <w:sz w:val="16"/>
        </w:rPr>
        <w:t>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minimum</w:t>
      </w:r>
      <w:r>
        <w:rPr>
          <w:rFonts w:ascii="20" w:hAnsi="20" w:eastAsia="20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, 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rst quartile (Q1), median, third quartile (Q3), and</w:t>
      </w:r>
      <w:r>
        <w:rPr>
          <w:rFonts w:ascii="20" w:hAnsi="20" w:eastAsia="20"/>
          <w:b w:val="0"/>
          <w:i w:val="0"/>
          <w:color w:val="221F1F"/>
          <w:sz w:val="16"/>
        </w:rPr>
        <w:t xml:space="preserve"> 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maximum</w:t>
      </w:r>
      <w:r>
        <w:rPr>
          <w:rFonts w:ascii="20" w:hAnsi="20" w:eastAsia="20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 which</w:t>
      </w:r>
    </w:p>
    <w:p>
      <w:pPr>
        <w:sectPr>
          <w:type w:val="nextColumn"/>
          <w:pgSz w:w="11906" w:h="15874"/>
          <w:pgMar w:top="366" w:right="740" w:bottom="318" w:left="762" w:header="720" w:footer="720" w:gutter="0"/>
          <w:cols w:space="720" w:num="2" w:equalWidth="0"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48" w:lineRule="exact" w:before="0" w:after="0"/>
        <w:ind w:left="1008" w:right="1008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3.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Three alternative biochar aromaticity prediction models derived from GP algorithms. They are named as GP-I, GP-II, and GP-III, respectively.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137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1" w:equalWidth="0"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sectPr>
          <w:pgSz w:w="11906" w:h="15874"/>
          <w:pgMar w:top="366" w:right="742" w:bottom="318" w:left="764" w:header="720" w:footer="720" w:gutter="0"/>
          <w:cols w:space="720" w:num="1" w:equalWidth="0"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0" w:after="0"/>
        <w:ind w:left="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H. Cao, Y.J. Milan, S.H. Mood et al.</w:t>
      </w:r>
    </w:p>
    <w:p>
      <w:pPr>
        <w:autoSpaceDN w:val="0"/>
        <w:autoSpaceDE w:val="0"/>
        <w:widowControl/>
        <w:spacing w:line="240" w:lineRule="auto" w:before="194" w:after="0"/>
        <w:ind w:left="121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00300" cy="18542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54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0" w:right="2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70100" cy="889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2" w:equalWidth="0"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0" w:right="22" w:firstLine="0"/>
        <w:jc w:val="righ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133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141</w:t>
      </w:r>
    </w:p>
    <w:p>
      <w:pPr>
        <w:autoSpaceDN w:val="0"/>
        <w:autoSpaceDE w:val="0"/>
        <w:widowControl/>
        <w:spacing w:line="240" w:lineRule="auto" w:before="186" w:after="0"/>
        <w:ind w:left="2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87600" cy="18542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854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7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57400" cy="889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80"/>
        <w:sectPr>
          <w:type w:val="nextColumn"/>
          <w:pgSz w:w="11906" w:h="15874"/>
          <w:pgMar w:top="366" w:right="742" w:bottom="318" w:left="764" w:header="720" w:footer="720" w:gutter="0"/>
          <w:cols w:space="720" w:num="2" w:equalWidth="0"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6976" w:val="left"/>
        </w:tabs>
        <w:autoSpaceDE w:val="0"/>
        <w:widowControl/>
        <w:spacing w:line="240" w:lineRule="auto" w:before="0" w:after="0"/>
        <w:ind w:left="277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23900" cy="1143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723900" cy="1143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00"/>
        <w:sectPr>
          <w:type w:val="continuous"/>
          <w:pgSz w:w="11906" w:h="15874"/>
          <w:pgMar w:top="366" w:right="742" w:bottom="318" w:left="764" w:header="720" w:footer="720" w:gutter="0"/>
          <w:cols w:space="720" w:num="1" w:equalWidth="0"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21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00300" cy="18415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41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0" w:right="2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70100" cy="889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2" w:equalWidth="0"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87600" cy="18415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841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7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57400" cy="889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00"/>
        <w:sectPr>
          <w:type w:val="nextColumn"/>
          <w:pgSz w:w="11906" w:h="15874"/>
          <w:pgMar w:top="366" w:right="742" w:bottom="318" w:left="764" w:header="720" w:footer="720" w:gutter="0"/>
          <w:cols w:space="720" w:num="2" w:equalWidth="0"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6976" w:val="left"/>
        </w:tabs>
        <w:autoSpaceDE w:val="0"/>
        <w:widowControl/>
        <w:spacing w:line="240" w:lineRule="auto" w:before="0" w:after="0"/>
        <w:ind w:left="277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23900" cy="1143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723900" cy="1143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480"/>
        <w:sectPr>
          <w:type w:val="continuous"/>
          <w:pgSz w:w="11906" w:h="15874"/>
          <w:pgMar w:top="366" w:right="742" w:bottom="318" w:left="764" w:header="720" w:footer="720" w:gutter="0"/>
          <w:cols w:space="720" w:num="1" w:equalWidth="0"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21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00300" cy="19685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68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2" w:equalWidth="0"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87600" cy="19685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968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80"/>
        <w:sectPr>
          <w:type w:val="nextColumn"/>
          <w:pgSz w:w="11906" w:h="15874"/>
          <w:pgMar w:top="366" w:right="742" w:bottom="318" w:left="764" w:header="720" w:footer="720" w:gutter="0"/>
          <w:cols w:space="720" w:num="2" w:equalWidth="0"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6976" w:val="left"/>
        </w:tabs>
        <w:autoSpaceDE w:val="0"/>
        <w:widowControl/>
        <w:spacing w:line="240" w:lineRule="auto" w:before="0" w:after="0"/>
        <w:ind w:left="277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23900" cy="1143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723900" cy="1143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242" w:after="0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4.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Experimental versus predicted C aromaticity values using the GP-based prediction models: (a) GP-I model on training data set, (b) GP-I model on testing data set, (c) GP-II model on</w:t>
      </w:r>
    </w:p>
    <w:p>
      <w:pPr>
        <w:autoSpaceDN w:val="0"/>
        <w:autoSpaceDE w:val="0"/>
        <w:widowControl/>
        <w:spacing w:line="156" w:lineRule="exact" w:before="16" w:after="554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training data set, (d) GP-II model on testing data set, (e) GP-III model on training data set, and (f) GP-III model on testing data set.</w:t>
      </w: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1" w:equalWidth="0"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32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can quantitatively describe features of the prediction errors to analysis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accuracy and reliability of the models. Obviously, GP-II and GP-III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models outperform the GP-I and Mazumdar-Wang models. GP-II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GP-III have smaller median values (0.0017 and 0.0075) than GP-I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Mazumdar-Wang models (0.0165 and 0.0113), which means the error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centres of former two models are closer to zero. Moreover, there are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no outliers for the predictions of GP-II and GP-III models when the</w:t>
      </w: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2" w:equalWidth="0"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3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138</w:t>
      </w:r>
    </w:p>
    <w:p>
      <w:pPr>
        <w:sectPr>
          <w:type w:val="nextColumn"/>
          <w:pgSz w:w="11906" w:h="15874"/>
          <w:pgMar w:top="366" w:right="742" w:bottom="318" w:left="764" w:header="720" w:footer="720" w:gutter="0"/>
          <w:cols w:space="720" w:num="2" w:equalWidth="0"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sectPr>
          <w:pgSz w:w="11906" w:h="15874"/>
          <w:pgMar w:top="366" w:right="740" w:bottom="318" w:left="762" w:header="720" w:footer="720" w:gutter="0"/>
          <w:cols w:space="720" w:num="2" w:equalWidth="0"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0" w:after="0"/>
        <w:ind w:left="2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H. Cao, Y.J. Milan, S.H. Mood et al.</w:t>
      </w:r>
    </w:p>
    <w:p>
      <w:pPr>
        <w:autoSpaceDN w:val="0"/>
        <w:autoSpaceDE w:val="0"/>
        <w:widowControl/>
        <w:spacing w:line="158" w:lineRule="exact" w:before="244" w:after="0"/>
        <w:ind w:left="2" w:right="0" w:firstLine="0"/>
        <w:jc w:val="left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Table 2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2" w:equalWidth="0"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408"/>
        <w:ind w:left="0" w:right="24" w:firstLine="0"/>
        <w:jc w:val="righ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133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141</w:t>
      </w:r>
    </w:p>
    <w:p>
      <w:pPr>
        <w:sectPr>
          <w:type w:val="nextColumn"/>
          <w:pgSz w:w="11906" w:h="15874"/>
          <w:pgMar w:top="366" w:right="740" w:bottom="318" w:left="762" w:header="720" w:footer="720" w:gutter="0"/>
          <w:cols w:space="720" w:num="2" w:equalWidth="0"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76"/>
        <w:ind w:left="2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Performance evaluation parameters for the three GP-based C aromaticity prediction models.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34"/>
        <w:gridCol w:w="1734"/>
        <w:gridCol w:w="1734"/>
        <w:gridCol w:w="1734"/>
        <w:gridCol w:w="1734"/>
        <w:gridCol w:w="1734"/>
      </w:tblGrid>
      <w:tr>
        <w:trPr>
          <w:trHeight w:hRule="exact" w:val="264"/>
        </w:trPr>
        <w:tc>
          <w:tcPr>
            <w:tcW w:type="dxa" w:w="1598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Data set</w:t>
            </w:r>
          </w:p>
        </w:tc>
        <w:tc>
          <w:tcPr>
            <w:tcW w:type="dxa" w:w="282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45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Parameters</w:t>
            </w:r>
          </w:p>
        </w:tc>
        <w:tc>
          <w:tcPr>
            <w:tcW w:type="dxa" w:w="158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M-W model</w:t>
            </w:r>
          </w:p>
        </w:tc>
        <w:tc>
          <w:tcPr>
            <w:tcW w:type="dxa" w:w="152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GP-I model</w:t>
            </w:r>
          </w:p>
        </w:tc>
        <w:tc>
          <w:tcPr>
            <w:tcW w:type="dxa" w:w="156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GP-II model</w:t>
            </w:r>
          </w:p>
        </w:tc>
        <w:tc>
          <w:tcPr>
            <w:tcW w:type="dxa" w:w="1304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120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GP-III model</w:t>
            </w:r>
          </w:p>
        </w:tc>
      </w:tr>
      <w:tr>
        <w:trPr>
          <w:trHeight w:hRule="exact" w:val="196"/>
        </w:trPr>
        <w:tc>
          <w:tcPr>
            <w:tcW w:type="dxa" w:w="1598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Training (</w:t>
            </w: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N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= 60)</w:t>
            </w:r>
          </w:p>
        </w:tc>
        <w:tc>
          <w:tcPr>
            <w:tcW w:type="dxa" w:w="28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45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Average Absolute Error (AAE)</w:t>
            </w:r>
          </w:p>
        </w:tc>
        <w:tc>
          <w:tcPr>
            <w:tcW w:type="dxa" w:w="15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73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0.0677</w:t>
            </w:r>
          </w:p>
        </w:tc>
        <w:tc>
          <w:tcPr>
            <w:tcW w:type="dxa" w:w="15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67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0.0537</w:t>
            </w:r>
          </w:p>
        </w:tc>
        <w:tc>
          <w:tcPr>
            <w:tcW w:type="dxa" w:w="156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714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0.0529</w:t>
            </w:r>
          </w:p>
        </w:tc>
        <w:tc>
          <w:tcPr>
            <w:tcW w:type="dxa" w:w="130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0.0547</w:t>
            </w:r>
          </w:p>
        </w:tc>
      </w:tr>
      <w:tr>
        <w:trPr>
          <w:trHeight w:hRule="exact" w:val="188"/>
        </w:trPr>
        <w:tc>
          <w:tcPr>
            <w:tcW w:type="dxa" w:w="1598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82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Testing (</w:t>
            </w: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N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 = 38)</w:t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Maximum Absolute Error (MAE)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73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0.2155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67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0.1471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714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0.1439</w:t>
            </w:r>
          </w:p>
        </w:tc>
        <w:tc>
          <w:tcPr>
            <w:tcW w:type="dxa" w:w="13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0.1412</w:t>
            </w:r>
          </w:p>
        </w:tc>
      </w:tr>
      <w:tr>
        <w:trPr>
          <w:trHeight w:hRule="exact" w:val="171"/>
        </w:trPr>
        <w:tc>
          <w:tcPr>
            <w:tcW w:type="dxa" w:w="1734"/>
            <w:vMerge/>
            <w:tcBorders>
              <w:bottom w:sz="4.0" w:val="single" w:color="#221F1F"/>
            </w:tcBorders>
          </w:tcPr>
          <w:p/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Root Mean Squared Error (RMSE)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73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0.0938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67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0.0725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714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0.0701</w:t>
            </w:r>
          </w:p>
        </w:tc>
        <w:tc>
          <w:tcPr>
            <w:tcW w:type="dxa" w:w="13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0.0736</w:t>
            </w:r>
          </w:p>
        </w:tc>
      </w:tr>
      <w:tr>
        <w:trPr>
          <w:trHeight w:hRule="exact" w:val="174"/>
        </w:trPr>
        <w:tc>
          <w:tcPr>
            <w:tcW w:type="dxa" w:w="1734"/>
            <w:vMerge/>
            <w:tcBorders>
              <w:bottom w:sz="4.0" w:val="single" w:color="#221F1F"/>
            </w:tcBorders>
          </w:tcPr>
          <w:p/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Coef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221F1F"/>
                <w:sz w:val="13"/>
              </w:rPr>
              <w:t>fi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cient of determination (R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73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0.8873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67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0.9327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714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0.9371</w:t>
            </w:r>
          </w:p>
        </w:tc>
        <w:tc>
          <w:tcPr>
            <w:tcW w:type="dxa" w:w="13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0.9306</w:t>
            </w:r>
          </w:p>
        </w:tc>
      </w:tr>
      <w:tr>
        <w:trPr>
          <w:trHeight w:hRule="exact" w:val="171"/>
        </w:trPr>
        <w:tc>
          <w:tcPr>
            <w:tcW w:type="dxa" w:w="1734"/>
            <w:vMerge/>
            <w:tcBorders>
              <w:bottom w:sz="4.0" w:val="single" w:color="#221F1F"/>
            </w:tcBorders>
          </w:tcPr>
          <w:p/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6" w:after="0"/>
              <w:ind w:left="45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Correlation coef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221F1F"/>
                <w:sz w:val="13"/>
              </w:rPr>
              <w:t>fi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cient (</w:t>
            </w: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ρ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73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0.9429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67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0.9657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714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0.9681</w:t>
            </w:r>
          </w:p>
        </w:tc>
        <w:tc>
          <w:tcPr>
            <w:tcW w:type="dxa" w:w="13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0.9647</w:t>
            </w:r>
          </w:p>
        </w:tc>
      </w:tr>
      <w:tr>
        <w:trPr>
          <w:trHeight w:hRule="exact" w:val="172"/>
        </w:trPr>
        <w:tc>
          <w:tcPr>
            <w:tcW w:type="dxa" w:w="1734"/>
            <w:vMerge/>
            <w:tcBorders>
              <w:bottom w:sz="4.0" w:val="single" w:color="#221F1F"/>
            </w:tcBorders>
          </w:tcPr>
          <w:p/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Comprehensive performance (</w:t>
            </w: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β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73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0.0483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67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0.0369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714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0.0356</w:t>
            </w:r>
          </w:p>
        </w:tc>
        <w:tc>
          <w:tcPr>
            <w:tcW w:type="dxa" w:w="13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0.0375</w:t>
            </w:r>
          </w:p>
        </w:tc>
      </w:tr>
      <w:tr>
        <w:trPr>
          <w:trHeight w:hRule="exact" w:val="163"/>
        </w:trPr>
        <w:tc>
          <w:tcPr>
            <w:tcW w:type="dxa" w:w="1734"/>
            <w:vMerge/>
            <w:tcBorders>
              <w:bottom w:sz="4.0" w:val="single" w:color="#221F1F"/>
            </w:tcBorders>
          </w:tcPr>
          <w:p/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45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Average Absolute Error (AAE)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73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0.0357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67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0.0348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714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0.0337</w:t>
            </w:r>
          </w:p>
        </w:tc>
        <w:tc>
          <w:tcPr>
            <w:tcW w:type="dxa" w:w="13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0.0320</w:t>
            </w:r>
          </w:p>
        </w:tc>
      </w:tr>
      <w:tr>
        <w:trPr>
          <w:trHeight w:hRule="exact" w:val="160"/>
        </w:trPr>
        <w:tc>
          <w:tcPr>
            <w:tcW w:type="dxa" w:w="1734"/>
            <w:vMerge/>
            <w:tcBorders>
              <w:bottom w:sz="4.0" w:val="single" w:color="#221F1F"/>
            </w:tcBorders>
          </w:tcPr>
          <w:p/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Maximum Absolute Error (MAE)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73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0.1002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67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0.0949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714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0.1240</w:t>
            </w:r>
          </w:p>
        </w:tc>
        <w:tc>
          <w:tcPr>
            <w:tcW w:type="dxa" w:w="13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0.0857</w:t>
            </w:r>
          </w:p>
        </w:tc>
      </w:tr>
      <w:tr>
        <w:trPr>
          <w:trHeight w:hRule="exact" w:val="180"/>
        </w:trPr>
        <w:tc>
          <w:tcPr>
            <w:tcW w:type="dxa" w:w="1734"/>
            <w:vMerge/>
            <w:tcBorders>
              <w:bottom w:sz="4.0" w:val="single" w:color="#221F1F"/>
            </w:tcBorders>
          </w:tcPr>
          <w:p/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Root Mean Squared Error (RMSE)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73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0.0517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67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0.0453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714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0.0436</w:t>
            </w:r>
          </w:p>
        </w:tc>
        <w:tc>
          <w:tcPr>
            <w:tcW w:type="dxa" w:w="13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0.0397</w:t>
            </w:r>
          </w:p>
        </w:tc>
      </w:tr>
      <w:tr>
        <w:trPr>
          <w:trHeight w:hRule="exact" w:val="160"/>
        </w:trPr>
        <w:tc>
          <w:tcPr>
            <w:tcW w:type="dxa" w:w="1734"/>
            <w:vMerge/>
            <w:tcBorders>
              <w:bottom w:sz="4.0" w:val="single" w:color="#221F1F"/>
            </w:tcBorders>
          </w:tcPr>
          <w:p/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Coef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221F1F"/>
                <w:sz w:val="13"/>
              </w:rPr>
              <w:t>fi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cient of determination (R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73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0.9129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67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0.9333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714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0.9383</w:t>
            </w:r>
          </w:p>
        </w:tc>
        <w:tc>
          <w:tcPr>
            <w:tcW w:type="dxa" w:w="13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0.9487</w:t>
            </w:r>
          </w:p>
        </w:tc>
      </w:tr>
      <w:tr>
        <w:trPr>
          <w:trHeight w:hRule="exact" w:val="180"/>
        </w:trPr>
        <w:tc>
          <w:tcPr>
            <w:tcW w:type="dxa" w:w="1734"/>
            <w:vMerge/>
            <w:tcBorders>
              <w:bottom w:sz="4.0" w:val="single" w:color="#221F1F"/>
            </w:tcBorders>
          </w:tcPr>
          <w:p/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6" w:after="0"/>
              <w:ind w:left="45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Correlation coef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221F1F"/>
                <w:sz w:val="13"/>
              </w:rPr>
              <w:t>fi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cient (</w:t>
            </w: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ρ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73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0.9581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67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0.9717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714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0.9756</w:t>
            </w:r>
          </w:p>
        </w:tc>
        <w:tc>
          <w:tcPr>
            <w:tcW w:type="dxa" w:w="13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0.9752</w:t>
            </w:r>
          </w:p>
        </w:tc>
      </w:tr>
      <w:tr>
        <w:trPr>
          <w:trHeight w:hRule="exact" w:val="208"/>
        </w:trPr>
        <w:tc>
          <w:tcPr>
            <w:tcW w:type="dxa" w:w="1734"/>
            <w:vMerge/>
            <w:tcBorders>
              <w:bottom w:sz="4.0" w:val="single" w:color="#221F1F"/>
            </w:tcBorders>
          </w:tcPr>
          <w:p/>
        </w:tc>
        <w:tc>
          <w:tcPr>
            <w:tcW w:type="dxa" w:w="28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Comprehensive performance (</w:t>
            </w: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β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  <w:tc>
          <w:tcPr>
            <w:tcW w:type="dxa" w:w="15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73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0.0264</w:t>
            </w:r>
          </w:p>
        </w:tc>
        <w:tc>
          <w:tcPr>
            <w:tcW w:type="dxa" w:w="15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67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0.0230</w:t>
            </w:r>
          </w:p>
        </w:tc>
        <w:tc>
          <w:tcPr>
            <w:tcW w:type="dxa" w:w="15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714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0.0220</w:t>
            </w:r>
          </w:p>
        </w:tc>
        <w:tc>
          <w:tcPr>
            <w:tcW w:type="dxa" w:w="1304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0.0201</w:t>
            </w:r>
          </w:p>
        </w:tc>
      </w:tr>
    </w:tbl>
    <w:p>
      <w:pPr>
        <w:autoSpaceDN w:val="0"/>
        <w:autoSpaceDE w:val="0"/>
        <w:widowControl/>
        <w:spacing w:line="14" w:lineRule="exact" w:before="0" w:after="510"/>
        <w:ind w:left="0" w:right="0"/>
      </w:pP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1" w:equalWidth="0">
            <w:col w:w="10403" w:space="0"/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2" w:right="144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elemental compositions and C aromaticity, which can more accurately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characterize the underlying rule and information for the prediction of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2" w:equalWidth="0">
            <w:col w:w="5190" w:space="0"/>
            <w:col w:w="5213" w:space="0"/>
            <w:col w:w="10403" w:space="0"/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4" w:lineRule="exact" w:before="0" w:after="76"/>
        <w:ind w:left="170" w:right="720" w:firstLine="0"/>
        <w:jc w:val="left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 xml:space="preserve">Table 3 </w:t>
      </w:r>
      <w:r>
        <w:br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Sensitivity analysis of different atom ratios for the GP-II and GP-III models.</w:t>
      </w:r>
    </w:p>
    <w:p>
      <w:pPr>
        <w:sectPr>
          <w:type w:val="nextColumn"/>
          <w:pgSz w:w="11906" w:h="15874"/>
          <w:pgMar w:top="366" w:right="740" w:bottom="318" w:left="762" w:header="720" w:footer="720" w:gutter="0"/>
          <w:cols w:space="720" w:num="2" w:equalWidth="0">
            <w:col w:w="5190" w:space="0"/>
            <w:col w:w="5213" w:space="0"/>
            <w:col w:w="10403" w:space="0"/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2.0000000000000284" w:type="dxa"/>
      </w:tblPr>
      <w:tblGrid>
        <w:gridCol w:w="3468"/>
        <w:gridCol w:w="3468"/>
        <w:gridCol w:w="3468"/>
      </w:tblGrid>
      <w:tr>
        <w:trPr>
          <w:trHeight w:hRule="exact" w:val="242"/>
        </w:trPr>
        <w:tc>
          <w:tcPr>
            <w:tcW w:type="dxa" w:w="5362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4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biochar aromaticity.</w:t>
            </w:r>
          </w:p>
        </w:tc>
        <w:tc>
          <w:tcPr>
            <w:tcW w:type="dxa" w:w="1700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Models</w:t>
            </w:r>
          </w:p>
        </w:tc>
        <w:tc>
          <w:tcPr>
            <w:tcW w:type="dxa" w:w="3322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Sensitivity (%)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8"/>
        <w:ind w:left="0" w:right="0"/>
      </w:pP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1" w:equalWidth="0">
            <w:col w:w="10403" w:space="0"/>
            <w:col w:w="5190" w:space="0"/>
            <w:col w:w="5213" w:space="0"/>
            <w:col w:w="10403" w:space="0"/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2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3.3. Sensitivity analysis of GP-II and GP-III models</w:t>
      </w:r>
    </w:p>
    <w:p>
      <w:pPr>
        <w:autoSpaceDN w:val="0"/>
        <w:autoSpaceDE w:val="0"/>
        <w:widowControl/>
        <w:spacing w:line="210" w:lineRule="exact" w:before="212" w:after="0"/>
        <w:ind w:left="2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above statistical results (see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Table 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and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Figs. 4 and 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 clearly 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dicate GP-II and GP-III models have better prediction performances over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GP-I and Mazumdar-Wang models. Moreover, the results also show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that GP-II and GP-III models possess comparable prediction perfor-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mances. For instance, during the veri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cation in testing set data, GP-II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has smaller median value, but at the same time has larger MAE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RMSE; and the two models have almost equal comprehensive perfor-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mance index (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β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The primary difference of the two models is GP-III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model includes the contribution from the input parameter of N/C for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C aromaticity prediction, which results in a model with greater com-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plexity. But GP-II model does not take into account the in</w:t>
      </w:r>
      <w:r>
        <w:rPr>
          <w:rFonts w:ascii="fb" w:hAnsi="fb" w:eastAsia="fb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uence of N/C,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has a simple and clear model structure (see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Fig. 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To consider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</w:t>
      </w:r>
      <w:r>
        <w:rPr>
          <w:rFonts w:ascii="fb" w:hAnsi="fb" w:eastAsia="fb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uence of different input parameters, we conducted a sensitivity anal-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ysis for the two models.</w:t>
      </w:r>
    </w:p>
    <w:p>
      <w:pPr>
        <w:autoSpaceDN w:val="0"/>
        <w:tabs>
          <w:tab w:pos="240" w:val="left"/>
        </w:tabs>
        <w:autoSpaceDE w:val="0"/>
        <w:widowControl/>
        <w:spacing w:line="198" w:lineRule="exact" w:before="22" w:after="0"/>
        <w:ind w:left="2" w:right="144" w:firstLine="0"/>
        <w:jc w:val="left"/>
      </w:pP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sensitivity (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S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 of each input parameter is expressed as follow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Gandomi et al., 2013b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):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2" w:equalWidth="0"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8.00000000000068" w:type="dxa"/>
      </w:tblPr>
      <w:tblGrid>
        <w:gridCol w:w="2601"/>
        <w:gridCol w:w="2601"/>
        <w:gridCol w:w="2601"/>
        <w:gridCol w:w="2601"/>
      </w:tblGrid>
      <w:tr>
        <w:trPr>
          <w:trHeight w:hRule="exact" w:val="210"/>
        </w:trPr>
        <w:tc>
          <w:tcPr>
            <w:tcW w:type="dxa" w:w="1058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5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H/C</w:t>
            </w:r>
          </w:p>
        </w:tc>
        <w:tc>
          <w:tcPr>
            <w:tcW w:type="dxa" w:w="14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66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O/C</w:t>
            </w:r>
          </w:p>
        </w:tc>
        <w:tc>
          <w:tcPr>
            <w:tcW w:type="dxa" w:w="964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54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N/C</w:t>
            </w:r>
          </w:p>
        </w:tc>
      </w:tr>
      <w:tr>
        <w:trPr>
          <w:trHeight w:hRule="exact" w:val="208"/>
        </w:trPr>
        <w:tc>
          <w:tcPr>
            <w:tcW w:type="dxa" w:w="1058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GP-II</w:t>
            </w:r>
          </w:p>
        </w:tc>
        <w:tc>
          <w:tcPr>
            <w:tcW w:type="dxa" w:w="154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74.25</w:t>
            </w:r>
          </w:p>
        </w:tc>
        <w:tc>
          <w:tcPr>
            <w:tcW w:type="dxa" w:w="146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25.75</w:t>
            </w:r>
          </w:p>
        </w:tc>
        <w:tc>
          <w:tcPr>
            <w:tcW w:type="dxa" w:w="96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296" w:firstLine="0"/>
              <w:jc w:val="right"/>
            </w:pPr>
            <w:r>
              <w:rPr>
                <w:w w:val="98.09230657724234"/>
                <w:rFonts w:ascii="20" w:hAnsi="20" w:eastAsia="20"/>
                <w:b w:val="0"/>
                <w:i w:val="0"/>
                <w:color w:val="221F1F"/>
                <w:sz w:val="13"/>
              </w:rPr>
              <w:t>–</w:t>
            </w:r>
          </w:p>
        </w:tc>
      </w:tr>
      <w:tr>
        <w:trPr>
          <w:trHeight w:hRule="exact" w:val="222"/>
        </w:trPr>
        <w:tc>
          <w:tcPr>
            <w:tcW w:type="dxa" w:w="1058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GP-III</w:t>
            </w:r>
          </w:p>
        </w:tc>
        <w:tc>
          <w:tcPr>
            <w:tcW w:type="dxa" w:w="15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63.53</w:t>
            </w:r>
          </w:p>
        </w:tc>
        <w:tc>
          <w:tcPr>
            <w:tcW w:type="dxa" w:w="14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34.24</w:t>
            </w:r>
          </w:p>
        </w:tc>
        <w:tc>
          <w:tcPr>
            <w:tcW w:type="dxa" w:w="964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120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2.23</w:t>
            </w:r>
          </w:p>
        </w:tc>
      </w:tr>
    </w:tbl>
    <w:p>
      <w:pPr>
        <w:autoSpaceDN w:val="0"/>
        <w:autoSpaceDE w:val="0"/>
        <w:widowControl/>
        <w:spacing w:line="208" w:lineRule="exact" w:before="412" w:after="0"/>
        <w:ind w:left="168" w:right="2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models. Obviously, the in</w:t>
      </w:r>
      <w:r>
        <w:rPr>
          <w:rFonts w:ascii="fb" w:hAnsi="fb" w:eastAsia="fb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uence of N/C for the C aromaticity prediction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is highly small, which can be ignored, because its sensitivity for the out-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puts of the GP-III model is only 2.23%. Therefore, GP-II model should be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best alternative among these models for the prediction of biochar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aromaticity on account of excellent predicting capacity and simple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model structure.</w:t>
      </w:r>
    </w:p>
    <w:p>
      <w:pPr>
        <w:autoSpaceDN w:val="0"/>
        <w:autoSpaceDE w:val="0"/>
        <w:widowControl/>
        <w:spacing w:line="210" w:lineRule="exact" w:before="0" w:after="12"/>
        <w:ind w:left="168" w:right="22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Furthermore, the sensitivity analysis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Table 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 also clearly demon-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strates that H/C dominantly determines the prediction of biochar aro-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maticity because of larger sensitivity weight over O/C. That could be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 important reason for the fact that H/C is widely used as an approxi-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mating aromatic index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Baldock and Smernik, 2002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Cai et al., 2019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;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Hammes et al., 2006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Keiluweit et al., 2010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Wiedemeier et al., 2015a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Fig. 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(a) shows 3D distribution of the biochar aromaticity under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prediction of GP-II model, and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Fig. 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(b) is the corresponding growing</w:t>
      </w:r>
    </w:p>
    <w:p>
      <w:pPr>
        <w:sectPr>
          <w:type w:val="nextColumn"/>
          <w:pgSz w:w="11906" w:h="15874"/>
          <w:pgMar w:top="366" w:right="740" w:bottom="318" w:left="762" w:header="720" w:footer="720" w:gutter="0"/>
          <w:cols w:space="720" w:num="2" w:equalWidth="0"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2.0000000000000284" w:type="dxa"/>
      </w:tblPr>
      <w:tblGrid>
        <w:gridCol w:w="2081"/>
        <w:gridCol w:w="2081"/>
        <w:gridCol w:w="2081"/>
        <w:gridCol w:w="2081"/>
        <w:gridCol w:w="2081"/>
      </w:tblGrid>
      <w:tr>
        <w:trPr>
          <w:trHeight w:hRule="exact" w:val="230"/>
        </w:trPr>
        <w:tc>
          <w:tcPr>
            <w:tcW w:type="dxa" w:w="796"/>
            <w:tcBorders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2" w:after="0"/>
              <w:ind w:left="4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S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 xml:space="preserve"> 100</w:t>
            </w:r>
          </w:p>
        </w:tc>
        <w:tc>
          <w:tcPr>
            <w:tcW w:type="dxa" w:w="572"/>
            <w:tcBorders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" w:after="0"/>
              <w:ind w:left="0" w:right="0" w:firstLine="0"/>
              <w:jc w:val="center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N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i</w:t>
            </w:r>
          </w:p>
        </w:tc>
        <w:tc>
          <w:tcPr>
            <w:tcW w:type="dxa" w:w="1692"/>
            <w:tcBorders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2" w:after="0"/>
              <w:ind w:left="26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,</w:t>
            </w:r>
          </w:p>
        </w:tc>
        <w:tc>
          <w:tcPr>
            <w:tcW w:type="dxa" w:w="2120"/>
            <w:tcBorders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2" w:after="0"/>
              <w:ind w:left="0" w:right="218" w:firstLine="0"/>
              <w:jc w:val="righ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12</w:t>
            </w:r>
          </w:p>
        </w:tc>
        <w:tc>
          <w:tcPr>
            <w:tcW w:type="dxa" w:w="5200"/>
            <w:tcBorders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8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pathway of the biochar aromaticity with the decrease of H/C. As far as</w:t>
            </w:r>
          </w:p>
        </w:tc>
      </w:tr>
      <w:tr>
        <w:trPr>
          <w:trHeight w:hRule="exact" w:val="182"/>
        </w:trPr>
        <w:tc>
          <w:tcPr>
            <w:tcW w:type="dxa" w:w="796"/>
            <w:vMerge w:val="restart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0" w:right="0" w:firstLine="0"/>
              <w:jc w:val="center"/>
            </w:pP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�</w:t>
            </w:r>
          </w:p>
        </w:tc>
        <w:tc>
          <w:tcPr>
            <w:tcW w:type="dxa" w:w="572"/>
            <w:vMerge w:val="restart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0" w:firstLine="0"/>
              <w:jc w:val="left"/>
            </w:pPr>
            <w:r>
              <w:rPr>
                <w:rFonts w:ascii="22" w:hAnsi="22" w:eastAsia="22"/>
                <w:b w:val="0"/>
                <w:i w:val="0"/>
                <w:color w:val="221F1F"/>
                <w:sz w:val="16"/>
              </w:rPr>
              <w:t>∑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n</w:t>
            </w:r>
          </w:p>
          <w:p>
            <w:pPr>
              <w:autoSpaceDN w:val="0"/>
              <w:autoSpaceDE w:val="0"/>
              <w:widowControl/>
              <w:spacing w:line="306" w:lineRule="exact" w:before="0" w:after="0"/>
              <w:ind w:left="0" w:right="10" w:firstLine="0"/>
              <w:jc w:val="right"/>
            </w:pP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j</w:t>
            </w:r>
            <w:r>
              <w:rPr>
                <w:w w:val="101.43454291603781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¼</w:t>
            </w: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>1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N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j</w:t>
            </w:r>
          </w:p>
        </w:tc>
        <w:tc>
          <w:tcPr>
            <w:tcW w:type="dxa" w:w="1692"/>
            <w:vMerge w:val="restart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120"/>
            <w:vMerge w:val="restart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0" w:after="0"/>
              <w:ind w:left="0" w:right="156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  <w:tc>
          <w:tcPr>
            <w:tcW w:type="dxa" w:w="5200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8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we know, as pyrolysis temperature increases, raw biomass experiences</w:t>
            </w:r>
          </w:p>
        </w:tc>
      </w:tr>
      <w:tr>
        <w:trPr>
          <w:trHeight w:hRule="exact" w:val="200"/>
        </w:trPr>
        <w:tc>
          <w:tcPr>
            <w:tcW w:type="dxa" w:w="2081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2081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2081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2081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18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charring processes, such as dehydration, depolymerization, volatiliza-</w:t>
            </w:r>
          </w:p>
        </w:tc>
      </w:tr>
      <w:tr>
        <w:trPr>
          <w:trHeight w:hRule="exact" w:val="200"/>
        </w:trPr>
        <w:tc>
          <w:tcPr>
            <w:tcW w:type="dxa" w:w="136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54" w:after="0"/>
              <w:ind w:left="4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N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f ii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minmax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,</w:t>
            </w:r>
          </w:p>
        </w:tc>
        <w:tc>
          <w:tcPr>
            <w:tcW w:type="dxa" w:w="2081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2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54" w:after="0"/>
              <w:ind w:left="0" w:right="156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13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18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tion and crystallization, eventually leading to the formation of H and O</w:t>
            </w:r>
          </w:p>
        </w:tc>
      </w:tr>
      <w:tr>
        <w:trPr>
          <w:trHeight w:hRule="exact" w:val="200"/>
        </w:trPr>
        <w:tc>
          <w:tcPr>
            <w:tcW w:type="dxa" w:w="4162"/>
            <w:gridSpan w:val="2"/>
            <w:vMerge/>
            <w:tcBorders/>
          </w:tcPr>
          <w:p/>
        </w:tc>
        <w:tc>
          <w:tcPr>
            <w:tcW w:type="dxa" w:w="2081"/>
            <w:vMerge/>
            <w:tcBorders>
              <w:top w:sz="2.400000000000091" w:val="single" w:color="#221F1F"/>
            </w:tcBorders>
          </w:tcPr>
          <w:p/>
        </w:tc>
        <w:tc>
          <w:tcPr>
            <w:tcW w:type="dxa" w:w="2081"/>
            <w:vMerge/>
            <w:tcBorders/>
          </w:tcPr>
          <w:p/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18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depleted aromatic C structures (</w:t>
            </w:r>
            <w:r>
              <w:rPr>
                <w:rFonts w:ascii="AdvTT5235d5a9" w:hAnsi="AdvTT5235d5a9" w:eastAsia="AdvTT5235d5a9"/>
                <w:b w:val="0"/>
                <w:i w:val="0"/>
                <w:color w:val="2E3092"/>
                <w:sz w:val="16"/>
              </w:rPr>
              <w:t>Chen and Yuan, 2011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;</w:t>
            </w:r>
            <w:r>
              <w:rPr>
                <w:rFonts w:ascii="AdvTT5235d5a9" w:hAnsi="AdvTT5235d5a9" w:eastAsia="AdvTT5235d5a9"/>
                <w:b w:val="0"/>
                <w:i w:val="0"/>
                <w:color w:val="2E3092"/>
                <w:sz w:val="16"/>
              </w:rPr>
              <w:t xml:space="preserve"> Fang et al.,</w:t>
            </w:r>
          </w:p>
        </w:tc>
      </w:tr>
    </w:tbl>
    <w:p>
      <w:pPr>
        <w:autoSpaceDN w:val="0"/>
        <w:autoSpaceDE w:val="0"/>
        <w:widowControl/>
        <w:spacing w:line="14" w:lineRule="exact" w:before="0" w:after="22"/>
        <w:ind w:left="0" w:right="0"/>
      </w:pP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1" w:equalWidth="0"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14" w:after="0"/>
        <w:ind w:left="2" w:right="144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which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f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max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x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 and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f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min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x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 are respectively the maximum and mini-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mum value of the predicted output (i.e. C aromaticity) over the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i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th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input</w:t>
      </w:r>
    </w:p>
    <w:p>
      <w:pPr>
        <w:autoSpaceDN w:val="0"/>
        <w:autoSpaceDE w:val="0"/>
        <w:widowControl/>
        <w:spacing w:line="196" w:lineRule="exact" w:before="12" w:after="0"/>
        <w:ind w:left="2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domain, where other input parameters are equal to their mean values.</w:t>
      </w:r>
    </w:p>
    <w:p>
      <w:pPr>
        <w:autoSpaceDN w:val="0"/>
        <w:autoSpaceDE w:val="0"/>
        <w:widowControl/>
        <w:spacing w:line="196" w:lineRule="exact" w:before="14" w:after="0"/>
        <w:ind w:left="2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Table 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presents the results of above analysis for the GP-II and GP-III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2" w:equalWidth="0">
            <w:col w:w="5191" w:space="0"/>
            <w:col w:w="5211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616"/>
        <w:ind w:left="168" w:right="22" w:firstLine="0"/>
        <w:jc w:val="both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Wiedemeier et al., 2015a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Xiao et al.,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In this case,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biochar aromaticity increases with decreasing of H/C. In addition,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sensitivity of C aromaticity for O/C reduces with the decrease of H/C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(the red shadow area in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Fig. 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(b) becomes narrow with the decrease</w:t>
      </w:r>
    </w:p>
    <w:p>
      <w:pPr>
        <w:sectPr>
          <w:type w:val="nextColumn"/>
          <w:pgSz w:w="11906" w:h="15874"/>
          <w:pgMar w:top="366" w:right="740" w:bottom="318" w:left="762" w:header="720" w:footer="720" w:gutter="0"/>
          <w:cols w:space="720" w:num="2" w:equalWidth="0">
            <w:col w:w="5191" w:space="0"/>
            <w:col w:w="5211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054600" cy="1808479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8084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36" w:lineRule="exact" w:before="46" w:after="0"/>
        <w:ind w:left="2736" w:right="2736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5.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Box-and-whisker diagrams of the developed predicted models in testing set. </w:t>
      </w:r>
      <w:r>
        <w:br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139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1" w:equalWidth="0">
            <w:col w:w="10403" w:space="0"/>
            <w:col w:w="5191" w:space="0"/>
            <w:col w:w="5211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7460" w:val="left"/>
        </w:tabs>
        <w:autoSpaceDE w:val="0"/>
        <w:widowControl/>
        <w:spacing w:line="154" w:lineRule="exact" w:before="0" w:after="0"/>
        <w:ind w:left="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H. Cao, Y.J. Milan, S.H. Mood et al. </w:t>
      </w:r>
      <w:r>
        <w:tab/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133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141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20360" cy="1960879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19608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224" w:after="0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6.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Predicting distributions of the GP-II model for biochar aromaticity: (a) 3D characteristics under O/C - H/C plane, (b) 2D characteristics with H/C as independent variable, where red</w:t>
      </w:r>
    </w:p>
    <w:p>
      <w:pPr>
        <w:autoSpaceDN w:val="0"/>
        <w:autoSpaceDE w:val="0"/>
        <w:widowControl/>
        <w:spacing w:line="158" w:lineRule="exact" w:before="14" w:after="474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shadow area is formed with different O/C and the black dotted lines represent the upper and lower limits of O/C within the collected data set.</w:t>
      </w:r>
    </w:p>
    <w:p>
      <w:pPr>
        <w:sectPr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10403" w:space="0"/>
            <w:col w:w="5191" w:space="0"/>
            <w:col w:w="5211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of H/C), which primarily is due to the formation of similar molecular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structures (tiny aromatic cluster graphene-like structures) at relative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high pyrolysis temperature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Fang et al., 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Maroto-Valer et al.,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1998b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McBeath et al., 2011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Wang et al., 2013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Obviously, the predic-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 characteristics of GP-II model is greatly consistent with the 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ported research results. Therefore, the GP-II model is an excellent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prediction models for biochar aromaticity with high predicting accuracy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generalization ability.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88" w:space="0"/>
            <w:col w:w="5213" w:space="0"/>
            <w:col w:w="10401" w:space="0"/>
            <w:col w:w="10403" w:space="0"/>
            <w:col w:w="5191" w:space="0"/>
            <w:col w:w="5211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0" w:right="22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R&amp;D Program of China (2018YFE0183600), the Fundamental Research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Funds for the Central Universities (2662019PY081),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nancial sup-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port from the China Scholarship Council (201806765007), and the Na-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tional Research Council of Brazil - CNPq. Moreover, the authors would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like to thank Chunjiang Zhao, Editor, Arti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cial Intelligence in Agricul-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ture, and anonymous reviewers for their help and suggestion.</w:t>
      </w:r>
    </w:p>
    <w:p>
      <w:pPr>
        <w:autoSpaceDN w:val="0"/>
        <w:autoSpaceDE w:val="0"/>
        <w:widowControl/>
        <w:spacing w:line="196" w:lineRule="exact" w:before="222" w:after="222"/>
        <w:ind w:left="170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Appendix A. Supplementary data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88" w:space="0"/>
            <w:col w:w="5213" w:space="0"/>
            <w:col w:w="10401" w:space="0"/>
            <w:col w:w="10403" w:space="0"/>
            <w:col w:w="5191" w:space="0"/>
            <w:col w:w="5211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5358" w:val="left"/>
          <w:tab w:pos="5596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 xml:space="preserve">4. Conclusions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Supplementary data to this article can be found online at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hyperlink r:id="rId9" w:history="1">
          <w:r>
            <w:rPr>
              <w:rStyle w:val="Hyperlink"/>
            </w:rPr>
            <w:t xml:space="preserve">https://doi. </w:t>
          </w:r>
        </w:hyperlink>
      </w:r>
      <w:r>
        <w:tab/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hyperlink r:id="rId9" w:history="1">
          <w:r>
            <w:rPr>
              <w:rStyle w:val="Hyperlink"/>
            </w:rPr>
            <w:t>org/10.1016/j.aiia.2021.06.002</w:t>
          </w:r>
        </w:hyperlink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.</w:t>
      </w:r>
    </w:p>
    <w:p>
      <w:pPr>
        <w:autoSpaceDN w:val="0"/>
        <w:tabs>
          <w:tab w:pos="238" w:val="left"/>
          <w:tab w:pos="5358" w:val="left"/>
        </w:tabs>
        <w:autoSpaceDE w:val="0"/>
        <w:widowControl/>
        <w:spacing w:line="210" w:lineRule="exact" w:before="0" w:after="12"/>
        <w:ind w:left="0" w:right="4176" w:firstLine="0"/>
        <w:jc w:val="left"/>
      </w:pP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presented results clearly indicate that, compared with polyno-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mial models (e.g. Mazumdar-Wang model), the proposed exponential </w:t>
      </w:r>
      <w:r>
        <w:tab/>
      </w: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References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88" w:space="0"/>
            <w:col w:w="5213" w:space="0"/>
            <w:col w:w="10401" w:space="0"/>
            <w:col w:w="10403" w:space="0"/>
            <w:col w:w="5191" w:space="0"/>
            <w:col w:w="5211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models (see GP-II and GP-III models) can more accurately characterize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underlying mapping relationship between the elemental composi-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tions and the C aromaticity of biochars. Particularly, GP-II model not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only has high predicting accuracy and generalization ability, but also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possesses a simple model structure. Furthermore, the research demon-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strates that mathematical modelling has high potential utility as a pow-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erful tool for predicting biochar aromaticity using easily accessible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feature parameters of biochars, such as elemental compositions, which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can greatly save experimental time and cost. Especially, GP intelligence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modelling method can accurately identify suitable alternatives with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clear mathematic expressions.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0403" w:space="0"/>
            <w:col w:w="5191" w:space="0"/>
            <w:col w:w="5211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406" w:val="left"/>
        </w:tabs>
        <w:autoSpaceDE w:val="0"/>
        <w:widowControl/>
        <w:spacing w:line="160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Baccile, N., Falco, C., Titirici, M., 2014.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3" w:history="1">
          <w:r>
            <w:rPr>
              <w:rStyle w:val="Hyperlink"/>
            </w:rPr>
            <w:t xml:space="preserve">Characterization of biomass and its derived char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3" w:history="1">
          <w:r>
            <w:rPr>
              <w:rStyle w:val="Hyperlink"/>
            </w:rPr>
            <w:t>using 13C-solid state nuclear magnetic resonance. Green Chem. 16, 4839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6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3" w:history="1">
          <w:r>
            <w:rPr>
              <w:rStyle w:val="Hyperlink"/>
            </w:rPr>
            <w:t>4869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Bagheri, M., Bagheri, M., Gandomi, A.H., Golbraikh, A., 2012.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4" w:history="1">
          <w:r>
            <w:rPr>
              <w:rStyle w:val="Hyperlink"/>
            </w:rPr>
            <w:t>Simple yet accurate predic-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4" w:history="1">
          <w:r>
            <w:rPr>
              <w:rStyle w:val="Hyperlink"/>
            </w:rPr>
            <w:t>tion method for sublimation enthalpies of organic contaminants using their molecu-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4" w:history="1">
          <w:r>
            <w:rPr>
              <w:rStyle w:val="Hyperlink"/>
            </w:rPr>
            <w:t>lar structure. Thermochim. Acta 543, 96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6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4" w:history="1">
          <w:r>
            <w:rPr>
              <w:rStyle w:val="Hyperlink"/>
            </w:rPr>
            <w:t>106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6" w:val="left"/>
        </w:tabs>
        <w:autoSpaceDE w:val="0"/>
        <w:widowControl/>
        <w:spacing w:line="160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Baldock, J.A., Smernik, R.J., 2002.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5" w:history="1">
          <w:r>
            <w:rPr>
              <w:rStyle w:val="Hyperlink"/>
            </w:rPr>
            <w:t>Chemical composition and bioavailability of thermally al-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5" w:history="1">
          <w:r>
            <w:rPr>
              <w:rStyle w:val="Hyperlink"/>
            </w:rPr>
            <w:t>tered Pinus resinosa (Red pine) wood. Org. Geochem. 33, 1093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6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5" w:history="1">
          <w:r>
            <w:rPr>
              <w:rStyle w:val="Hyperlink"/>
            </w:rPr>
            <w:t>1109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Baumes, L.A., Blansché, A., Serna, P., Tchougang, A., Lachiche, N., Collet, P., Corma, A., 2009.</w:t>
      </w:r>
    </w:p>
    <w:p>
      <w:pPr>
        <w:autoSpaceDN w:val="0"/>
        <w:autoSpaceDE w:val="0"/>
        <w:widowControl/>
        <w:spacing w:line="160" w:lineRule="exact" w:before="0" w:after="0"/>
        <w:ind w:left="406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6" w:history="1">
          <w:r>
            <w:rPr>
              <w:rStyle w:val="Hyperlink"/>
            </w:rPr>
            <w:t xml:space="preserve">Using genetic programming for an advanced performance assessment of industrially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6" w:history="1">
          <w:r>
            <w:rPr>
              <w:rStyle w:val="Hyperlink"/>
            </w:rPr>
            <w:t>relevant heterogeneous catalysts. Mater. Manuf. Process. 24, 282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6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6" w:history="1">
          <w:r>
            <w:rPr>
              <w:rStyle w:val="Hyperlink"/>
            </w:rPr>
            <w:t>292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6" w:val="left"/>
        </w:tabs>
        <w:autoSpaceDE w:val="0"/>
        <w:widowControl/>
        <w:spacing w:line="162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Brewer, C.E., Unger, R., Schmidt-Rohr, K., Brown, R.C., 2011.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7" w:history="1">
          <w:r>
            <w:rPr>
              <w:rStyle w:val="Hyperlink"/>
            </w:rPr>
            <w:t xml:space="preserve">Criteria to select biochars for </w:t>
          </w:r>
        </w:hyperlink>
      </w:r>
      <w:r>
        <w:tab/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67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7" w:history="1">
          <w:r>
            <w:rPr>
              <w:rStyle w:val="Hyperlink"/>
            </w:rPr>
            <w:t>eld studies based on biochar chemical properties. Bioenerg. Res. 4, 312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6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7" w:history="1">
          <w:r>
            <w:rPr>
              <w:rStyle w:val="Hyperlink"/>
            </w:rPr>
            <w:t>323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4"/>
        <w:ind w:left="406" w:right="0" w:hanging="238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Cai, H., Liu, J., Xie, W., Kuo, J., Buyukada, M., Evrendilek, F., 2019.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8" w:history="1">
          <w:r>
            <w:rPr>
              <w:rStyle w:val="Hyperlink"/>
            </w:rPr>
            <w:t>Pyrolytic kinetics, reac-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8" w:history="1">
          <w:r>
            <w:rPr>
              <w:rStyle w:val="Hyperlink"/>
            </w:rPr>
            <w:t>tion mechanisms and products of waste tea via TG-FTIR and Py-GC/MS. Energ.</w:t>
          </w:r>
        </w:hyperlink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0403" w:space="0"/>
            <w:col w:w="5191" w:space="0"/>
            <w:col w:w="5211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01"/>
        <w:gridCol w:w="5201"/>
      </w:tblGrid>
      <w:tr>
        <w:trPr>
          <w:trHeight w:hRule="exact" w:val="456"/>
        </w:trPr>
        <w:tc>
          <w:tcPr>
            <w:tcW w:type="dxa" w:w="33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30" w:after="0"/>
              <w:ind w:left="0" w:right="0" w:firstLine="0"/>
              <w:jc w:val="left"/>
            </w:pPr>
            <w:r>
              <w:rPr>
                <w:rFonts w:ascii="AdvTT28000ce1.B" w:hAnsi="AdvTT28000ce1.B" w:eastAsia="AdvTT28000ce1.B"/>
                <w:b w:val="0"/>
                <w:i w:val="0"/>
                <w:color w:val="221F1F"/>
                <w:sz w:val="16"/>
              </w:rPr>
              <w:t>Author statement</w:t>
            </w:r>
          </w:p>
        </w:tc>
        <w:tc>
          <w:tcPr>
            <w:tcW w:type="dxa" w:w="7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3004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68" w:history="1">
                <w:r>
                  <w:rPr>
                    <w:rStyle w:val="Hyperlink"/>
                  </w:rPr>
                  <w:t>Convers. Manag. 184, 436</w:t>
                </w:r>
              </w:hyperlink>
            </w:r>
            <w:r>
              <w:rPr>
                <w:w w:val="98.09230657724234"/>
                <w:rFonts w:ascii="20" w:hAnsi="20" w:eastAsia="20"/>
                <w:b w:val="0"/>
                <w:i w:val="0"/>
                <w:color w:val="2E3092"/>
                <w:sz w:val="13"/>
              </w:rPr>
              <w:hyperlink r:id="rId68" w:history="1">
                <w:r>
                  <w:rPr>
                    <w:rStyle w:val="Hyperlink"/>
                  </w:rPr>
                  <w:t>–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68" w:history="1">
                <w:r>
                  <w:rPr>
                    <w:rStyle w:val="Hyperlink"/>
                  </w:rPr>
                  <w:t>447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.</w:t>
            </w:r>
          </w:p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Cao, X., Pignatello, J.J., Li, Y., Lattao, C., Chappell, M.A., Chen, N., Miller, L.F., Mao, J., 2012.</w:t>
            </w:r>
          </w:p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Characterization of wood chars produced at different temperatures using advanced</w:t>
            </w:r>
          </w:p>
        </w:tc>
      </w:tr>
    </w:tbl>
    <w:p>
      <w:pPr>
        <w:autoSpaceDN w:val="0"/>
        <w:autoSpaceDE w:val="0"/>
        <w:widowControl/>
        <w:spacing w:line="14" w:lineRule="exact" w:before="0" w:after="74"/>
        <w:ind w:left="0" w:right="0"/>
      </w:pP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0403" w:space="0"/>
            <w:col w:w="5191" w:space="0"/>
            <w:col w:w="5211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Hongliang Cao conducted most of the modelling work and writing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this manuscript. Yaime Jefferson Milan, Sohrab Haghighi Mood, Michael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Ayiania, Shu Zhang, Xuzhong Gong, and Electo Eduardo Silva Lora col-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lected experimental data, and analyzed characterization data; Qiaoxia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Yuan addressed the sensitivity analysis of the models. Sohrab Haghighi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Mood, Shu Zhang, and Manuel Garcia-Perez contributed writing of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manuscript. All authors have given approval to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nal version of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manuscript.</w:t>
      </w:r>
    </w:p>
    <w:p>
      <w:pPr>
        <w:autoSpaceDN w:val="0"/>
        <w:autoSpaceDE w:val="0"/>
        <w:widowControl/>
        <w:spacing w:line="196" w:lineRule="exact" w:before="340" w:after="0"/>
        <w:ind w:left="0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Declaration of interests</w:t>
      </w:r>
    </w:p>
    <w:p>
      <w:pPr>
        <w:autoSpaceDN w:val="0"/>
        <w:autoSpaceDE w:val="0"/>
        <w:widowControl/>
        <w:spacing w:line="206" w:lineRule="exact" w:before="220" w:after="0"/>
        <w:ind w:left="0" w:right="17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authors declare that they have no known competing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nancial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interests or personal relationships that could have appeared to in</w:t>
      </w:r>
      <w:r>
        <w:rPr>
          <w:rFonts w:ascii="fb" w:hAnsi="fb" w:eastAsia="fb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ence the work reported in this paper.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0403" w:space="0"/>
            <w:col w:w="5191" w:space="0"/>
            <w:col w:w="5211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406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9" w:history="1">
          <w:r>
            <w:rPr>
              <w:rStyle w:val="Hyperlink"/>
            </w:rPr>
            <w:t>solid-state 13C NMR spectroscopic techniques. Energy Fuel 26, 5983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6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9" w:history="1">
          <w:r>
            <w:rPr>
              <w:rStyle w:val="Hyperlink"/>
            </w:rPr>
            <w:t>5991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6" w:val="left"/>
        </w:tabs>
        <w:autoSpaceDE w:val="0"/>
        <w:widowControl/>
        <w:spacing w:line="160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Cao, H., Xin, Y., Wang, D., Yuan, Q., 2014.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0" w:history="1">
          <w:r>
            <w:rPr>
              <w:rStyle w:val="Hyperlink"/>
            </w:rPr>
            <w:t xml:space="preserve">Pyrolysis characteristics of cattle manures using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0" w:history="1">
          <w:r>
            <w:rPr>
              <w:rStyle w:val="Hyperlink"/>
            </w:rPr>
            <w:t>a discrete distributed activation energy model. Bioresour. Technol. 172, 219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7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0" w:history="1">
          <w:r>
            <w:rPr>
              <w:rStyle w:val="Hyperlink"/>
            </w:rPr>
            <w:t>225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Cao, H., Xin, Y., Yuan, Q.,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1" w:history="1">
          <w:r>
            <w:rPr>
              <w:rStyle w:val="Hyperlink"/>
            </w:rPr>
            <w:t xml:space="preserve">Prediction of biochar yield from cattle manure pyrolysis via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1" w:history="1">
          <w:r>
            <w:rPr>
              <w:rStyle w:val="Hyperlink"/>
            </w:rPr>
            <w:t xml:space="preserve">least squares support vector machine intelligent approach. Bioresour. Technol. 202,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1" w:history="1">
          <w:r>
            <w:rPr>
              <w:rStyle w:val="Hyperlink"/>
            </w:rPr>
            <w:t>158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7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1" w:history="1">
          <w:r>
            <w:rPr>
              <w:rStyle w:val="Hyperlink"/>
            </w:rPr>
            <w:t>164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406" w:right="2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Cao, H., Wu, X., Syed-Hassan, S.S.A., Zhang, S., Mood, S.H., Milan, Y.J., Garcia-Perez, M.,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2020.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2" w:history="1">
          <w:r>
            <w:rPr>
              <w:rStyle w:val="Hyperlink"/>
            </w:rPr>
            <w:t>Characteristics and mechanisms of phosphorous adsorption by rape straw-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2" w:history="1">
          <w:r>
            <w:rPr>
              <w:rStyle w:val="Hyperlink"/>
            </w:rPr>
            <w:t xml:space="preserve">derived biochar functionalized with calcium from eggshell. Bioresour. Technol. 318,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2" w:history="1">
          <w:r>
            <w:rPr>
              <w:rStyle w:val="Hyperlink"/>
            </w:rPr>
            <w:t>124063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6" w:val="left"/>
        </w:tabs>
        <w:autoSpaceDE w:val="0"/>
        <w:widowControl/>
        <w:spacing w:line="162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Chen, B., Yuan, M., 2011.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3" w:history="1">
          <w:r>
            <w:rPr>
              <w:rStyle w:val="Hyperlink"/>
            </w:rPr>
            <w:t xml:space="preserve">Enhanced sorption of polycyclic aromatic hydrocarbons by soil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3" w:history="1">
          <w:r>
            <w:rPr>
              <w:rStyle w:val="Hyperlink"/>
            </w:rPr>
            <w:t>amended with biochar. J. Soils Sediments 11, 62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7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3" w:history="1">
          <w:r>
            <w:rPr>
              <w:rStyle w:val="Hyperlink"/>
            </w:rPr>
            <w:t>71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406" w:right="2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Chen, X., Yang, S., Jiang, Z., Ding, J., Sun, X., 2021.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4" w:history="1">
          <w:r>
            <w:rPr>
              <w:rStyle w:val="Hyperlink"/>
            </w:rPr>
            <w:t xml:space="preserve">Biochar as a tool to reduce environmental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4" w:history="1">
          <w:r>
            <w:rPr>
              <w:rStyle w:val="Hyperlink"/>
            </w:rPr>
            <w:t>impacts of nitrogen loss in water-saving irrigation paddy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74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4" w:history="1">
          <w:r>
            <w:rPr>
              <w:rStyle w:val="Hyperlink"/>
            </w:rPr>
            <w:t xml:space="preserve">eld. J. Clean. Prod. 290,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4" w:history="1">
          <w:r>
            <w:rPr>
              <w:rStyle w:val="Hyperlink"/>
            </w:rPr>
            <w:t>125811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6" w:lineRule="exact" w:before="28" w:after="0"/>
        <w:ind w:left="406" w:right="20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Czech, B., Ko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ń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czak, M., Rakowska, M., Oleszczuk, P., 2021.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5" w:history="1">
          <w:r>
            <w:rPr>
              <w:rStyle w:val="Hyperlink"/>
            </w:rPr>
            <w:t>Engineered biochars from or-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5" w:history="1">
          <w:r>
            <w:rPr>
              <w:rStyle w:val="Hyperlink"/>
            </w:rPr>
            <w:t>ganic wastes for the adsorption of diclofenac, naproxen and triclosan from water sys-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5" w:history="1">
          <w:r>
            <w:rPr>
              <w:rStyle w:val="Hyperlink"/>
            </w:rPr>
            <w:t>tems. J. Clean. Prod. 288, 125686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4"/>
        <w:ind w:left="406" w:right="0" w:hanging="238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Enders, A., Hanley, K., Whitman, T., Joseph, S., Lehmann, J., 2012.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6" w:history="1">
          <w:r>
            <w:rPr>
              <w:rStyle w:val="Hyperlink"/>
            </w:rPr>
            <w:t>Characterization of bio-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6" w:history="1">
          <w:r>
            <w:rPr>
              <w:rStyle w:val="Hyperlink"/>
            </w:rPr>
            <w:t>chars to evaluate recalcitrance and agronomic performance. Bioresour. Technol. 114,</w:t>
          </w:r>
        </w:hyperlink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0403" w:space="0"/>
            <w:col w:w="5191" w:space="0"/>
            <w:col w:w="5211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01"/>
        <w:gridCol w:w="5201"/>
      </w:tblGrid>
      <w:tr>
        <w:trPr>
          <w:trHeight w:hRule="exact" w:val="454"/>
        </w:trPr>
        <w:tc>
          <w:tcPr>
            <w:tcW w:type="dxa" w:w="33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36" w:after="0"/>
              <w:ind w:left="0" w:right="0" w:firstLine="0"/>
              <w:jc w:val="left"/>
            </w:pPr>
            <w:r>
              <w:rPr>
                <w:rFonts w:ascii="AdvTT28000ce1.B" w:hAnsi="AdvTT28000ce1.B" w:eastAsia="AdvTT28000ce1.B"/>
                <w:b w:val="0"/>
                <w:i w:val="0"/>
                <w:color w:val="221F1F"/>
                <w:sz w:val="16"/>
              </w:rPr>
              <w:t>Acknowledgments</w:t>
            </w:r>
          </w:p>
        </w:tc>
        <w:tc>
          <w:tcPr>
            <w:tcW w:type="dxa" w:w="7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425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76" w:history="1">
                <w:r>
                  <w:rPr>
                    <w:rStyle w:val="Hyperlink"/>
                  </w:rPr>
                  <w:t>644</w:t>
                </w:r>
              </w:hyperlink>
            </w:r>
            <w:r>
              <w:rPr>
                <w:w w:val="98.09230657724234"/>
                <w:rFonts w:ascii="20" w:hAnsi="20" w:eastAsia="20"/>
                <w:b w:val="0"/>
                <w:i w:val="0"/>
                <w:color w:val="2E3092"/>
                <w:sz w:val="13"/>
              </w:rPr>
              <w:hyperlink r:id="rId76" w:history="1">
                <w:r>
                  <w:rPr>
                    <w:rStyle w:val="Hyperlink"/>
                  </w:rPr>
                  <w:t>–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76" w:history="1">
                <w:r>
                  <w:rPr>
                    <w:rStyle w:val="Hyperlink"/>
                  </w:rPr>
                  <w:t>653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.</w:t>
            </w:r>
          </w:p>
          <w:p>
            <w:pPr>
              <w:autoSpaceDN w:val="0"/>
              <w:autoSpaceDE w:val="0"/>
              <w:widowControl/>
              <w:spacing w:line="158" w:lineRule="exact" w:before="0" w:after="0"/>
              <w:ind w:left="2240" w:right="0" w:hanging="238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Fang, Q., Chen, B., Lin, Y., Guan, Y., 2014.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 xml:space="preserve"> Aromatic and hydrophobic surfaces of wood-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derived biochar enhance perchlorate adsorption via hydrogen bonding to oxygen-</w:t>
            </w:r>
          </w:p>
        </w:tc>
      </w:tr>
    </w:tbl>
    <w:p>
      <w:pPr>
        <w:autoSpaceDN w:val="0"/>
        <w:autoSpaceDE w:val="0"/>
        <w:widowControl/>
        <w:spacing w:line="14" w:lineRule="exact" w:before="0" w:after="80"/>
        <w:ind w:left="0" w:right="0"/>
      </w:pP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0403" w:space="0"/>
            <w:col w:w="5191" w:space="0"/>
            <w:col w:w="5211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0" w:firstLine="238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This research was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nancially supported by the National Nature Sci-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ence Foundation of China (31971807, 51876093), the National Key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0403" w:space="0"/>
            <w:col w:w="5191" w:space="0"/>
            <w:col w:w="5211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3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140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0403" w:space="0"/>
            <w:col w:w="5191" w:space="0"/>
            <w:col w:w="5211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sectPr>
          <w:pgSz w:w="11906" w:h="15874"/>
          <w:pgMar w:top="366" w:right="742" w:bottom="318" w:left="764" w:header="720" w:footer="720" w:gutter="0"/>
          <w:cols w:space="720" w:num="2" w:equalWidth="0"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0403" w:space="0"/>
            <w:col w:w="5191" w:space="0"/>
            <w:col w:w="5211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0" w:after="0"/>
        <w:ind w:left="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H. Cao, Y.J. Milan, S.H. Mood et al.</w:t>
      </w:r>
    </w:p>
    <w:p>
      <w:pPr>
        <w:autoSpaceDN w:val="0"/>
        <w:tabs>
          <w:tab w:pos="238" w:val="left"/>
        </w:tabs>
        <w:autoSpaceDE w:val="0"/>
        <w:widowControl/>
        <w:spacing w:line="162" w:lineRule="exact" w:before="208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Gandomi, A.H., Roke, D.A., Sett, K., 2013a.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7" w:history="1">
          <w:r>
            <w:rPr>
              <w:rStyle w:val="Hyperlink"/>
            </w:rPr>
            <w:t xml:space="preserve">Genetic programming for moment capacity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7" w:history="1">
          <w:r>
            <w:rPr>
              <w:rStyle w:val="Hyperlink"/>
            </w:rPr>
            <w:t>modeling of ferrocement members. Eng. Struct. 57, 169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7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7" w:history="1">
          <w:r>
            <w:rPr>
              <w:rStyle w:val="Hyperlink"/>
            </w:rPr>
            <w:t>176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Gandomi, A.H., Yun, G.J., Alavi, A.H., 2013b.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8" w:history="1">
          <w:r>
            <w:rPr>
              <w:rStyle w:val="Hyperlink"/>
            </w:rPr>
            <w:t xml:space="preserve">An evolutionary approach for modeling of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8" w:history="1">
          <w:r>
            <w:rPr>
              <w:rStyle w:val="Hyperlink"/>
            </w:rPr>
            <w:t>shear strength of RC deep beams. Mater. Struct. 46, 2109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7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8" w:history="1">
          <w:r>
            <w:rPr>
              <w:rStyle w:val="Hyperlink"/>
            </w:rPr>
            <w:t>2119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Gandomi, A.H., Alavi, A.H., Ryan, C., 2015.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9" w:history="1">
          <w:r>
            <w:rPr>
              <w:rStyle w:val="Hyperlink"/>
            </w:rPr>
            <w:t>Handbook of Genetic Programming Applica-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9" w:history="1">
          <w:r>
            <w:rPr>
              <w:rStyle w:val="Hyperlink"/>
            </w:rPr>
            <w:t>tions. Springer, New York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38" w:right="3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Gandomi, M., Soltanpour, M., Zolfaghari, M.R., Gandomi, A.H.,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0" w:history="1">
          <w:r>
            <w:rPr>
              <w:rStyle w:val="Hyperlink"/>
            </w:rPr>
            <w:t xml:space="preserve">Prediction of peak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0" w:history="1">
          <w:r>
            <w:rPr>
              <w:rStyle w:val="Hyperlink"/>
            </w:rPr>
            <w:t>ground acceleration of Iran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80" w:history="1">
          <w:r>
            <w:rPr>
              <w:rStyle w:val="Hyperlink"/>
            </w:rPr>
            <w:t>’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0" w:history="1">
          <w:r>
            <w:rPr>
              <w:rStyle w:val="Hyperlink"/>
            </w:rPr>
            <w:t>s tectonic regions using a hybrid soft computing tech-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0" w:history="1">
          <w:r>
            <w:rPr>
              <w:rStyle w:val="Hyperlink"/>
            </w:rPr>
            <w:t>nique. Geosci. Front. 7, 75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8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0" w:history="1">
          <w:r>
            <w:rPr>
              <w:rStyle w:val="Hyperlink"/>
            </w:rPr>
            <w:t>82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38" w:right="3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Ghugare, S.B., Tiwary, S., Tambe, S.S., 2014.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1" w:history="1">
          <w:r>
            <w:rPr>
              <w:rStyle w:val="Hyperlink"/>
            </w:rPr>
            <w:t xml:space="preserve">Computational intelligence based models for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1" w:history="1">
          <w:r>
            <w:rPr>
              <w:rStyle w:val="Hyperlink"/>
            </w:rPr>
            <w:t xml:space="preserve">prediction of elemental composition of solid biomass fuels from proximate analysis.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1" w:history="1">
          <w:r>
            <w:rPr>
              <w:rStyle w:val="Hyperlink"/>
            </w:rPr>
            <w:t>Int. J. Syst. Assur. Eng. Manag. 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8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1" w:history="1">
          <w:r>
            <w:rPr>
              <w:rStyle w:val="Hyperlink"/>
            </w:rPr>
            <w:t>14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38" w:right="30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Goldberg, E., Scheringer, M., Bucheli, T.D., Hungerbühler, K., 2015.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2" w:history="1">
          <w:r>
            <w:rPr>
              <w:rStyle w:val="Hyperlink"/>
            </w:rPr>
            <w:t>Prediction of nanopar-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2" w:history="1">
          <w:r>
            <w:rPr>
              <w:rStyle w:val="Hyperlink"/>
            </w:rPr>
            <w:t xml:space="preserve">ticle transport behavior from physicochemical properties: machine learning provides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2" w:history="1">
          <w:r>
            <w:rPr>
              <w:rStyle w:val="Hyperlink"/>
            </w:rPr>
            <w:t xml:space="preserve">insights to guide the next generation of transport models. Environ. Sci. Nano 2,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2" w:history="1">
          <w:r>
            <w:rPr>
              <w:rStyle w:val="Hyperlink"/>
            </w:rPr>
            <w:t>352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8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2" w:history="1">
          <w:r>
            <w:rPr>
              <w:rStyle w:val="Hyperlink"/>
            </w:rPr>
            <w:t>360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center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Hammes, K., Smernik, R.J., Skjemstad, J.O., Herzog, A., Vogt, U.F., Schmidt, M.W.I., 2006.</w:t>
      </w:r>
    </w:p>
    <w:p>
      <w:pPr>
        <w:autoSpaceDN w:val="0"/>
        <w:autoSpaceDE w:val="0"/>
        <w:widowControl/>
        <w:spacing w:line="160" w:lineRule="exact" w:before="0" w:after="0"/>
        <w:ind w:left="238" w:right="32" w:firstLine="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3" w:history="1">
          <w:r>
            <w:rPr>
              <w:rStyle w:val="Hyperlink"/>
            </w:rPr>
            <w:t xml:space="preserve">Synthesis and characterisation of laboratory-charred grass straw (Oryza sativa) and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3" w:history="1">
          <w:r>
            <w:rPr>
              <w:rStyle w:val="Hyperlink"/>
            </w:rPr>
            <w:t>chestnut wood (Castanea sativa) as reference materials for black carbon quanti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83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3" w:history="1">
          <w:r>
            <w:rPr>
              <w:rStyle w:val="Hyperlink"/>
            </w:rPr>
            <w:t>ca-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3" w:history="1">
          <w:r>
            <w:rPr>
              <w:rStyle w:val="Hyperlink"/>
            </w:rPr>
            <w:t>tion. Org. Geochem. 37, 1629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8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3" w:history="1">
          <w:r>
            <w:rPr>
              <w:rStyle w:val="Hyperlink"/>
            </w:rPr>
            <w:t>1633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38" w:right="3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Han, L., Sun, K., Jin, J., Wei, X., Xia, X., Wu, F., Gao, B., Xing, B., 2014.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4" w:history="1">
          <w:r>
            <w:rPr>
              <w:rStyle w:val="Hyperlink"/>
            </w:rPr>
            <w:t xml:space="preserve">Role of structure and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4" w:history="1">
          <w:r>
            <w:rPr>
              <w:rStyle w:val="Hyperlink"/>
            </w:rPr>
            <w:t xml:space="preserve">microporosity in phenanthrene sorption by natural and engineered organic matter.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4" w:history="1">
          <w:r>
            <w:rPr>
              <w:rStyle w:val="Hyperlink"/>
            </w:rPr>
            <w:t>Environ. Sci. Technol. 48, 11227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8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4" w:history="1">
          <w:r>
            <w:rPr>
              <w:rStyle w:val="Hyperlink"/>
            </w:rPr>
            <w:t>11234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2" w:lineRule="exact" w:before="0" w:after="0"/>
        <w:ind w:left="0" w:right="0" w:firstLine="0"/>
        <w:jc w:val="center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Jha, S.K., Bilalovic, J., Jha, A., Patel, N., Zhang, H., 2017.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5" w:history="1">
          <w:r>
            <w:rPr>
              <w:rStyle w:val="Hyperlink"/>
            </w:rPr>
            <w:t xml:space="preserve">Renewable energy: present research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5" w:history="1">
          <w:r>
            <w:rPr>
              <w:rStyle w:val="Hyperlink"/>
            </w:rPr>
            <w:t>and future scope of arti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85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5" w:history="1">
          <w:r>
            <w:rPr>
              <w:rStyle w:val="Hyperlink"/>
            </w:rPr>
            <w:t>cial intelligence. Renew. Sust. Energ. Rev. 77, 297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8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5" w:history="1">
          <w:r>
            <w:rPr>
              <w:rStyle w:val="Hyperlink"/>
            </w:rPr>
            <w:t>317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38" w:right="30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Kaal, J., Schneider, M.P.W., Schmidt, M.W.I., 2012.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6" w:history="1">
          <w:r>
            <w:rPr>
              <w:rStyle w:val="Hyperlink"/>
            </w:rPr>
            <w:t>Rapid molecular screening of black car-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6" w:history="1">
          <w:r>
            <w:rPr>
              <w:rStyle w:val="Hyperlink"/>
            </w:rPr>
            <w:t xml:space="preserve">bon (biochar) thermosequences obtained from chestnut wood and rice straw: a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6" w:history="1">
          <w:r>
            <w:rPr>
              <w:rStyle w:val="Hyperlink"/>
            </w:rPr>
            <w:t>pyrolysis-GC/MS study. Biomass Bioenergy 45, 115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8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6" w:history="1">
          <w:r>
            <w:rPr>
              <w:rStyle w:val="Hyperlink"/>
            </w:rPr>
            <w:t>129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Kankar, P.K., Sharma, S.C., Harsha, S.P., 2011.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7" w:history="1">
          <w:r>
            <w:rPr>
              <w:rStyle w:val="Hyperlink"/>
            </w:rPr>
            <w:t>Fault diagnosis of ball bearings using ma-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7" w:history="1">
          <w:r>
            <w:rPr>
              <w:rStyle w:val="Hyperlink"/>
            </w:rPr>
            <w:t>chine learning methods. Expert Syst. Appl. 38, 1876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8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7" w:history="1">
          <w:r>
            <w:rPr>
              <w:rStyle w:val="Hyperlink"/>
            </w:rPr>
            <w:t>1886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30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Keiluweit, M., Nico, P.S., Johnson, M.G., Kleber, M., 2010.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8" w:history="1">
          <w:r>
            <w:rPr>
              <w:rStyle w:val="Hyperlink"/>
            </w:rPr>
            <w:t xml:space="preserve">Dynamic molecular structure of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8" w:history="1">
          <w:r>
            <w:rPr>
              <w:rStyle w:val="Hyperlink"/>
            </w:rPr>
            <w:t>plant biomass-derived black carbon (biochar). Environ. Sci. Technol. 44, 1247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8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8" w:history="1">
          <w:r>
            <w:rPr>
              <w:rStyle w:val="Hyperlink"/>
            </w:rPr>
            <w:t>1253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Liu, R., Kumar, A., Chen, Z., Agrawal, A., Sundararaghavan, V., Choudhary, A., 2015.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9" w:history="1">
          <w:r>
            <w:rPr>
              <w:rStyle w:val="Hyperlink"/>
            </w:rPr>
            <w:t>A pre-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9" w:history="1">
          <w:r>
            <w:rPr>
              <w:rStyle w:val="Hyperlink"/>
            </w:rPr>
            <w:t>dictive machine learning approach for microstructure optimization and materials de-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9" w:history="1">
          <w:r>
            <w:rPr>
              <w:rStyle w:val="Hyperlink"/>
            </w:rPr>
            <w:t>sign. Sci. Rep-Uk 5, 11551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38" w:right="3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Manna, S., Singh, N., Purakayastha, T.J., Berns, A.E., 2020.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0" w:history="1">
          <w:r>
            <w:rPr>
              <w:rStyle w:val="Hyperlink"/>
            </w:rPr>
            <w:t>Effect of deashing on physico-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0" w:history="1">
          <w:r>
            <w:rPr>
              <w:rStyle w:val="Hyperlink"/>
            </w:rPr>
            <w:t xml:space="preserve">chemical properties of wheat and rice straw biochars and potential sorption of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0" w:history="1">
          <w:r>
            <w:rPr>
              <w:rStyle w:val="Hyperlink"/>
            </w:rPr>
            <w:t>pyrazosulfuron-ethyl. Arab. J. Chem. 13, 1247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9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0" w:history="1">
          <w:r>
            <w:rPr>
              <w:rStyle w:val="Hyperlink"/>
            </w:rPr>
            <w:t>1258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4" w:after="0"/>
        <w:ind w:left="238" w:right="30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Maroto-Valer, M.M., Andrésen, J.M., Snape, C.E., 1998a.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1" w:history="1">
          <w:r>
            <w:rPr>
              <w:rStyle w:val="Hyperlink"/>
            </w:rPr>
            <w:t>Veri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91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1" w:history="1">
          <w:r>
            <w:rPr>
              <w:rStyle w:val="Hyperlink"/>
            </w:rPr>
            <w:t>cation of the linear relation-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1" w:history="1">
          <w:r>
            <w:rPr>
              <w:rStyle w:val="Hyperlink"/>
            </w:rPr>
            <w:t xml:space="preserve">ship between carbon aromaticities and HC ratios for bituminous coals. Fuel 77,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1" w:history="1">
          <w:r>
            <w:rPr>
              <w:rStyle w:val="Hyperlink"/>
            </w:rPr>
            <w:t>783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9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1" w:history="1">
          <w:r>
            <w:rPr>
              <w:rStyle w:val="Hyperlink"/>
            </w:rPr>
            <w:t>785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4" w:after="0"/>
        <w:ind w:left="238" w:right="30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Maroto-Valer, M.M., Andrésen, J.M., Snape, C.E., 1998b.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>Veri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>cation of the linear relation-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 xml:space="preserve">ship between carbon aromaticities and HC ratios for bituminous coals. Fuel 77,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>783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>785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Mazumdar, B.K., 1999.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3" w:history="1">
          <w:r>
            <w:rPr>
              <w:rStyle w:val="Hyperlink"/>
            </w:rPr>
            <w:t xml:space="preserve">Molecular structure and molar volume of organic compounds and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3" w:history="1">
          <w:r>
            <w:rPr>
              <w:rStyle w:val="Hyperlink"/>
            </w:rPr>
            <w:t>complexes with special reference to coal. Fuel 78, 1097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9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3" w:history="1">
          <w:r>
            <w:rPr>
              <w:rStyle w:val="Hyperlink"/>
            </w:rPr>
            <w:t>1107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38" w:right="30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McBeath, A.V., Smernik, R.J., Schneider, M.P.W., Schmidt, M.W.I., Plant, E.L., 2011.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4" w:history="1">
          <w:r>
            <w:rPr>
              <w:rStyle w:val="Hyperlink"/>
            </w:rPr>
            <w:t>Determi-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4" w:history="1">
          <w:r>
            <w:rPr>
              <w:rStyle w:val="Hyperlink"/>
            </w:rPr>
            <w:t xml:space="preserve">nation of the aromaticity and the degree of aromatic condensation of a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4" w:history="1">
          <w:r>
            <w:rPr>
              <w:rStyle w:val="Hyperlink"/>
            </w:rPr>
            <w:t>thermosequence of wood charcoal using NMR. Org. Geochem. 42, 1194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9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4" w:history="1">
          <w:r>
            <w:rPr>
              <w:rStyle w:val="Hyperlink"/>
            </w:rPr>
            <w:t>1202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2" w:equalWidth="0"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0403" w:space="0"/>
            <w:col w:w="5191" w:space="0"/>
            <w:col w:w="5211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4640" w:space="0"/>
            <w:col w:w="5763" w:space="0"/>
            <w:col w:w="5052" w:space="0"/>
            <w:col w:w="5348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0" w:space="0"/>
            <w:col w:w="5206" w:space="0"/>
            <w:col w:w="5194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3" w:space="0"/>
            <w:col w:w="5208" w:space="0"/>
            <w:col w:w="5195" w:space="0"/>
            <w:col w:w="10400" w:space="0"/>
            <w:col w:w="5188" w:space="0"/>
            <w:col w:w="5212" w:space="0"/>
            <w:col w:w="10400" w:space="0"/>
            <w:col w:w="5054" w:space="0"/>
            <w:col w:w="5348" w:space="0"/>
            <w:col w:w="10402" w:space="0"/>
            <w:col w:w="5191" w:space="0"/>
            <w:col w:w="5210" w:space="0"/>
            <w:col w:w="10402" w:space="0"/>
            <w:col w:w="5190" w:space="0"/>
            <w:col w:w="5212" w:space="0"/>
            <w:col w:w="5052" w:space="0"/>
            <w:col w:w="5348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0" w:space="0"/>
            <w:col w:w="5190" w:space="0"/>
            <w:col w:w="5210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3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141</w:t>
      </w:r>
    </w:p>
    <w:sectPr w:rsidR="00FC693F" w:rsidRPr="0006063C" w:rsidSect="00034616">
      <w:type w:val="nextColumn"/>
      <w:pgSz w:w="11906" w:h="15874"/>
      <w:pgMar w:top="366" w:right="742" w:bottom="318" w:left="764" w:header="720" w:footer="720" w:gutter="0"/>
      <w:cols w:space="720" w:num="2" w:equalWidth="0">
        <w:col w:w="5052" w:space="0"/>
        <w:col w:w="5348" w:space="0"/>
        <w:col w:w="5052" w:space="0"/>
        <w:col w:w="5349" w:space="0"/>
        <w:col w:w="10401" w:space="0"/>
        <w:col w:w="5190" w:space="0"/>
        <w:col w:w="5211" w:space="0"/>
        <w:col w:w="10401" w:space="0"/>
        <w:col w:w="5190" w:space="0"/>
        <w:col w:w="5211" w:space="0"/>
        <w:col w:w="10401" w:space="0"/>
        <w:col w:w="5188" w:space="0"/>
        <w:col w:w="5213" w:space="0"/>
        <w:col w:w="10401" w:space="0"/>
        <w:col w:w="10403" w:space="0"/>
        <w:col w:w="5191" w:space="0"/>
        <w:col w:w="5211" w:space="0"/>
        <w:col w:w="10403" w:space="0"/>
        <w:col w:w="5191" w:space="0"/>
        <w:col w:w="5211" w:space="0"/>
        <w:col w:w="10403" w:space="0"/>
        <w:col w:w="5190" w:space="0"/>
        <w:col w:w="5213" w:space="0"/>
        <w:col w:w="10403" w:space="0"/>
        <w:col w:w="4640" w:space="0"/>
        <w:col w:w="5763" w:space="0"/>
        <w:col w:w="5052" w:space="0"/>
        <w:col w:w="5348" w:space="0"/>
        <w:col w:w="10400" w:space="0"/>
        <w:col w:w="5206" w:space="0"/>
        <w:col w:w="5194" w:space="0"/>
        <w:col w:w="10400" w:space="0"/>
        <w:col w:w="5206" w:space="0"/>
        <w:col w:w="5194" w:space="0"/>
        <w:col w:w="10400" w:space="0"/>
        <w:col w:w="5206" w:space="0"/>
        <w:col w:w="5194" w:space="0"/>
        <w:col w:w="10403" w:space="0"/>
        <w:col w:w="5191" w:space="0"/>
        <w:col w:w="5211" w:space="0"/>
        <w:col w:w="10403" w:space="0"/>
        <w:col w:w="5190" w:space="0"/>
        <w:col w:w="5213" w:space="0"/>
        <w:col w:w="10403" w:space="0"/>
        <w:col w:w="5208" w:space="0"/>
        <w:col w:w="5195" w:space="0"/>
        <w:col w:w="10400" w:space="0"/>
        <w:col w:w="5188" w:space="0"/>
        <w:col w:w="5212" w:space="0"/>
        <w:col w:w="10400" w:space="0"/>
        <w:col w:w="5054" w:space="0"/>
        <w:col w:w="5348" w:space="0"/>
        <w:col w:w="10402" w:space="0"/>
        <w:col w:w="5191" w:space="0"/>
        <w:col w:w="5210" w:space="0"/>
        <w:col w:w="10402" w:space="0"/>
        <w:col w:w="5190" w:space="0"/>
        <w:col w:w="5212" w:space="0"/>
        <w:col w:w="5052" w:space="0"/>
        <w:col w:w="5348" w:space="0"/>
        <w:col w:w="10400" w:space="0"/>
        <w:col w:w="5190" w:space="0"/>
        <w:col w:w="5210" w:space="0"/>
        <w:col w:w="10400" w:space="0"/>
        <w:col w:w="5190" w:space="0"/>
        <w:col w:w="5210" w:space="0"/>
        <w:col w:w="10400" w:space="0"/>
        <w:col w:w="5190" w:space="0"/>
        <w:col w:w="5210" w:space="0"/>
        <w:col w:w="10400" w:space="0"/>
        <w:col w:w="5190" w:space="0"/>
        <w:col w:w="5210" w:space="0"/>
        <w:col w:w="10408" w:space="0"/>
        <w:col w:w="5191" w:space="0"/>
        <w:col w:w="5216" w:space="0"/>
        <w:col w:w="1040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iia.2021.06.002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sciencedirect.com/science/journal/" TargetMode="External"/><Relationship Id="rId12" Type="http://schemas.openxmlformats.org/officeDocument/2006/relationships/hyperlink" Target="http://www.keaipublishing.com/en/journals/artificial-intelligence-in-agriculture/" TargetMode="Externa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hyperlink" Target="http://creativecommons.org/licenses/by-nc-nd/4.0/" TargetMode="External"/><Relationship Id="rId16" Type="http://schemas.openxmlformats.org/officeDocument/2006/relationships/hyperlink" Target="mailto:hongliangcao@mail.hzau.edu.cn" TargetMode="External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hyperlink" Target="http://refhub.elsevier.com/S2589-7217(21)00021-0/rf0005" TargetMode="External"/><Relationship Id="rId64" Type="http://schemas.openxmlformats.org/officeDocument/2006/relationships/hyperlink" Target="http://refhub.elsevier.com/S2589-7217(21)00021-0/rf0010" TargetMode="External"/><Relationship Id="rId65" Type="http://schemas.openxmlformats.org/officeDocument/2006/relationships/hyperlink" Target="http://refhub.elsevier.com/S2589-7217(21)00021-0/rf0015" TargetMode="External"/><Relationship Id="rId66" Type="http://schemas.openxmlformats.org/officeDocument/2006/relationships/hyperlink" Target="http://refhub.elsevier.com/S2589-7217(21)00021-0/rf0020" TargetMode="External"/><Relationship Id="rId67" Type="http://schemas.openxmlformats.org/officeDocument/2006/relationships/hyperlink" Target="http://refhub.elsevier.com/S2589-7217(21)00021-0/rf0025" TargetMode="External"/><Relationship Id="rId68" Type="http://schemas.openxmlformats.org/officeDocument/2006/relationships/hyperlink" Target="http://refhub.elsevier.com/S2589-7217(21)00021-0/rf0030" TargetMode="External"/><Relationship Id="rId69" Type="http://schemas.openxmlformats.org/officeDocument/2006/relationships/hyperlink" Target="http://refhub.elsevier.com/S2589-7217(21)00021-0/rf0035" TargetMode="External"/><Relationship Id="rId70" Type="http://schemas.openxmlformats.org/officeDocument/2006/relationships/hyperlink" Target="http://refhub.elsevier.com/S2589-7217(21)00021-0/rf0040" TargetMode="External"/><Relationship Id="rId71" Type="http://schemas.openxmlformats.org/officeDocument/2006/relationships/hyperlink" Target="http://refhub.elsevier.com/S2589-7217(21)00021-0/rf0045" TargetMode="External"/><Relationship Id="rId72" Type="http://schemas.openxmlformats.org/officeDocument/2006/relationships/hyperlink" Target="http://refhub.elsevier.com/S2589-7217(21)00021-0/rf0050" TargetMode="External"/><Relationship Id="rId73" Type="http://schemas.openxmlformats.org/officeDocument/2006/relationships/hyperlink" Target="http://refhub.elsevier.com/S2589-7217(21)00021-0/rf0055" TargetMode="External"/><Relationship Id="rId74" Type="http://schemas.openxmlformats.org/officeDocument/2006/relationships/hyperlink" Target="http://refhub.elsevier.com/S2589-7217(21)00021-0/rf0060" TargetMode="External"/><Relationship Id="rId75" Type="http://schemas.openxmlformats.org/officeDocument/2006/relationships/hyperlink" Target="http://refhub.elsevier.com/S2589-7217(21)00021-0/rf0065" TargetMode="External"/><Relationship Id="rId76" Type="http://schemas.openxmlformats.org/officeDocument/2006/relationships/hyperlink" Target="http://refhub.elsevier.com/S2589-7217(21)00021-0/rf0070" TargetMode="External"/><Relationship Id="rId77" Type="http://schemas.openxmlformats.org/officeDocument/2006/relationships/hyperlink" Target="http://refhub.elsevier.com/S2589-7217(21)00021-0/rf0085" TargetMode="External"/><Relationship Id="rId78" Type="http://schemas.openxmlformats.org/officeDocument/2006/relationships/hyperlink" Target="http://refhub.elsevier.com/S2589-7217(21)00021-0/rf0090" TargetMode="External"/><Relationship Id="rId79" Type="http://schemas.openxmlformats.org/officeDocument/2006/relationships/hyperlink" Target="http://refhub.elsevier.com/S2589-7217(21)00021-0/rf0095" TargetMode="External"/><Relationship Id="rId80" Type="http://schemas.openxmlformats.org/officeDocument/2006/relationships/hyperlink" Target="http://refhub.elsevier.com/S2589-7217(21)00021-0/rf0100" TargetMode="External"/><Relationship Id="rId81" Type="http://schemas.openxmlformats.org/officeDocument/2006/relationships/hyperlink" Target="http://refhub.elsevier.com/S2589-7217(21)00021-0/rf0105" TargetMode="External"/><Relationship Id="rId82" Type="http://schemas.openxmlformats.org/officeDocument/2006/relationships/hyperlink" Target="http://refhub.elsevier.com/S2589-7217(21)00021-0/rf0110" TargetMode="External"/><Relationship Id="rId83" Type="http://schemas.openxmlformats.org/officeDocument/2006/relationships/hyperlink" Target="http://refhub.elsevier.com/S2589-7217(21)00021-0/rf0115" TargetMode="External"/><Relationship Id="rId84" Type="http://schemas.openxmlformats.org/officeDocument/2006/relationships/hyperlink" Target="http://refhub.elsevier.com/S2589-7217(21)00021-0/rf0120" TargetMode="External"/><Relationship Id="rId85" Type="http://schemas.openxmlformats.org/officeDocument/2006/relationships/hyperlink" Target="http://refhub.elsevier.com/S2589-7217(21)00021-0/rf0125" TargetMode="External"/><Relationship Id="rId86" Type="http://schemas.openxmlformats.org/officeDocument/2006/relationships/hyperlink" Target="http://refhub.elsevier.com/S2589-7217(21)00021-0/rf0130" TargetMode="External"/><Relationship Id="rId87" Type="http://schemas.openxmlformats.org/officeDocument/2006/relationships/hyperlink" Target="http://refhub.elsevier.com/S2589-7217(21)00021-0/rf0135" TargetMode="External"/><Relationship Id="rId88" Type="http://schemas.openxmlformats.org/officeDocument/2006/relationships/hyperlink" Target="http://refhub.elsevier.com/S2589-7217(21)00021-0/rf0140" TargetMode="External"/><Relationship Id="rId89" Type="http://schemas.openxmlformats.org/officeDocument/2006/relationships/hyperlink" Target="http://refhub.elsevier.com/S2589-7217(21)00021-0/rf0145" TargetMode="External"/><Relationship Id="rId90" Type="http://schemas.openxmlformats.org/officeDocument/2006/relationships/hyperlink" Target="http://refhub.elsevier.com/S2589-7217(21)00021-0/rf0150" TargetMode="External"/><Relationship Id="rId91" Type="http://schemas.openxmlformats.org/officeDocument/2006/relationships/hyperlink" Target="http://refhub.elsevier.com/S2589-7217(21)00021-0/rf0155" TargetMode="External"/><Relationship Id="rId92" Type="http://schemas.openxmlformats.org/officeDocument/2006/relationships/hyperlink" Target="http://refhub.elsevier.com/S2589-7217(21)00021-0/rf0160" TargetMode="External"/><Relationship Id="rId93" Type="http://schemas.openxmlformats.org/officeDocument/2006/relationships/hyperlink" Target="http://refhub.elsevier.com/S2589-7217(21)00021-0/rf0165" TargetMode="External"/><Relationship Id="rId94" Type="http://schemas.openxmlformats.org/officeDocument/2006/relationships/hyperlink" Target="http://refhub.elsevier.com/S2589-7217(21)00021-0/rf017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