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2" w:lineRule="auto" w:before="0" w:after="144"/>
        <w:ind w:left="0" w:right="0" w:firstLine="0"/>
        <w:jc w:val="center"/>
      </w:pPr>
      <w:r>
        <w:rPr>
          <w:w w:val="102.47142655508858"/>
          <w:rFonts w:ascii="Charis SIL" w:hAnsi="Charis SIL" w:eastAsia="Charis SIL"/>
          <w:b w:val="0"/>
          <w:i w:val="0"/>
          <w:color w:val="09769F"/>
          <w:sz w:val="14"/>
        </w:rPr>
        <w:hyperlink r:id="rId9" w:history="1">
          <w:r>
            <w:rPr>
              <w:rStyle w:val="Hyperlink"/>
            </w:rPr>
            <w:t>Array 14 (2022) 100150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3495"/>
        <w:gridCol w:w="3495"/>
        <w:gridCol w:w="3495"/>
      </w:tblGrid>
      <w:tr>
        <w:trPr>
          <w:trHeight w:hRule="exact" w:val="68"/>
        </w:trPr>
        <w:tc>
          <w:tcPr>
            <w:tcW w:type="dxa" w:w="1460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26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6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04"/>
        </w:trPr>
        <w:tc>
          <w:tcPr>
            <w:tcW w:type="dxa" w:w="1460"/>
            <w:vMerge w:val="restart"/>
            <w:tcBorders>
              <w:top w:sz="2.3999999999999773" w:val="single" w:color="#000000"/>
              <w:bottom w:sz="23.20000000000004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6920" cy="82804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920" cy="828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26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0" w:right="0" w:firstLine="0"/>
              <w:jc w:val="center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Contents lists available at </w:t>
            </w:r>
            <w:r>
              <w:rPr>
                <w:rFonts w:ascii="Charis SIL" w:hAnsi="Charis SIL" w:eastAsia="Charis SIL"/>
                <w:b w:val="0"/>
                <w:i w:val="0"/>
                <w:color w:val="2196D1"/>
                <w:sz w:val="16"/>
              </w:rPr>
              <w:t xml:space="preserve">ScienceDirect </w:t>
            </w:r>
          </w:p>
        </w:tc>
        <w:tc>
          <w:tcPr>
            <w:tcW w:type="dxa" w:w="1416"/>
            <w:vMerge w:val="restart"/>
            <w:tcBorders>
              <w:top w:sz="2.3999999999999773" w:val="single" w:color="#000000"/>
              <w:bottom w:sz="23.20000000000004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18820" cy="90931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820" cy="9093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3332" w:firstLine="0"/>
              <w:jc w:val="righ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28"/>
              </w:rPr>
              <w:t xml:space="preserve">Array </w:t>
            </w:r>
          </w:p>
        </w:tc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</w:tr>
      <w:tr>
        <w:trPr>
          <w:trHeight w:hRule="exact" w:val="492"/>
        </w:trPr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  <w:tc>
          <w:tcPr>
            <w:tcW w:type="dxa" w:w="7526"/>
            <w:tcBorders>
              <w:bottom w:sz="23.2000000000000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66" w:after="0"/>
              <w:ind w:left="0" w:right="0" w:firstLine="0"/>
              <w:jc w:val="center"/>
            </w:pPr>
            <w:r>
              <w:rPr>
                <w:rFonts w:ascii="Univers" w:hAnsi="Univers" w:eastAsia="Univers"/>
                <w:b w:val="0"/>
                <w:i w:val="0"/>
                <w:color w:val="000000"/>
                <w:sz w:val="16"/>
              </w:rPr>
              <w:t xml:space="preserve">journal homepage: </w:t>
            </w:r>
            <w:r>
              <w:rPr>
                <w:rFonts w:ascii="Univers" w:hAnsi="Univers" w:eastAsia="Univers"/>
                <w:b w:val="0"/>
                <w:i w:val="0"/>
                <w:color w:val="2196D1"/>
                <w:sz w:val="16"/>
              </w:rPr>
              <w:hyperlink r:id="rId12" w:history="1">
                <w:r>
                  <w:rPr>
                    <w:rStyle w:val="Hyperlink"/>
                  </w:rPr>
                  <w:t>www.sciencedirect.com/journal/array</w:t>
                </w:r>
              </w:hyperlink>
            </w:r>
            <w:r>
              <w:rPr>
                <w:rFonts w:ascii="Univers" w:hAnsi="Univers" w:eastAsia="Univers"/>
                <w:b w:val="0"/>
                <w:i w:val="0"/>
                <w:color w:val="2196D1"/>
                <w:sz w:val="16"/>
              </w:rPr>
              <w:t xml:space="preserve"> </w:t>
            </w:r>
          </w:p>
        </w:tc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90" w:lineRule="exact" w:before="678" w:after="160"/>
        <w:ind w:left="16" w:right="144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27"/>
        </w:rPr>
        <w:t xml:space="preserve">Blockchain based context-aware CP-ABE schema for Internet of Medical </w:t>
      </w:r>
      <w:r>
        <w:rPr>
          <w:rFonts w:ascii="Charis SIL" w:hAnsi="Charis SIL" w:eastAsia="Charis SIL"/>
          <w:b w:val="0"/>
          <w:i w:val="0"/>
          <w:color w:val="000000"/>
          <w:sz w:val="27"/>
        </w:rPr>
        <w:t xml:space="preserve">Things security </w:t>
      </w:r>
      <w:r>
        <w:br/>
      </w:r>
      <w:r>
        <w:rPr>
          <w:rFonts w:ascii="Charis SIL" w:hAnsi="Charis SIL" w:eastAsia="Charis SIL"/>
          <w:b w:val="0"/>
          <w:i w:val="0"/>
          <w:color w:val="000000"/>
          <w:sz w:val="21"/>
        </w:rPr>
        <w:t>Boubakeur Annane</w:t>
      </w:r>
      <w:r>
        <w:rPr>
          <w:w w:val="101.99228286743165"/>
          <w:rFonts w:ascii="Charis SIL" w:hAnsi="Charis SIL" w:eastAsia="Charis SIL"/>
          <w:b w:val="0"/>
          <w:i w:val="0"/>
          <w:color w:val="2196D1"/>
          <w:sz w:val="15"/>
        </w:rPr>
        <w:t>a</w:t>
      </w:r>
      <w:r>
        <w:rPr>
          <w:rFonts w:ascii="Charis SIL" w:hAnsi="Charis SIL" w:eastAsia="Charis SIL"/>
          <w:b w:val="0"/>
          <w:i w:val="0"/>
          <w:color w:val="000000"/>
          <w:sz w:val="21"/>
        </w:rPr>
        <w:t>, Adel Alti</w:t>
      </w:r>
      <w:r>
        <w:rPr>
          <w:w w:val="101.99228286743165"/>
          <w:rFonts w:ascii="Charis SIL" w:hAnsi="Charis SIL" w:eastAsia="Charis SIL"/>
          <w:b w:val="0"/>
          <w:i w:val="0"/>
          <w:color w:val="2196D1"/>
          <w:sz w:val="15"/>
        </w:rPr>
        <w:t>a</w:t>
      </w:r>
      <w:r>
        <w:rPr>
          <w:rFonts w:ascii="Charis SIL" w:hAnsi="Charis SIL" w:eastAsia="Charis SIL"/>
          <w:b w:val="0"/>
          <w:i w:val="0"/>
          <w:color w:val="000000"/>
          <w:sz w:val="15"/>
        </w:rPr>
        <w:t>,</w:t>
      </w:r>
      <w:r>
        <w:rPr>
          <w:w w:val="101.99228286743165"/>
          <w:rFonts w:ascii="Charis SIL" w:hAnsi="Charis SIL" w:eastAsia="Charis SIL"/>
          <w:b w:val="0"/>
          <w:i w:val="0"/>
          <w:color w:val="2196D1"/>
          <w:sz w:val="15"/>
        </w:rPr>
        <w:t>b</w:t>
      </w:r>
      <w:r>
        <w:rPr>
          <w:rFonts w:ascii="Charis SIL" w:hAnsi="Charis SIL" w:eastAsia="Charis SIL"/>
          <w:b w:val="0"/>
          <w:i w:val="0"/>
          <w:color w:val="000000"/>
          <w:sz w:val="15"/>
        </w:rPr>
        <w:t>,</w:t>
      </w:r>
      <w:r>
        <w:rPr>
          <w:w w:val="101.99228286743165"/>
          <w:rFonts w:ascii="Charis SIL" w:hAnsi="Charis SIL" w:eastAsia="Charis SIL"/>
          <w:b w:val="0"/>
          <w:i w:val="0"/>
          <w:color w:val="2196D1"/>
          <w:sz w:val="15"/>
        </w:rPr>
        <w:t>*</w:t>
      </w:r>
      <w:r>
        <w:rPr>
          <w:rFonts w:ascii="Charis SIL" w:hAnsi="Charis SIL" w:eastAsia="Charis SIL"/>
          <w:b w:val="0"/>
          <w:i w:val="0"/>
          <w:color w:val="000000"/>
          <w:sz w:val="21"/>
        </w:rPr>
        <w:t>, Abderrahim Lakehal</w:t>
      </w:r>
      <w:r>
        <w:rPr>
          <w:w w:val="101.99228286743165"/>
          <w:rFonts w:ascii="Charis SIL" w:hAnsi="Charis SIL" w:eastAsia="Charis SIL"/>
          <w:b w:val="0"/>
          <w:i w:val="0"/>
          <w:color w:val="2196D1"/>
          <w:sz w:val="15"/>
        </w:rPr>
        <w:t xml:space="preserve">a </w:t>
      </w:r>
      <w:r>
        <w:br/>
      </w:r>
      <w:r>
        <w:rPr>
          <w:w w:val="102.62677934434679"/>
          <w:rFonts w:ascii="Charis SIL" w:hAnsi="Charis SIL" w:eastAsia="Charis SIL"/>
          <w:b w:val="0"/>
          <w:i w:val="0"/>
          <w:color w:val="000000"/>
          <w:sz w:val="9"/>
        </w:rPr>
        <w:t>a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 Department of Computer Science, Faculty of Sciences, Ferhat Abbas S</w:t>
      </w:r>
      <w:r>
        <w:rPr>
          <w:w w:val="98.09076602642352"/>
          <w:rFonts w:ascii="TeX_CM_Roman" w:hAnsi="TeX_CM_Roman" w:eastAsia="TeX_CM_Roman"/>
          <w:b w:val="0"/>
          <w:i w:val="0"/>
          <w:color w:val="000000"/>
          <w:sz w:val="13"/>
        </w:rPr>
        <w:t>´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>etif-1 University, LRSD Laboratory, P.O. 19000, S</w:t>
      </w:r>
      <w:r>
        <w:rPr>
          <w:w w:val="98.09076602642352"/>
          <w:rFonts w:ascii="TeX_CM_Roman" w:hAnsi="TeX_CM_Roman" w:eastAsia="TeX_CM_Roman"/>
          <w:b w:val="0"/>
          <w:i w:val="0"/>
          <w:color w:val="000000"/>
          <w:sz w:val="13"/>
        </w:rPr>
        <w:t>´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etif, Algeria </w:t>
      </w:r>
      <w:r>
        <w:br/>
      </w:r>
      <w:r>
        <w:rPr>
          <w:w w:val="102.62677934434679"/>
          <w:rFonts w:ascii="Charis SIL" w:hAnsi="Charis SIL" w:eastAsia="Charis SIL"/>
          <w:b w:val="0"/>
          <w:i w:val="0"/>
          <w:color w:val="000000"/>
          <w:sz w:val="9"/>
        </w:rPr>
        <w:t>b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 Department of Management Information Systems </w:t>
      </w:r>
      <w:r>
        <w:rPr>
          <w:w w:val="98.09076602642352"/>
          <w:rFonts w:ascii="TimesNewRomanPS" w:hAnsi="TimesNewRomanPS" w:eastAsia="TimesNewRomanPS"/>
          <w:b w:val="0"/>
          <w:i/>
          <w:color w:val="000000"/>
          <w:sz w:val="13"/>
        </w:rPr>
        <w:t xml:space="preserve">&amp; 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Production Management, College of Business </w:t>
      </w:r>
      <w:r>
        <w:rPr>
          <w:w w:val="98.09076602642352"/>
          <w:rFonts w:ascii="TimesNewRomanPS" w:hAnsi="TimesNewRomanPS" w:eastAsia="TimesNewRomanPS"/>
          <w:b w:val="0"/>
          <w:i/>
          <w:color w:val="000000"/>
          <w:sz w:val="13"/>
        </w:rPr>
        <w:t xml:space="preserve">&amp; 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Economics, Qassim University, P.O. 6633, Buraidah, 51452, Saudi 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Arabia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42"/>
        <w:gridCol w:w="5242"/>
      </w:tblGrid>
      <w:tr>
        <w:trPr>
          <w:trHeight w:hRule="exact" w:val="636"/>
        </w:trPr>
        <w:tc>
          <w:tcPr>
            <w:tcW w:type="dxa" w:w="2664"/>
            <w:tcBorders>
              <w:top w:sz="2.399999999999636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2" w:after="0"/>
              <w:ind w:left="0" w:right="0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A R T I C L E  I N F O </w:t>
            </w:r>
          </w:p>
        </w:tc>
        <w:tc>
          <w:tcPr>
            <w:tcW w:type="dxa" w:w="7784"/>
            <w:tcBorders>
              <w:top w:sz="2.399999999999636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2" w:after="0"/>
              <w:ind w:left="624" w:right="0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A B S T R A C T </w:t>
            </w:r>
          </w:p>
        </w:tc>
      </w:tr>
      <w:tr>
        <w:trPr>
          <w:trHeight w:hRule="exact" w:val="2258"/>
        </w:trPr>
        <w:tc>
          <w:tcPr>
            <w:tcW w:type="dxa" w:w="2664"/>
            <w:tcBorders>
              <w:top w:sz="2.400000000000091" w:val="single" w:color="#000000"/>
              <w:bottom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0" w:after="0"/>
              <w:ind w:left="0" w:right="1728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COVID-19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Healthcare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Authentication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Privacy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Blockchain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IoMT </w:t>
            </w:r>
          </w:p>
        </w:tc>
        <w:tc>
          <w:tcPr>
            <w:tcW w:type="dxa" w:w="7784"/>
            <w:tcBorders>
              <w:top w:sz="2.400000000000091" w:val="single" w:color="#000000"/>
              <w:bottom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2" w:after="0"/>
              <w:ind w:left="624" w:right="0" w:firstLine="0"/>
              <w:jc w:val="left"/>
            </w:pP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Nowadays, the number of corona patients is increasing significantly. The relationship between the Internet of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Medical Things (IoMT) and the Internet is struggling to keep up with this number of patients. The transmission of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Patient Health Records (PHR) to the care of a patient through Internet plays an important role in the remote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>monitoring and fast detection of new contaminated patient with coronavirus. Moreover, it has generated sig-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nificant security and privacy concerns for the global health care system due to tampering of control messages.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This paper focuses on the application of blockchain and smart contract mechanisms to solve the shortcomings of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the current health application and propose a new security schema based on context-aware CP-ABE. The proposed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schema includes context-aware policies to achieve a robust authentication of identity and confidentiality of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>patient</w:t>
            </w:r>
            <w:r>
              <w:rPr>
                <w:w w:val="102.47142655508858"/>
                <w:rFonts w:ascii="STIX" w:hAnsi="STIX" w:eastAsia="STIX"/>
                <w:b w:val="0"/>
                <w:i w:val="0"/>
                <w:color w:val="000000"/>
                <w:sz w:val="14"/>
              </w:rPr>
              <w:t>’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s healthcare data. Therefore, the proposed schema shows promising results in enhancing security and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minimizing encryption time in Fog cloud environments based on proxy-fog and reinforcement of security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policies.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430"/>
        <w:ind w:left="0" w:right="0"/>
      </w:pPr>
    </w:p>
    <w:p>
      <w:pPr>
        <w:sectPr>
          <w:pgSz w:w="11906" w:h="15874"/>
          <w:pgMar w:top="334" w:right="686" w:bottom="578" w:left="736" w:header="720" w:footer="720" w:gutter="0"/>
          <w:cols w:space="720" w:num="1" w:equalWidth="0"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6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 xml:space="preserve">1. Introduction </w:t>
      </w:r>
    </w:p>
    <w:p>
      <w:pPr>
        <w:autoSpaceDN w:val="0"/>
        <w:autoSpaceDE w:val="0"/>
        <w:widowControl/>
        <w:spacing w:line="210" w:lineRule="exact" w:before="208" w:after="0"/>
        <w:ind w:left="16" w:right="144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Nowadays, COVID-19 has spread rapidly from its original apparition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in Wuhan, China. With the virus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rapid spread, there is an urgent need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for both frontline healthcare personnel and ordinary individuals to take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precautions and restrict the disease. In parallel with the rapid devel-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opment of science and technology, the Internet covers all parts of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world and provides humans with various and efficient health services.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Therefore, remote diagnosis and early detection of coronavirus have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become one of the main issues of healthcare domain in today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society. </w:t>
      </w:r>
    </w:p>
    <w:p>
      <w:pPr>
        <w:autoSpaceDN w:val="0"/>
        <w:autoSpaceDE w:val="0"/>
        <w:widowControl/>
        <w:spacing w:line="245" w:lineRule="auto" w:before="0" w:after="0"/>
        <w:ind w:left="16" w:right="144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Taking COVID-19 in China as an example, the number of infected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people has achieved 2.5 million in September 2019. As the number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infected humans with the virus is continuously increasing, the rela-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tionship between Internet of Medical Things (IoMT) and Internet 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necessary to keep up with new infected patients. The transmission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Patient Health Records (PHR) to the care of a patient through Internet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plays an important role in the remote monitoring and detection of new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contaminated patient with coronavirus. It generated significant security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privacy concerns for the global health care system due to tampering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of control messages. </w:t>
      </w:r>
    </w:p>
    <w:p>
      <w:pPr>
        <w:autoSpaceDN w:val="0"/>
        <w:autoSpaceDE w:val="0"/>
        <w:widowControl/>
        <w:spacing w:line="240" w:lineRule="auto" w:before="0" w:after="0"/>
        <w:ind w:left="254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 e-health systems, there are lot of health data in which physics need </w:t>
      </w:r>
    </w:p>
    <w:p>
      <w:pPr>
        <w:sectPr>
          <w:type w:val="continuous"/>
          <w:pgSz w:w="11906" w:h="15874"/>
          <w:pgMar w:top="334" w:right="686" w:bottom="578" w:left="736" w:header="720" w:footer="720" w:gutter="0"/>
          <w:cols w:space="720" w:num="2" w:equalWidth="0"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60" w:after="0"/>
        <w:ind w:left="156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to diagnose different critical patient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situation in order to complete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healthcare process. The transfer of patients to a new hospital or clinic,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their healthcare data should be also made available for use, which 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becoming more and more necessary until it leads to untenable situations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that may converge towards a complete blockage of the healthcare pro-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cess. The Cloud plays a key role in the storage of unlimited medical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information of patients and convenient transmission of sensitive data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across different stockholders. Whereas, the data is gathered by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medical things (IoMT) and transmitted to Cloud for analyzing by various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healthcare experts such as physicians, radiologists, and specialists.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While the medical data are stored on the cloud, the latter can be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exchanged across different cloud resources decision-making. However,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 e-health system-based Cloud may raise several security challenges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such as confidentially, privacy of patient data. Also, there are many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problems facing Cloud-based systems like overhead communicate se-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curity problems in reason of network access misuse using hackers access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nodes. Meantime, blockchain can be represented as a portion of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implementation layer of a distributed e-health system. By using block-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chain, the integrity of the data in distributed e-health systems can be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accomplished and maintained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40" w:lineRule="auto" w:before="0" w:after="314"/>
        <w:ind w:left="396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blockchain is one of the most hyped technologies that appear in </w:t>
      </w:r>
    </w:p>
    <w:p>
      <w:pPr>
        <w:sectPr>
          <w:type w:val="nextColumn"/>
          <w:pgSz w:w="11906" w:h="15874"/>
          <w:pgMar w:top="334" w:right="686" w:bottom="578" w:left="736" w:header="720" w:footer="720" w:gutter="0"/>
          <w:cols w:space="720" w:num="2" w:equalWidth="0"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tabs>
          <w:tab w:pos="254" w:val="left"/>
        </w:tabs>
        <w:autoSpaceDE w:val="0"/>
        <w:widowControl/>
        <w:spacing w:line="192" w:lineRule="exact" w:before="42" w:after="0"/>
        <w:ind w:left="116" w:right="144" w:firstLine="0"/>
        <w:jc w:val="left"/>
      </w:pP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>* Corresponding author. Department of Computer Science, Faculty of Sciences, Ferhat Abbas S</w:t>
      </w:r>
      <w:r>
        <w:rPr>
          <w:w w:val="102.47142655508858"/>
          <w:rFonts w:ascii="TeX_CM_Roman" w:hAnsi="TeX_CM_Roman" w:eastAsia="TeX_CM_Roman"/>
          <w:b w:val="0"/>
          <w:i w:val="0"/>
          <w:color w:val="000000"/>
          <w:sz w:val="14"/>
        </w:rPr>
        <w:t>´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>etif-1 University, LRSD Laboratory, P.O. 19000, S</w:t>
      </w:r>
      <w:r>
        <w:rPr>
          <w:w w:val="102.47142655508858"/>
          <w:rFonts w:ascii="TeX_CM_Roman" w:hAnsi="TeX_CM_Roman" w:eastAsia="TeX_CM_Roman"/>
          <w:b w:val="0"/>
          <w:i w:val="0"/>
          <w:color w:val="000000"/>
          <w:sz w:val="14"/>
        </w:rPr>
        <w:t>´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etif, Algeria. </w:t>
      </w:r>
      <w:r>
        <w:tab/>
      </w:r>
      <w:r>
        <w:rPr>
          <w:w w:val="102.47142655508858"/>
          <w:rFonts w:ascii="Charis SIL" w:hAnsi="Charis SIL" w:eastAsia="Charis SIL"/>
          <w:b w:val="0"/>
          <w:i/>
          <w:color w:val="000000"/>
          <w:sz w:val="14"/>
        </w:rPr>
        <w:t xml:space="preserve">E-mail addresses: </w:t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hyperlink r:id="rId13" w:history="1">
          <w:r>
            <w:rPr>
              <w:rStyle w:val="Hyperlink"/>
            </w:rPr>
            <w:t>baker11@live.fr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t xml:space="preserve">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(B. Annane), </w:t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hyperlink r:id="rId14" w:history="1">
          <w:r>
            <w:rPr>
              <w:rStyle w:val="Hyperlink"/>
            </w:rPr>
            <w:t>a.alti@qu.edu.sa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t xml:space="preserve">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(A. Alti), </w:t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hyperlink r:id="rId15" w:history="1">
          <w:r>
            <w:rPr>
              <w:rStyle w:val="Hyperlink"/>
            </w:rPr>
            <w:t>lakehal.abderrahim@gmail.com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t xml:space="preserve">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(A. Lakehal). </w:t>
      </w:r>
    </w:p>
    <w:p>
      <w:pPr>
        <w:autoSpaceDN w:val="0"/>
        <w:autoSpaceDE w:val="0"/>
        <w:widowControl/>
        <w:spacing w:line="245" w:lineRule="auto" w:before="106" w:after="0"/>
        <w:ind w:left="14" w:right="0" w:firstLine="0"/>
        <w:jc w:val="left"/>
      </w:pP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hyperlink r:id="rId9" w:history="1">
          <w:r>
            <w:rPr>
              <w:rStyle w:val="Hyperlink"/>
            </w:rPr>
            <w:t>https://doi.org/10.1016/j.array.2022.100150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t xml:space="preserve"> </w:t>
      </w:r>
      <w:r>
        <w:br/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 24 November 2021; Received in rev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ised form 19 February 2022; Accepted 1 April 2022 </w:t>
      </w:r>
      <w:r>
        <w:br/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Available online 7 April 2022 </w:t>
      </w:r>
      <w:r>
        <w:br/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>2590-0056/© 2022 The Authors. Published by Elsevier Inc. This is an open access article under the CC BY license (</w:t>
      </w:r>
      <w:r>
        <w:rPr>
          <w:w w:val="102.47142655508858"/>
          <w:rFonts w:ascii="Charis SIL" w:hAnsi="Charis SIL" w:eastAsia="Charis SIL"/>
          <w:b w:val="0"/>
          <w:i w:val="0"/>
          <w:color w:val="09769F"/>
          <w:sz w:val="14"/>
        </w:rPr>
        <w:hyperlink r:id="rId16" w:history="1">
          <w:r>
            <w:rPr>
              <w:rStyle w:val="Hyperlink"/>
            </w:rPr>
            <w:t>http://creativecommons.org/licenses/by/4.0/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34" w:right="686" w:bottom="578" w:left="736" w:header="720" w:footer="720" w:gutter="0"/>
          <w:cols w:space="720" w:num="1" w:equalWidth="0"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4" w:val="left"/>
        </w:tabs>
        <w:autoSpaceDE w:val="0"/>
        <w:widowControl/>
        <w:spacing w:line="242" w:lineRule="auto" w:before="0" w:after="144"/>
        <w:ind w:left="2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B. Annane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14 (2022) 100150</w:t>
      </w:r>
    </w:p>
    <w:p>
      <w:pPr>
        <w:sectPr>
          <w:pgSz w:w="11906" w:h="15874"/>
          <w:pgMar w:top="336" w:right="686" w:bottom="288" w:left="750" w:header="720" w:footer="720" w:gutter="0"/>
          <w:cols w:space="720" w:num="1" w:equalWidth="0"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2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last few years and it makes a real revolution in the financial sector. 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addition, it started to include different fields like healthcare, supply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chain, and many fields. Blockchain technology enables to provide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cryptographically validated transactions and data, which are not under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the control of any third-party organization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In general, blockchain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technology has a key advantage of decentralization, persistency, ano-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nymity, and audibility. With these features, it can save costs greatly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develop efficiency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3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]. In this work, we will apply blockchain technol-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ogy and cryptography techniques to ensure security and privacy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healthcare data without needing a third party to control it. The appli-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cation of blockchain enables the hospitals or clinics to access a specific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patient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healthcare data that is needed. This solves the problem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collecting health data from different locations. In addition, it solves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problem of delay in obtaining the required healthcare data so that it can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be accessed directly by exchanging the public key. Another reason is to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protect healthcare data from loss or fraud because the blockchain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cryptography techniques provide a high level of privacy. This leads to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enable the physics to access healthcare data of their patients securely. 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addition, cryptography guarantees a high degree of privacy to protect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healthcare data from loss or modification by illegitimate entities. </w:t>
      </w:r>
    </w:p>
    <w:p>
      <w:pPr>
        <w:autoSpaceDN w:val="0"/>
        <w:autoSpaceDE w:val="0"/>
        <w:widowControl/>
        <w:spacing w:line="210" w:lineRule="exact" w:before="50" w:after="0"/>
        <w:ind w:left="2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 this paper, we propose a new approach tackling certain security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concerns in the Cloud such as patient data authenticity and confidenti-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ality with less processing execution time. The motivation behind pro-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posing new security solution is to control the security aspects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decentralized health data access and keeping patient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health data safe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against the most standard attacks in eHealth applications. The contri-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bution of this work is to find an efficient model for eHealth applications.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model is based on decentralized Mobile-Fog-Cloud architecture,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IoMT, cryptography, and Blockchain for health data. The main contri-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butions of this work are: </w:t>
      </w:r>
    </w:p>
    <w:p>
      <w:pPr>
        <w:autoSpaceDN w:val="0"/>
        <w:autoSpaceDE w:val="0"/>
        <w:widowControl/>
        <w:spacing w:line="234" w:lineRule="exact" w:before="266" w:after="0"/>
        <w:ind w:left="240" w:right="0" w:hanging="150"/>
        <w:jc w:val="left"/>
      </w:pP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Firstly, applying a public key (one-to-many) encryption technique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for securing cloud storage and data sharing among a group of phy-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sicians. The authentication is performed by a remote Proxy/Fog,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which is a part of the Cloud through blockchain and context-aware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attributes based CP-ABE encryption. It receives the user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 authenti-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cation request, then starts the authentication process and monitors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control access rules. </w:t>
      </w:r>
    </w:p>
    <w:p>
      <w:pPr>
        <w:autoSpaceDN w:val="0"/>
        <w:autoSpaceDE w:val="0"/>
        <w:widowControl/>
        <w:spacing w:line="296" w:lineRule="exact" w:before="0" w:after="0"/>
        <w:ind w:left="90" w:right="52" w:firstLine="0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technology for reinforcing the management of decentralized access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Secondly, combining cryptography techniques and Blockchain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control and a high level of anonymity offered by blockchain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context-aware security policies. </w:t>
      </w:r>
    </w:p>
    <w:p>
      <w:pPr>
        <w:autoSpaceDN w:val="0"/>
        <w:autoSpaceDE w:val="0"/>
        <w:widowControl/>
        <w:spacing w:line="340" w:lineRule="exact" w:before="0" w:after="0"/>
        <w:ind w:left="0" w:right="0" w:firstLine="0"/>
        <w:jc w:val="center"/>
      </w:pP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Thirdly, providing the security analysis of proposed scheme with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AVISPA</w:t>
      </w:r>
      <w:r>
        <w:rPr>
          <w:rFonts w:ascii="Charis SIL" w:hAnsi="Charis SIL" w:eastAsia="Charis SIL"/>
          <w:b w:val="0"/>
          <w:i w:val="0"/>
          <w:color w:val="2196D1"/>
          <w:sz w:val="12"/>
        </w:rPr>
        <w:t xml:space="preserve">1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simulator. </w:t>
      </w:r>
    </w:p>
    <w:p>
      <w:pPr>
        <w:autoSpaceDN w:val="0"/>
        <w:autoSpaceDE w:val="0"/>
        <w:widowControl/>
        <w:spacing w:line="245" w:lineRule="auto" w:before="158" w:after="0"/>
        <w:ind w:left="2" w:right="0" w:firstLine="24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The paper is organized as follows. Detailed related work is repre-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sented in Section 2. Section 3 gives an overview of the ontology model.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The proposed schema in Section 4. Implementation details and experi-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mental results are given in Section 5. The conclusion and some per-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spectives are illustrated in Section 6. </w:t>
      </w:r>
    </w:p>
    <w:p>
      <w:pPr>
        <w:autoSpaceDN w:val="0"/>
        <w:autoSpaceDE w:val="0"/>
        <w:widowControl/>
        <w:spacing w:line="240" w:lineRule="auto" w:before="184" w:after="0"/>
        <w:ind w:left="2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 xml:space="preserve">2. Related works </w:t>
      </w:r>
    </w:p>
    <w:p>
      <w:pPr>
        <w:autoSpaceDN w:val="0"/>
        <w:autoSpaceDE w:val="0"/>
        <w:widowControl/>
        <w:spacing w:line="210" w:lineRule="exact" w:before="208" w:after="0"/>
        <w:ind w:left="2" w:right="0" w:firstLine="24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Over the past several decades, there have been many research works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on blockchain technology on Cloud mobile services. They have been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proposed to preserve the confidentiality and privacy of distributed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application tasks on mobile devices, Fog, or Cloud to ensure the appli-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cation security requirements. However, Blockchain is a distributed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secure decentralized transaction that has emerged as a platform 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mobile devices, Fog, and Cloud applications. As well as application 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the Cloud uses Blockchain technology to protect users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’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information.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existing literature has proposed the conceptual underpinnings of Fog </w:t>
      </w:r>
    </w:p>
    <w:p>
      <w:pPr>
        <w:autoSpaceDN w:val="0"/>
        <w:tabs>
          <w:tab w:pos="108" w:val="left"/>
        </w:tabs>
        <w:autoSpaceDE w:val="0"/>
        <w:widowControl/>
        <w:spacing w:line="245" w:lineRule="auto" w:before="378" w:after="0"/>
        <w:ind w:left="2" w:right="0" w:firstLine="0"/>
        <w:jc w:val="left"/>
      </w:pPr>
      <w:r>
        <w:tab/>
      </w:r>
      <w:r>
        <w:rPr>
          <w:w w:val="103.91317367553712"/>
          <w:rFonts w:ascii="Charis SIL" w:hAnsi="Charis SIL" w:eastAsia="Charis SIL"/>
          <w:b w:val="0"/>
          <w:i w:val="0"/>
          <w:color w:val="000000"/>
          <w:sz w:val="10"/>
        </w:rPr>
        <w:t xml:space="preserve">1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AVISPA: A formal security verification tool for the automatic authentication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of cryptographic protocols and applications. </w:t>
      </w:r>
    </w:p>
    <w:p>
      <w:pPr>
        <w:sectPr>
          <w:type w:val="continuous"/>
          <w:pgSz w:w="11906" w:h="15874"/>
          <w:pgMar w:top="336" w:right="686" w:bottom="288" w:left="750" w:header="720" w:footer="720" w:gutter="0"/>
          <w:cols w:space="720" w:num="2" w:equalWidth="0">
            <w:col w:w="5122" w:space="0"/>
            <w:col w:w="5348" w:space="0"/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2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6" w:h="15874"/>
          <w:pgMar w:top="336" w:right="686" w:bottom="288" w:left="750" w:header="720" w:footer="720" w:gutter="0"/>
          <w:cols w:space="720" w:num="2" w:equalWidth="0">
            <w:col w:w="5122" w:space="0"/>
            <w:col w:w="5348" w:space="0"/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144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B. Annane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14 (2022) 100150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2" w:space="0"/>
            <w:col w:w="5348" w:space="0"/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0" w:right="144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improvement of this work in which detects attacks between health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services while deployed on the Cloud. </w:t>
      </w:r>
    </w:p>
    <w:p>
      <w:pPr>
        <w:autoSpaceDN w:val="0"/>
        <w:autoSpaceDE w:val="0"/>
        <w:widowControl/>
        <w:spacing w:line="208" w:lineRule="exact" w:before="60" w:after="0"/>
        <w:ind w:left="0" w:right="144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Many other works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21</w:t>
      </w:r>
      <w:r>
        <w:rPr>
          <w:rFonts w:ascii="STIX" w:hAnsi="STIX" w:eastAsia="STIX"/>
          <w:b w:val="0"/>
          <w:i w:val="0"/>
          <w:color w:val="2196D1"/>
          <w:sz w:val="16"/>
        </w:rPr>
        <w:t>–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23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 have applied blockchain technology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Neural Networks to ensure secure access control in digital healthcare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system. For instance, Ali et al.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21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 ensures a secure search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keywords-based access to the database using neural network with ho-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momorphic encryption and blockchain technology. The work provides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more security and less computational cost, which was characterized by 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homomorphic encryption method and neural network. Another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approach has applied deep learning and blockchain to process IoT data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in health field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22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 giving a prediction rate of 99%. Furthermore, Ben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Daoud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23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 has applied a secure and intelligent method for IoT-Fog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Environments that persist network attacks. </w:t>
      </w:r>
    </w:p>
    <w:p>
      <w:pPr>
        <w:autoSpaceDN w:val="0"/>
        <w:autoSpaceDE w:val="0"/>
        <w:widowControl/>
        <w:spacing w:line="245" w:lineRule="auto" w:before="0" w:after="0"/>
        <w:ind w:left="0" w:right="144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In this work, we propose a new manner to achieve robust authenti-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cation and optimal confidentiality by utilizing proxy/fog computing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with the assistance of IoMT, secure policies, and blockchain. This could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help in securing the transfer of health data and offer efficient and secure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authentication for users.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5122" w:space="0"/>
            <w:col w:w="5348" w:space="0"/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56" w:right="20" w:firstLine="0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the ability to exploit and react to environmental changes. To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improve the efficiency of the control process, attribute-based access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control is being used, with the goal of applying and integrating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contextual data to detect authorized users of cloud resources. More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specifically, To address the role explosion problem and provide exact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results, the proposed scheme leverages features of the contexts at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session for role activation, where users may be assigned to one or more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roles and only one role may be active. </w:t>
      </w:r>
    </w:p>
    <w:p>
      <w:pPr>
        <w:autoSpaceDN w:val="0"/>
        <w:autoSpaceDE w:val="0"/>
        <w:widowControl/>
        <w:spacing w:line="240" w:lineRule="auto" w:before="160" w:after="0"/>
        <w:ind w:left="156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3.4. Blockchain </w:t>
      </w:r>
    </w:p>
    <w:p>
      <w:pPr>
        <w:autoSpaceDN w:val="0"/>
        <w:autoSpaceDE w:val="0"/>
        <w:widowControl/>
        <w:spacing w:line="245" w:lineRule="auto" w:before="158" w:after="154"/>
        <w:ind w:left="156" w:right="0" w:firstLine="24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Blockchain has been known as a distributed ledger type (data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structure) that has information about transactions or events. Moreover,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blockchain can create a decentralized environment, which does not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allow the transactions and data to be under the control of any third-party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organization. This technology enables sharing and replicating the in-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formation between the participants in the network. In addition,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completed transaction is usually recorded using an immutable ledger. 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5122" w:space="0"/>
            <w:col w:w="5348" w:space="0"/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247" w:lineRule="auto" w:before="0" w:after="150"/>
        <w:ind w:left="0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 xml:space="preserve">3. Preliminaries </w:t>
      </w:r>
      <w:r>
        <w:tab/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3.5. Cryptography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224" w:space="0"/>
            <w:col w:w="5244" w:space="0"/>
            <w:col w:w="10468" w:space="0"/>
            <w:col w:w="5122" w:space="0"/>
            <w:col w:w="5348" w:space="0"/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0" w:right="52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This section presents the basic foundations of the proposed method.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need for the security PHR is presented also. The details of Access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Policy and Attribute-Based Encryption (ABE) are demonstrated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significant policies are described. </w:t>
      </w:r>
    </w:p>
    <w:p>
      <w:pPr>
        <w:autoSpaceDN w:val="0"/>
        <w:autoSpaceDE w:val="0"/>
        <w:widowControl/>
        <w:spacing w:line="240" w:lineRule="auto" w:before="162" w:after="0"/>
        <w:ind w:left="0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3.1. Security of personal health record (PHR) </w:t>
      </w:r>
    </w:p>
    <w:p>
      <w:pPr>
        <w:autoSpaceDN w:val="0"/>
        <w:autoSpaceDE w:val="0"/>
        <w:widowControl/>
        <w:spacing w:line="245" w:lineRule="auto" w:before="158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Personal Healthcare Record (PHR) is an electronic, lifelong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resource of health information that is needed by individuals to make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health decisions. An individual owns and manages the information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PHR, which comes from healthcare providers. The PHR must be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maintained securely, while the individuals determining policies for ac-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cess control. The Cloud enabled health data to be deployed easily,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inadvertent or malicious disclosure of data that contains Personally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Identical Information (PII) to unauthorized individuals or organizations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may have catastrophic consequences. Thus, healthcare providers must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comply with security policies when they release sensitive medical data.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The security policies must be carefully updated and enforced while pa-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tient health status changes. Ensure data security is considering the first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step towards compliance. </w:t>
      </w:r>
    </w:p>
    <w:p>
      <w:pPr>
        <w:autoSpaceDN w:val="0"/>
        <w:autoSpaceDE w:val="0"/>
        <w:widowControl/>
        <w:spacing w:line="240" w:lineRule="auto" w:before="162" w:after="0"/>
        <w:ind w:left="0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3.2. Attribute-Based Encryption (ABE) </w:t>
      </w:r>
    </w:p>
    <w:p>
      <w:pPr>
        <w:autoSpaceDN w:val="0"/>
        <w:autoSpaceDE w:val="0"/>
        <w:widowControl/>
        <w:spacing w:line="245" w:lineRule="auto" w:before="156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Attribute-Based Encryption (ABE) is a recent approach that uses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Public-Key (PK) cryptography [</w:t>
      </w:r>
      <w:r>
        <w:rPr>
          <w:rFonts w:ascii="Charis SIL" w:hAnsi="Charis SIL" w:eastAsia="Charis SIL"/>
          <w:b/>
          <w:i w:val="0"/>
          <w:color w:val="000000"/>
          <w:sz w:val="16"/>
        </w:rPr>
        <w:t>3; 15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It can be flexible for systems with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large-scale applications that use one-to-many encryption messages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based on attributes such as roles and context. ABE is becoming func-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tional encryption and Identity-Based Encryption (IBE) in cryptography.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access control must respect a set of policies that are defined over 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set of attribute values (Ciphertext-Policy ABE: CP-ABE). The ABE secu-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rity model is based on the following phases: </w:t>
      </w:r>
    </w:p>
    <w:p>
      <w:pPr>
        <w:autoSpaceDN w:val="0"/>
        <w:tabs>
          <w:tab w:pos="238" w:val="left"/>
        </w:tabs>
        <w:autoSpaceDE w:val="0"/>
        <w:widowControl/>
        <w:spacing w:line="348" w:lineRule="exact" w:before="150" w:after="0"/>
        <w:ind w:left="88" w:right="0" w:firstLine="0"/>
        <w:jc w:val="left"/>
      </w:pP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Phase 1: The challenger executes the configuration algorithm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gives the PK to the opponent. The adversary creates repeated Private </w:t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Keys (PV) corresponding to the sets of attributes a</w:t>
      </w:r>
      <w:r>
        <w:rPr>
          <w:rFonts w:ascii="Charis SIL" w:hAnsi="Charis SIL" w:eastAsia="Charis SIL"/>
          <w:b w:val="0"/>
          <w:i w:val="0"/>
          <w:color w:val="000000"/>
          <w:sz w:val="12"/>
        </w:rPr>
        <w:t xml:space="preserve">1 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…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</w:t>
      </w:r>
      <w:r>
        <w:rPr>
          <w:rFonts w:ascii="Charis SIL" w:hAnsi="Charis SIL" w:eastAsia="Charis SIL"/>
          <w:b w:val="0"/>
          <w:i w:val="0"/>
          <w:color w:val="000000"/>
          <w:sz w:val="12"/>
        </w:rPr>
        <w:t>n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. </w:t>
      </w:r>
    </w:p>
    <w:p>
      <w:pPr>
        <w:autoSpaceDN w:val="0"/>
        <w:autoSpaceDE w:val="0"/>
        <w:widowControl/>
        <w:spacing w:line="168" w:lineRule="exact" w:before="172" w:after="0"/>
        <w:ind w:left="238" w:right="52" w:hanging="150"/>
        <w:jc w:val="both"/>
      </w:pP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Phase 2: phase 1 is repeated with the restriction that none of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attributes sets a</w:t>
      </w:r>
      <w:r>
        <w:rPr>
          <w:rFonts w:ascii="Charis SIL" w:hAnsi="Charis SIL" w:eastAsia="Charis SIL"/>
          <w:b w:val="0"/>
          <w:i w:val="0"/>
          <w:color w:val="000000"/>
          <w:sz w:val="12"/>
        </w:rPr>
        <w:t>n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2"/>
        </w:rPr>
        <w:t>+</w:t>
      </w:r>
      <w:r>
        <w:rPr>
          <w:rFonts w:ascii="Charis SIL" w:hAnsi="Charis SIL" w:eastAsia="Charis SIL"/>
          <w:b w:val="0"/>
          <w:i w:val="0"/>
          <w:color w:val="000000"/>
          <w:sz w:val="12"/>
        </w:rPr>
        <w:t xml:space="preserve">1 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…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</w:t>
      </w:r>
      <w:r>
        <w:rPr>
          <w:rFonts w:ascii="Charis SIL" w:hAnsi="Charis SIL" w:eastAsia="Charis SIL"/>
          <w:b w:val="0"/>
          <w:i w:val="0"/>
          <w:color w:val="000000"/>
          <w:sz w:val="12"/>
        </w:rPr>
        <w:t xml:space="preserve">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satisfy the access structure corresponding to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challenge. </w:t>
      </w:r>
    </w:p>
    <w:p>
      <w:pPr>
        <w:autoSpaceDN w:val="0"/>
        <w:autoSpaceDE w:val="0"/>
        <w:widowControl/>
        <w:spacing w:line="240" w:lineRule="auto" w:before="162" w:after="0"/>
        <w:ind w:left="0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3.3. Context-awareness and attribute-based access control </w:t>
      </w:r>
    </w:p>
    <w:p>
      <w:pPr>
        <w:autoSpaceDN w:val="0"/>
        <w:autoSpaceDE w:val="0"/>
        <w:widowControl/>
        <w:spacing w:line="210" w:lineRule="exact" w:before="208" w:after="0"/>
        <w:ind w:left="0" w:right="0" w:firstLine="24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A system is context-aware if it uses context to provide relevant in-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formation and/or services to the user, where relevancy depends on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user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 task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19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We notice that context-awareness can be based on two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important mechanisms: the ability to monitor contextual information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2" w:space="0"/>
            <w:col w:w="5348" w:space="0"/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2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2" w:space="0"/>
            <w:col w:w="5348" w:space="0"/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B. Annane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14 (2022) 100150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70070" cy="373507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0070" cy="37350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32" w:after="194"/>
        <w:ind w:left="0" w:right="0" w:firstLine="0"/>
        <w:jc w:val="center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1.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System general architecture. 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2" w:space="0"/>
            <w:col w:w="5348" w:space="0"/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238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number and determine the session key that will be used for future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authentication. </w:t>
      </w:r>
    </w:p>
    <w:p>
      <w:pPr>
        <w:autoSpaceDN w:val="0"/>
        <w:tabs>
          <w:tab w:pos="238" w:val="left"/>
        </w:tabs>
        <w:autoSpaceDE w:val="0"/>
        <w:widowControl/>
        <w:spacing w:line="338" w:lineRule="exact" w:before="4" w:after="0"/>
        <w:ind w:left="88" w:right="0" w:firstLine="0"/>
        <w:jc w:val="left"/>
      </w:pP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/>
          <w:i w:val="0"/>
          <w:color w:val="000000"/>
          <w:sz w:val="16"/>
        </w:rPr>
        <w:t xml:space="preserve"> Proxy/Fog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: is the healthcare provider such as hospitals, laboratories,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clinics, which are linked with physicians or nurses. They can </w:t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take care of a relatively large number of patients. </w:t>
      </w:r>
    </w:p>
    <w:p>
      <w:pPr>
        <w:autoSpaceDN w:val="0"/>
        <w:tabs>
          <w:tab w:pos="238" w:val="left"/>
        </w:tabs>
        <w:autoSpaceDE w:val="0"/>
        <w:widowControl/>
        <w:spacing w:line="344" w:lineRule="exact" w:before="0" w:after="0"/>
        <w:ind w:left="88" w:right="0" w:firstLine="0"/>
        <w:jc w:val="left"/>
      </w:pP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/>
          <w:i w:val="0"/>
          <w:color w:val="000000"/>
          <w:sz w:val="16"/>
        </w:rPr>
        <w:t xml:space="preserve"> Cloud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: is defined as a network of different healthcare services that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are connected by sending and receiving packets. It stores medical </w:t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patient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data and executes intensive tasks. </w:t>
      </w:r>
    </w:p>
    <w:p>
      <w:pPr>
        <w:autoSpaceDN w:val="0"/>
        <w:autoSpaceDE w:val="0"/>
        <w:widowControl/>
        <w:spacing w:line="294" w:lineRule="exact" w:before="48" w:after="0"/>
        <w:ind w:left="0" w:right="52" w:firstLine="0"/>
        <w:jc w:val="right"/>
      </w:pP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/>
          <w:i w:val="0"/>
          <w:color w:val="000000"/>
          <w:sz w:val="16"/>
        </w:rPr>
        <w:t xml:space="preserve"> Blockchain: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plays the role of decentralized trust part between pro-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vider/consumer of sensitive health data or both. It is used to ensure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access control management while ensuring data integrity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traceability of transactions conducted across an unsecured network.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/>
          <w:i w:val="0"/>
          <w:color w:val="000000"/>
          <w:sz w:val="16"/>
        </w:rPr>
        <w:t xml:space="preserve"> Attribute Manager (AM):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generating the group key for the users 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each group. In addition, AM is responsible for re-encrypting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ciphertext under different context changes. </w:t>
      </w:r>
    </w:p>
    <w:p>
      <w:pPr>
        <w:autoSpaceDN w:val="0"/>
        <w:autoSpaceDE w:val="0"/>
        <w:widowControl/>
        <w:spacing w:line="296" w:lineRule="exact" w:before="0" w:after="0"/>
        <w:ind w:left="88" w:right="52" w:firstLine="0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generates them, according to the identity of the users, the set of key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/>
          <w:i w:val="0"/>
          <w:color w:val="000000"/>
          <w:sz w:val="16"/>
        </w:rPr>
        <w:t xml:space="preserve"> Certificate Authority (CA):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allows managing all attributes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pairs and grants them access privileges to end-users by providing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them with their secret keys according to their attributes. </w:t>
      </w:r>
    </w:p>
    <w:p>
      <w:pPr>
        <w:autoSpaceDN w:val="0"/>
        <w:autoSpaceDE w:val="0"/>
        <w:widowControl/>
        <w:spacing w:line="252" w:lineRule="exact" w:before="90" w:after="0"/>
        <w:ind w:left="238" w:right="52" w:hanging="150"/>
        <w:jc w:val="both"/>
      </w:pP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/>
          <w:i w:val="0"/>
          <w:color w:val="000000"/>
          <w:sz w:val="16"/>
        </w:rPr>
        <w:t xml:space="preserve"> Directory Users: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this allows users (doctors, nurses, caregivers) to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consume the data. They request access to data according to their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attributes from cloud servers. Only users with required attributes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satisfying access policies can decrypt the data. Doctors can also add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diagnostics and suggestions to share with peers. </w:t>
      </w:r>
    </w:p>
    <w:p>
      <w:pPr>
        <w:autoSpaceDN w:val="0"/>
        <w:autoSpaceDE w:val="0"/>
        <w:widowControl/>
        <w:spacing w:line="210" w:lineRule="exact" w:before="210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Firstly, all patients, medical sensors, and physics need to register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with the blockchain to obtain public and private keys for data encryp-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tion/decryption. Secondly, when the patient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sensors want to send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monitored data through the proxy/Fog. The transmitted data record will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be encrypted with the private key and sent to the proxy/Fog, added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permissions, and downloads their metadata. The proxy/Fog will verify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the signature of the patient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sensors and generate blockchain data,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then the proxy/Fog will notify the physics, inform the availability date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time. Finally, when the physics wants to access health data,.The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2" w:space="0"/>
            <w:col w:w="5348" w:space="0"/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2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2" w:space="0"/>
            <w:col w:w="5348" w:space="0"/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B. Annane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14 (2022) 100150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16550" cy="24358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2435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32" w:after="344"/>
        <w:ind w:left="0" w:right="0" w:firstLine="0"/>
        <w:jc w:val="center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2.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Physicians health sensitive data access. </w:t>
      </w:r>
    </w:p>
    <w:p>
      <w:pPr>
        <w:sectPr>
          <w:pgSz w:w="11906" w:h="15874"/>
          <w:pgMar w:top="338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2" w:space="0"/>
            <w:col w:w="5348" w:space="0"/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18"/>
        <w:ind w:left="0" w:right="4032" w:firstLine="0"/>
        <w:jc w:val="left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 xml:space="preserve">Table 1 </w:t>
      </w:r>
      <w:r>
        <w:br/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Used notations.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34"/>
        <w:gridCol w:w="5234"/>
      </w:tblGrid>
      <w:tr>
        <w:trPr>
          <w:trHeight w:hRule="exact" w:val="262"/>
        </w:trPr>
        <w:tc>
          <w:tcPr>
            <w:tcW w:type="dxa" w:w="142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120" w:right="0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Notation </w:t>
            </w:r>
          </w:p>
        </w:tc>
        <w:tc>
          <w:tcPr>
            <w:tcW w:type="dxa" w:w="36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802" w:right="0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Description </w:t>
            </w:r>
          </w:p>
        </w:tc>
      </w:tr>
      <w:tr>
        <w:trPr>
          <w:trHeight w:hRule="exact" w:val="3394"/>
        </w:trPr>
        <w:tc>
          <w:tcPr>
            <w:tcW w:type="dxa" w:w="1428"/>
            <w:tcBorders>
              <w:top w:sz="4.0" w:val="single" w:color="#000000"/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2" w:after="0"/>
              <w:ind w:left="120" w:right="720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PK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9"/>
              </w:rPr>
              <w:t xml:space="preserve">d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SK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9"/>
              </w:rPr>
              <w:t xml:space="preserve">d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PK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9"/>
              </w:rPr>
              <w:t xml:space="preserve">p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SK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9"/>
              </w:rPr>
              <w:t xml:space="preserve">p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Id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9"/>
              </w:rPr>
              <w:t xml:space="preserve">u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Id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9"/>
              </w:rPr>
              <w:t xml:space="preserve">p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PK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9"/>
              </w:rPr>
              <w:t xml:space="preserve">f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SK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9"/>
              </w:rPr>
              <w:t xml:space="preserve">f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 xml:space="preserve">MK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 xml:space="preserve">M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 xml:space="preserve">CT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C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9"/>
              </w:rPr>
              <w:t xml:space="preserve">i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D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9"/>
              </w:rPr>
              <w:t xml:space="preserve">i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G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9"/>
              </w:rPr>
              <w:t xml:space="preserve">0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G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9"/>
              </w:rPr>
              <w:t xml:space="preserve">1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 xml:space="preserve">g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 xml:space="preserve">p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 xml:space="preserve">e </w:t>
            </w:r>
            <w:r>
              <w:br/>
            </w:r>
            <w:r>
              <w:rPr>
                <w:w w:val="101.46578275240385"/>
                <w:rFonts w:ascii="STIX" w:hAnsi="STIX" w:eastAsia="STIX"/>
                <w:b w:val="0"/>
                <w:i/>
                <w:color w:val="000000"/>
                <w:sz w:val="13"/>
              </w:rPr>
              <w:t xml:space="preserve">α 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and </w:t>
            </w:r>
            <w:r>
              <w:rPr>
                <w:w w:val="98.09076602642352"/>
                <w:rFonts w:ascii="STIX" w:hAnsi="STIX" w:eastAsia="STIX"/>
                <w:b w:val="0"/>
                <w:i/>
                <w:color w:val="000000"/>
                <w:sz w:val="13"/>
              </w:rPr>
              <w:t xml:space="preserve">β </w:t>
            </w:r>
          </w:p>
        </w:tc>
        <w:tc>
          <w:tcPr>
            <w:tcW w:type="dxa" w:w="3660"/>
            <w:tcBorders>
              <w:top w:sz="4.0" w:val="single" w:color="#000000"/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2" w:after="0"/>
              <w:ind w:left="802" w:right="144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User/IoMT device public key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User/IoMT device secret key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Physics public key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Physics secret key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Identity of user/device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Identity of physics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Proxy/Fog public key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Proxy/Fog private key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Master key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A sensed data (message)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Encrypted data (text encrypted by Cx-CP-ABE). 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components of encrypted data.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802" w:right="0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components of secret key. </w:t>
            </w:r>
          </w:p>
          <w:p>
            <w:pPr>
              <w:autoSpaceDN w:val="0"/>
              <w:autoSpaceDE w:val="0"/>
              <w:widowControl/>
              <w:spacing w:line="214" w:lineRule="exact" w:before="0" w:after="0"/>
              <w:ind w:left="802" w:right="720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A first bilinear group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Asecond bilinear group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Generator point (512-bit prime) 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A large prime number (144-bit) 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Bilinear mapping: </w:t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G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9"/>
              </w:rPr>
              <w:t>0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 xml:space="preserve"> ×</w:t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 xml:space="preserve"> G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9"/>
              </w:rPr>
              <w:t>0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 →</w:t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 xml:space="preserve"> G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9"/>
              </w:rPr>
              <w:t>1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.</w:t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 xml:space="preserve">r 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Random numbers </w:t>
            </w:r>
          </w:p>
        </w:tc>
      </w:tr>
      <w:tr>
        <w:trPr>
          <w:trHeight w:hRule="exact" w:val="1634"/>
        </w:trPr>
        <w:tc>
          <w:tcPr>
            <w:tcW w:type="dxa" w:w="5088"/>
            <w:gridSpan w:val="2"/>
            <w:tcBorders>
              <w:top w:sz="0.8000000000001819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360" w:after="0"/>
              <w:ind w:left="238" w:right="0" w:hanging="150"/>
              <w:jc w:val="left"/>
            </w:pP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•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 xml:space="preserve"> RequestAuthorization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permission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 xml:space="preserve"> Gr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TeX_CM_Roman" w:hAnsi="TeX_CM_Roman" w:eastAsia="TeX_CM_Roman"/>
                <w:b w:val="0"/>
                <w:i w:val="0"/>
                <w:color w:val="000000"/>
                <w:sz w:val="16"/>
              </w:rPr>
              <w:t xml:space="preserve"> @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req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 is used to load authori-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zation within the Blockchain from a provider account to the con-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sumer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’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s account. The requests use their @req address and send a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request to the storage Cloud provider. The cloud sends this request to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the Fog/Proxy. The consumer obtains authorization to access the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provider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’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s data. </w:t>
            </w:r>
          </w:p>
        </w:tc>
      </w:tr>
    </w:tbl>
    <w:p>
      <w:pPr>
        <w:autoSpaceDN w:val="0"/>
        <w:tabs>
          <w:tab w:pos="238" w:val="left"/>
        </w:tabs>
        <w:autoSpaceDE w:val="0"/>
        <w:widowControl/>
        <w:spacing w:line="208" w:lineRule="exact" w:before="138" w:after="0"/>
        <w:ind w:left="0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4.2.2. Certification and registration phase </w:t>
      </w:r>
      <w:r>
        <w:br/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All IoMT, patients, and physics need to register with a certificate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authority (CA) to obtain digital certificates via a secure channel.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participant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role can represent the medical IoMT, patients, and physics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(</w:t>
      </w:r>
      <w:r>
        <w:rPr>
          <w:rFonts w:ascii="Charis SIL" w:hAnsi="Charis SIL" w:eastAsia="Charis SIL"/>
          <w:b w:val="0"/>
          <w:i/>
          <w:color w:val="000000"/>
          <w:sz w:val="16"/>
        </w:rPr>
        <w:t>nurse, doctor, and specialist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). Each certificate contains public and private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keys for message signing. 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 xml:space="preserve">Fig. 4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shows the flowchart of the certification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registration phase. </w:t>
      </w:r>
    </w:p>
    <w:p>
      <w:pPr>
        <w:autoSpaceDN w:val="0"/>
        <w:tabs>
          <w:tab w:pos="278" w:val="left"/>
        </w:tabs>
        <w:autoSpaceDE w:val="0"/>
        <w:widowControl/>
        <w:spacing w:line="245" w:lineRule="auto" w:before="158" w:after="0"/>
        <w:ind w:left="238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 xml:space="preserve">Step 1: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sender 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(IoMT device or physics) generates an identity </w:t>
      </w:r>
      <w:r>
        <w:rPr>
          <w:rFonts w:ascii="Charis SIL" w:hAnsi="Charis SIL" w:eastAsia="Charis SIL"/>
          <w:b w:val="0"/>
          <w:i/>
          <w:color w:val="000000"/>
          <w:sz w:val="16"/>
        </w:rPr>
        <w:t>ID</w:t>
      </w:r>
      <w:r>
        <w:rPr>
          <w:w w:val="101.43273093483664"/>
          <w:rFonts w:ascii="Charis SIL" w:hAnsi="Charis SIL" w:eastAsia="Charis SIL"/>
          <w:b w:val="0"/>
          <w:i/>
          <w:color w:val="000000"/>
          <w:sz w:val="11"/>
        </w:rPr>
        <w:t>s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, and sends it with a set of context attributes </w:t>
      </w:r>
      <w:r>
        <w:rPr>
          <w:rFonts w:ascii="Charis SIL" w:hAnsi="Charis SIL" w:eastAsia="Charis SIL"/>
          <w:b w:val="0"/>
          <w:i/>
          <w:color w:val="000000"/>
          <w:sz w:val="16"/>
        </w:rPr>
        <w:t>CxA</w:t>
      </w:r>
      <w:r>
        <w:rPr>
          <w:w w:val="101.43273093483664"/>
          <w:rFonts w:ascii="Charis SIL" w:hAnsi="Charis SIL" w:eastAsia="Charis SIL"/>
          <w:b w:val="0"/>
          <w:i/>
          <w:color w:val="000000"/>
          <w:sz w:val="11"/>
        </w:rPr>
        <w:t xml:space="preserve">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to the Attri-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butes Authority (AA). </w:t>
      </w:r>
    </w:p>
    <w:p>
      <w:pPr>
        <w:autoSpaceDN w:val="0"/>
        <w:autoSpaceDE w:val="0"/>
        <w:widowControl/>
        <w:spacing w:line="212" w:lineRule="exact" w:before="48" w:after="0"/>
        <w:ind w:left="238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 xml:space="preserve">Step 2: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The Attributes Authority (AA) generates a master key (</w:t>
      </w:r>
      <w:r>
        <w:rPr>
          <w:rFonts w:ascii="Charis SIL" w:hAnsi="Charis SIL" w:eastAsia="Charis SIL"/>
          <w:b w:val="0"/>
          <w:i/>
          <w:color w:val="000000"/>
          <w:sz w:val="16"/>
        </w:rPr>
        <w:t>MK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)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and public key (</w:t>
      </w:r>
      <w:r>
        <w:rPr>
          <w:rFonts w:ascii="Charis SIL" w:hAnsi="Charis SIL" w:eastAsia="Charis SIL"/>
          <w:b w:val="0"/>
          <w:i/>
          <w:color w:val="000000"/>
          <w:sz w:val="16"/>
        </w:rPr>
        <w:t>PK</w:t>
      </w:r>
      <w:r>
        <w:rPr>
          <w:w w:val="101.43273093483664"/>
          <w:rFonts w:ascii="Charis SIL" w:hAnsi="Charis SIL" w:eastAsia="Charis SIL"/>
          <w:b w:val="0"/>
          <w:i/>
          <w:color w:val="000000"/>
          <w:sz w:val="11"/>
        </w:rPr>
        <w:t>s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) based on the identity of sender </w:t>
      </w:r>
      <w:r>
        <w:rPr>
          <w:rFonts w:ascii="Charis SIL" w:hAnsi="Charis SIL" w:eastAsia="Charis SIL"/>
          <w:b w:val="0"/>
          <w:i/>
          <w:color w:val="000000"/>
          <w:sz w:val="16"/>
        </w:rPr>
        <w:t>ID</w:t>
      </w:r>
      <w:r>
        <w:rPr>
          <w:w w:val="101.43273093483664"/>
          <w:rFonts w:ascii="Charis SIL" w:hAnsi="Charis SIL" w:eastAsia="Charis SIL"/>
          <w:b w:val="0"/>
          <w:i/>
          <w:color w:val="000000"/>
          <w:sz w:val="11"/>
        </w:rPr>
        <w:t xml:space="preserve">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</w:t>
      </w:r>
      <w:r>
        <w:rPr>
          <w:rFonts w:ascii="Charis SIL" w:hAnsi="Charis SIL" w:eastAsia="Charis SIL"/>
          <w:b w:val="0"/>
          <w:i/>
          <w:color w:val="000000"/>
          <w:sz w:val="16"/>
        </w:rPr>
        <w:t>CxA</w:t>
      </w:r>
      <w:r>
        <w:rPr>
          <w:w w:val="101.43273093483664"/>
          <w:rFonts w:ascii="Charis SIL" w:hAnsi="Charis SIL" w:eastAsia="Charis SIL"/>
          <w:b w:val="0"/>
          <w:i/>
          <w:color w:val="000000"/>
          <w:sz w:val="11"/>
        </w:rPr>
        <w:t xml:space="preserve">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then transmit them to the Fog/Proxy. The 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n MK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is only known to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context-aware attribute-based access control system, for that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reason, it is used to generate each participant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secret keys. </w:t>
      </w:r>
    </w:p>
    <w:p>
      <w:pPr>
        <w:sectPr>
          <w:type w:val="continuous"/>
          <w:pgSz w:w="11906" w:h="15874"/>
          <w:pgMar w:top="338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2" w:space="0"/>
            <w:col w:w="5348" w:space="0"/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2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5</w:t>
      </w:r>
    </w:p>
    <w:p>
      <w:pPr>
        <w:sectPr>
          <w:type w:val="nextColumn"/>
          <w:pgSz w:w="11906" w:h="15874"/>
          <w:pgMar w:top="338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2" w:space="0"/>
            <w:col w:w="5348" w:space="0"/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B. Annane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14 (2022) 100150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13730" cy="825881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8258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2" w:lineRule="auto" w:before="132" w:after="0"/>
        <w:ind w:left="0" w:right="0" w:firstLine="0"/>
        <w:jc w:val="center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3.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The UML sequence diagram of our architecture. </w:t>
      </w:r>
    </w:p>
    <w:p>
      <w:pPr>
        <w:autoSpaceDN w:val="0"/>
        <w:autoSpaceDE w:val="0"/>
        <w:widowControl/>
        <w:spacing w:line="240" w:lineRule="auto" w:before="608" w:after="0"/>
        <w:ind w:left="0" w:right="0" w:firstLine="0"/>
        <w:jc w:val="center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6</w:t>
      </w:r>
    </w:p>
    <w:p>
      <w:pPr>
        <w:sectPr>
          <w:pgSz w:w="11906" w:h="15874"/>
          <w:pgMar w:top="336" w:right="720" w:bottom="288" w:left="752" w:header="720" w:footer="720" w:gutter="0"/>
          <w:cols w:space="720" w:num="1" w:equalWidth="0"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2" w:space="0"/>
            <w:col w:w="5348" w:space="0"/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B. Annane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14 (2022) 100150</w:t>
      </w:r>
    </w:p>
    <w:p>
      <w:pPr>
        <w:autoSpaceDN w:val="0"/>
        <w:autoSpaceDE w:val="0"/>
        <w:widowControl/>
        <w:spacing w:line="240" w:lineRule="auto" w:before="218" w:after="0"/>
        <w:ind w:left="15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117600" cy="889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5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6900" cy="1143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5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054100" cy="1143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408" w:val="left"/>
        </w:tabs>
        <w:autoSpaceDE w:val="0"/>
        <w:widowControl/>
        <w:spacing w:line="240" w:lineRule="auto" w:before="100" w:after="0"/>
        <w:ind w:left="31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14600" cy="3048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048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42900" cy="1397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0" w:right="158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171700" cy="127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0" w:right="244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625600" cy="1143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0" w:right="174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70100" cy="127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0" w:right="16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146300" cy="127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0" w:right="240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651000" cy="1651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6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0" w:right="38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749300" cy="127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0" w:right="430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444500" cy="1143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0" w:right="354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927100" cy="127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80" w:after="0"/>
        <w:ind w:left="0" w:right="354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927100" cy="190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00" w:after="0"/>
        <w:ind w:left="0" w:right="29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320800" cy="1143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0" w:right="50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485900" cy="2032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6" w:after="0"/>
        <w:ind w:left="0" w:right="0" w:firstLine="0"/>
        <w:jc w:val="center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4.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The certification and registration process. </w:t>
      </w:r>
    </w:p>
    <w:p>
      <w:pPr>
        <w:autoSpaceDN w:val="0"/>
        <w:autoSpaceDE w:val="0"/>
        <w:widowControl/>
        <w:spacing w:line="240" w:lineRule="auto" w:before="400" w:after="0"/>
        <w:ind w:left="14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74700" cy="1016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2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0" cy="127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20"/>
        <w:ind w:left="12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94000" cy="190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08.0" w:type="dxa"/>
      </w:tblPr>
      <w:tblGrid>
        <w:gridCol w:w="5234"/>
        <w:gridCol w:w="5234"/>
      </w:tblGrid>
      <w:tr>
        <w:trPr>
          <w:trHeight w:hRule="exact" w:val="980"/>
        </w:trPr>
        <w:tc>
          <w:tcPr>
            <w:tcW w:type="dxa" w:w="3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0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1270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10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286000" cy="5715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571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160" w:after="0"/>
        <w:ind w:left="0" w:right="486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752600" cy="2159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16" w:after="196"/>
        <w:ind w:left="0" w:right="0" w:firstLine="0"/>
        <w:jc w:val="center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5.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The authentication process. 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2" w:space="0"/>
            <w:col w:w="5348" w:space="0"/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16"/>
        <w:ind w:left="0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the blockchain. First of all, he authenticates to the Cloud with his cer-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tificate which defines his context attributes. Therefore, the Cloud with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Directory Users (</w:t>
      </w:r>
      <w:r>
        <w:rPr>
          <w:rFonts w:ascii="Charis SIL" w:hAnsi="Charis SIL" w:eastAsia="Charis SIL"/>
          <w:b w:val="0"/>
          <w:i/>
          <w:color w:val="000000"/>
          <w:sz w:val="16"/>
        </w:rPr>
        <w:t>DU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) has descriptions of all users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’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attributes involved 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the health application. Then, the Cloud sends the ciphertext of the pa-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tient stored in the blockchain. A physics receives the ciphertext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decrypted it using the 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Decrypt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algorithm with his private key Cx-CP-ABE </w:t>
      </w:r>
      <w:r>
        <w:rPr>
          <w:rFonts w:ascii="Charis SIL" w:hAnsi="Charis SIL" w:eastAsia="Charis SIL"/>
          <w:b w:val="0"/>
          <w:i/>
          <w:color w:val="000000"/>
          <w:sz w:val="16"/>
        </w:rPr>
        <w:t>PV</w:t>
      </w:r>
      <w:r>
        <w:rPr>
          <w:w w:val="101.43273093483664"/>
          <w:rFonts w:ascii="Charis SIL" w:hAnsi="Charis SIL" w:eastAsia="Charis SIL"/>
          <w:b w:val="0"/>
          <w:i/>
          <w:color w:val="000000"/>
          <w:sz w:val="11"/>
        </w:rPr>
        <w:t>p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. If physics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 secret key has satisfied the ciphertext policy (</w:t>
      </w:r>
      <w:r>
        <w:rPr>
          <w:rFonts w:ascii="Charis SIL" w:hAnsi="Charis SIL" w:eastAsia="Charis SIL"/>
          <w:b w:val="0"/>
          <w:i/>
          <w:color w:val="000000"/>
          <w:sz w:val="16"/>
        </w:rPr>
        <w:t>T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),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health data (</w:t>
      </w:r>
      <w:r>
        <w:rPr>
          <w:rFonts w:ascii="Charis SIL" w:hAnsi="Charis SIL" w:eastAsia="Charis SIL"/>
          <w:b w:val="0"/>
          <w:i/>
          <w:color w:val="000000"/>
          <w:sz w:val="16"/>
        </w:rPr>
        <w:t>M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) is returned; otherwise, the decryption failed with error.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Cloud notifies the Fog/Proxy about the access status of physics.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34"/>
        <w:gridCol w:w="5234"/>
      </w:tblGrid>
      <w:tr>
        <w:trPr>
          <w:trHeight w:hRule="exact" w:val="270"/>
        </w:trPr>
        <w:tc>
          <w:tcPr>
            <w:tcW w:type="dxa" w:w="238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20" w:right="0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Algorithm 3. </w:t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Encrypt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(</w:t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M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,</w:t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T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,</w:t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PV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9"/>
              </w:rPr>
              <w:t>p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,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P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)</w:t>
            </w:r>
          </w:p>
        </w:tc>
        <w:tc>
          <w:tcPr>
            <w:tcW w:type="dxa" w:w="263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818"/>
        </w:trPr>
        <w:tc>
          <w:tcPr>
            <w:tcW w:type="dxa" w:w="2388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120" w:right="2124" w:firstLine="0"/>
              <w:jc w:val="both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1: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2: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3: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4: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5: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6: </w:t>
            </w:r>
          </w:p>
          <w:p>
            <w:pPr>
              <w:autoSpaceDN w:val="0"/>
              <w:autoSpaceDE w:val="0"/>
              <w:widowControl/>
              <w:spacing w:line="245" w:lineRule="auto" w:before="136" w:after="0"/>
              <w:ind w:left="120" w:right="2124" w:firstLine="0"/>
              <w:jc w:val="both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7: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8: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9: </w:t>
            </w:r>
          </w:p>
        </w:tc>
        <w:tc>
          <w:tcPr>
            <w:tcW w:type="dxa" w:w="2634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408" w:right="0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IF Check_Access_Policy (</w:t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PV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9"/>
              </w:rPr>
              <w:t>p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, P) Then 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Begin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s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>←</w:t>
            </w:r>
            <w:r>
              <w:rPr>
                <w:w w:val="98.09076602642352"/>
                <w:rFonts w:ascii="TimesMath" w:hAnsi="TimesMath" w:eastAsia="TimesMath"/>
                <w:b w:val="0"/>
                <w:i w:val="0"/>
                <w:color w:val="000000"/>
                <w:sz w:val="13"/>
              </w:rPr>
              <w:t>Z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9"/>
              </w:rPr>
              <w:t xml:space="preserve">p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C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9"/>
              </w:rPr>
              <w:t>i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(</w:t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H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9"/>
              </w:rPr>
              <w:t>2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(</w:t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i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)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.</w:t>
            </w:r>
            <w:r>
              <w:rPr>
                <w:w w:val="98.09076602642352"/>
                <w:rFonts w:ascii="TeX_CM_Maths_Extension" w:hAnsi="TeX_CM_Maths_Extension" w:eastAsia="TeX_CM_Maths_Extension"/>
                <w:b w:val="0"/>
                <w:i w:val="0"/>
                <w:color w:val="000000"/>
                <w:sz w:val="13"/>
              </w:rPr>
              <w:t>∏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9"/>
              </w:rPr>
              <w:t xml:space="preserve">n 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9"/>
              </w:rPr>
              <w:t>i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9"/>
              </w:rPr>
              <w:t>=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9"/>
              </w:rPr>
              <w:t>1</w:t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x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9"/>
              </w:rPr>
              <w:t>i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)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9"/>
              </w:rPr>
              <w:t xml:space="preserve">s </w:t>
            </w:r>
          </w:p>
          <w:p>
            <w:pPr>
              <w:autoSpaceDN w:val="0"/>
              <w:autoSpaceDE w:val="0"/>
              <w:widowControl/>
              <w:spacing w:line="302" w:lineRule="exact" w:before="0" w:after="0"/>
              <w:ind w:left="408" w:right="0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>M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  <w:u w:val="single"/>
              </w:rPr>
              <w:t>C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9"/>
                <w:u w:val="single"/>
              </w:rPr>
              <w:t>1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.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  <w:u w:val="single"/>
              </w:rPr>
              <w:t>e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  <w:u w:val="single"/>
              </w:rPr>
              <w:t>(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  <w:u w:val="single"/>
              </w:rPr>
              <w:t>D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9"/>
                <w:u w:val="single"/>
              </w:rPr>
              <w:t>1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,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  <w:u w:val="single"/>
              </w:rPr>
              <w:t xml:space="preserve"> C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9"/>
                <w:u w:val="single"/>
              </w:rPr>
              <w:t>i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  <w:u w:val="single"/>
              </w:rPr>
              <w:t>)</w:t>
            </w:r>
          </w:p>
          <w:p>
            <w:pPr>
              <w:autoSpaceDN w:val="0"/>
              <w:autoSpaceDE w:val="0"/>
              <w:widowControl/>
              <w:spacing w:line="208" w:lineRule="exact" w:before="0" w:after="0"/>
              <w:ind w:left="408" w:right="0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return </w:t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 xml:space="preserve">M 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e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(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D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,</w:t>
            </w: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 xml:space="preserve"> C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9"/>
              </w:rPr>
              <w:t>2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 xml:space="preserve"> )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408" w:right="1152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End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Else return false; </w:t>
            </w:r>
          </w:p>
        </w:tc>
      </w:tr>
    </w:tbl>
    <w:p>
      <w:pPr>
        <w:autoSpaceDN w:val="0"/>
        <w:autoSpaceDE w:val="0"/>
        <w:widowControl/>
        <w:spacing w:line="240" w:lineRule="auto" w:before="210" w:after="0"/>
        <w:ind w:left="0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 xml:space="preserve">5. Case study and security analysis </w:t>
      </w:r>
    </w:p>
    <w:p>
      <w:pPr>
        <w:autoSpaceDN w:val="0"/>
        <w:autoSpaceDE w:val="0"/>
        <w:widowControl/>
        <w:spacing w:line="245" w:lineRule="auto" w:before="158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This section provides the performance analysis of the proposed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scheme. It introduces the simulator tool that we used in order to get the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2" w:space="0"/>
            <w:col w:w="5348" w:space="0"/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2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2" w:space="0"/>
            <w:col w:w="5348" w:space="0"/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144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B. Annane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14 (2022) 100150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2" w:space="0"/>
            <w:col w:w="5348" w:space="0"/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different context attributes. This policy can be defined as follows: </w:t>
      </w:r>
    </w:p>
    <w:p>
      <w:pPr>
        <w:autoSpaceDN w:val="0"/>
        <w:tabs>
          <w:tab w:pos="238" w:val="left"/>
        </w:tabs>
        <w:autoSpaceDE w:val="0"/>
        <w:widowControl/>
        <w:spacing w:line="172" w:lineRule="exact" w:before="104" w:after="0"/>
        <w:ind w:left="120" w:right="144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(role </w:t>
      </w:r>
      <w:r>
        <w:rPr>
          <w:w w:val="98.09076602642352"/>
          <w:rFonts w:ascii="TeX_CM_Maths_Symbols" w:hAnsi="TeX_CM_Maths_Symbols" w:eastAsia="TeX_CM_Maths_Symbols"/>
          <w:b w:val="0"/>
          <w:i w:val="0"/>
          <w:color w:val="000000"/>
          <w:sz w:val="13"/>
        </w:rPr>
        <w:t>=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 ‘physics</w:t>
      </w:r>
      <w:r>
        <w:rPr>
          <w:w w:val="98.09076602642352"/>
          <w:rFonts w:ascii="STIX" w:hAnsi="STIX" w:eastAsia="STIX"/>
          <w:b w:val="0"/>
          <w:i/>
          <w:color w:val="000000"/>
          <w:sz w:val="13"/>
        </w:rPr>
        <w:t>’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) </w:t>
      </w:r>
      <w:r>
        <w:rPr>
          <w:w w:val="98.09076602642352"/>
          <w:rFonts w:ascii="Charis SIL" w:hAnsi="Charis SIL" w:eastAsia="Charis SIL"/>
          <w:b/>
          <w:i w:val="0"/>
          <w:color w:val="000000"/>
          <w:sz w:val="13"/>
        </w:rPr>
        <w:t xml:space="preserve">AND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(location </w:t>
      </w:r>
      <w:r>
        <w:rPr>
          <w:w w:val="98.09076602642352"/>
          <w:rFonts w:ascii="TeX_CM_Maths_Symbols" w:hAnsi="TeX_CM_Maths_Symbols" w:eastAsia="TeX_CM_Maths_Symbols"/>
          <w:b w:val="0"/>
          <w:i w:val="0"/>
          <w:color w:val="000000"/>
          <w:sz w:val="13"/>
        </w:rPr>
        <w:t>=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 ‘hospital</w:t>
      </w:r>
      <w:r>
        <w:rPr>
          <w:w w:val="98.09076602642352"/>
          <w:rFonts w:ascii="STIX" w:hAnsi="STIX" w:eastAsia="STIX"/>
          <w:b w:val="0"/>
          <w:i/>
          <w:color w:val="000000"/>
          <w:sz w:val="13"/>
        </w:rPr>
        <w:t>’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) </w:t>
      </w:r>
      <w:r>
        <w:rPr>
          <w:w w:val="98.09076602642352"/>
          <w:rFonts w:ascii="Charis SIL" w:hAnsi="Charis SIL" w:eastAsia="Charis SIL"/>
          <w:b/>
          <w:i w:val="0"/>
          <w:color w:val="000000"/>
          <w:sz w:val="13"/>
        </w:rPr>
        <w:t xml:space="preserve">AND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(Health_Speciality </w:t>
      </w:r>
      <w:r>
        <w:rPr>
          <w:w w:val="98.09076602642352"/>
          <w:rFonts w:ascii="TeX_CM_Maths_Symbols" w:hAnsi="TeX_CM_Maths_Symbols" w:eastAsia="TeX_CM_Maths_Symbols"/>
          <w:b w:val="0"/>
          <w:i w:val="0"/>
          <w:color w:val="000000"/>
          <w:sz w:val="13"/>
        </w:rPr>
        <w:t>=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 ‘cardiology</w:t>
      </w:r>
      <w:r>
        <w:rPr>
          <w:w w:val="98.09076602642352"/>
          <w:rFonts w:ascii="STIX" w:hAnsi="STIX" w:eastAsia="STIX"/>
          <w:b w:val="0"/>
          <w:i/>
          <w:color w:val="000000"/>
          <w:sz w:val="13"/>
        </w:rPr>
        <w:t>’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) </w:t>
      </w:r>
      <w:r>
        <w:tab/>
      </w:r>
      <w:r>
        <w:rPr>
          <w:w w:val="98.09076602642352"/>
          <w:rFonts w:ascii="Charis SIL" w:hAnsi="Charis SIL" w:eastAsia="Charis SIL"/>
          <w:b/>
          <w:i w:val="0"/>
          <w:color w:val="000000"/>
          <w:sz w:val="13"/>
        </w:rPr>
        <w:t xml:space="preserve">AND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(Action </w:t>
      </w:r>
      <w:r>
        <w:rPr>
          <w:w w:val="98.09076602642352"/>
          <w:rFonts w:ascii="TeX_CM_Maths_Symbols" w:hAnsi="TeX_CM_Maths_Symbols" w:eastAsia="TeX_CM_Maths_Symbols"/>
          <w:b w:val="0"/>
          <w:i w:val="0"/>
          <w:color w:val="000000"/>
          <w:sz w:val="13"/>
        </w:rPr>
        <w:t>=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 ‘r/w</w:t>
      </w:r>
      <w:r>
        <w:rPr>
          <w:w w:val="98.09076602642352"/>
          <w:rFonts w:ascii="STIX" w:hAnsi="STIX" w:eastAsia="STIX"/>
          <w:b w:val="0"/>
          <w:i/>
          <w:color w:val="000000"/>
          <w:sz w:val="13"/>
        </w:rPr>
        <w:t>’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) </w:t>
      </w:r>
    </w:p>
    <w:p>
      <w:pPr>
        <w:autoSpaceDN w:val="0"/>
        <w:autoSpaceDE w:val="0"/>
        <w:widowControl/>
        <w:spacing w:line="245" w:lineRule="auto" w:before="278" w:after="0"/>
        <w:ind w:left="0" w:right="60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This policy is reinforced by context-aware attributes to match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environment context (</w:t>
      </w:r>
      <w:r>
        <w:rPr>
          <w:rFonts w:ascii="Charis SIL" w:hAnsi="Charis SIL" w:eastAsia="Charis SIL"/>
          <w:b w:val="0"/>
          <w:i/>
          <w:color w:val="000000"/>
          <w:sz w:val="16"/>
        </w:rPr>
        <w:t>e.g., cardiology department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) and the resource-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department (</w:t>
      </w:r>
      <w:r>
        <w:rPr>
          <w:rFonts w:ascii="Charis SIL" w:hAnsi="Charis SIL" w:eastAsia="Charis SIL"/>
          <w:b w:val="0"/>
          <w:i/>
          <w:color w:val="000000"/>
          <w:sz w:val="16"/>
        </w:rPr>
        <w:t>e.g., resources of cardiology department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) as follows: </w:t>
      </w:r>
    </w:p>
    <w:p>
      <w:pPr>
        <w:autoSpaceDN w:val="0"/>
        <w:autoSpaceDE w:val="0"/>
        <w:widowControl/>
        <w:spacing w:line="172" w:lineRule="exact" w:before="102" w:after="0"/>
        <w:ind w:left="238" w:right="144" w:hanging="118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(role </w:t>
      </w:r>
      <w:r>
        <w:rPr>
          <w:w w:val="98.09076602642352"/>
          <w:rFonts w:ascii="TeX_CM_Maths_Symbols" w:hAnsi="TeX_CM_Maths_Symbols" w:eastAsia="TeX_CM_Maths_Symbols"/>
          <w:b w:val="0"/>
          <w:i w:val="0"/>
          <w:color w:val="000000"/>
          <w:sz w:val="13"/>
        </w:rPr>
        <w:t>=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 ‘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>physics</w:t>
      </w:r>
      <w:r>
        <w:rPr>
          <w:w w:val="98.09076602642352"/>
          <w:rFonts w:ascii="STIX" w:hAnsi="STIX" w:eastAsia="STIX"/>
          <w:b w:val="0"/>
          <w:i/>
          <w:color w:val="000000"/>
          <w:sz w:val="13"/>
        </w:rPr>
        <w:t>’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) </w:t>
      </w:r>
      <w:r>
        <w:rPr>
          <w:w w:val="98.09076602642352"/>
          <w:rFonts w:ascii="Charis SIL" w:hAnsi="Charis SIL" w:eastAsia="Charis SIL"/>
          <w:b/>
          <w:i w:val="0"/>
          <w:color w:val="000000"/>
          <w:sz w:val="13"/>
        </w:rPr>
        <w:t xml:space="preserve">AND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(location </w:t>
      </w:r>
      <w:r>
        <w:rPr>
          <w:w w:val="98.09076602642352"/>
          <w:rFonts w:ascii="TeX_CM_Maths_Symbols" w:hAnsi="TeX_CM_Maths_Symbols" w:eastAsia="TeX_CM_Maths_Symbols"/>
          <w:b w:val="0"/>
          <w:i w:val="0"/>
          <w:color w:val="000000"/>
          <w:sz w:val="13"/>
        </w:rPr>
        <w:t>=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 ‘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>hospital</w:t>
      </w:r>
      <w:r>
        <w:rPr>
          <w:w w:val="98.09076602642352"/>
          <w:rFonts w:ascii="STIX" w:hAnsi="STIX" w:eastAsia="STIX"/>
          <w:b w:val="0"/>
          <w:i/>
          <w:color w:val="000000"/>
          <w:sz w:val="13"/>
        </w:rPr>
        <w:t>’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) </w:t>
      </w:r>
      <w:r>
        <w:rPr>
          <w:w w:val="98.09076602642352"/>
          <w:rFonts w:ascii="Charis SIL" w:hAnsi="Charis SIL" w:eastAsia="Charis SIL"/>
          <w:b/>
          <w:i w:val="0"/>
          <w:color w:val="000000"/>
          <w:sz w:val="13"/>
        </w:rPr>
        <w:t xml:space="preserve">AND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(Health_Speciality </w:t>
      </w:r>
      <w:r>
        <w:rPr>
          <w:w w:val="98.09076602642352"/>
          <w:rFonts w:ascii="TeX_CM_Maths_Symbols" w:hAnsi="TeX_CM_Maths_Symbols" w:eastAsia="TeX_CM_Maths_Symbols"/>
          <w:b w:val="0"/>
          <w:i w:val="0"/>
          <w:color w:val="000000"/>
          <w:sz w:val="13"/>
        </w:rPr>
        <w:t>=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 ‘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>cardiology</w:t>
      </w:r>
      <w:r>
        <w:rPr>
          <w:w w:val="98.09076602642352"/>
          <w:rFonts w:ascii="STIX" w:hAnsi="STIX" w:eastAsia="STIX"/>
          <w:b w:val="0"/>
          <w:i/>
          <w:color w:val="000000"/>
          <w:sz w:val="13"/>
        </w:rPr>
        <w:t>’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) </w:t>
      </w:r>
      <w:r>
        <w:rPr>
          <w:w w:val="98.09076602642352"/>
          <w:rFonts w:ascii="Charis SIL" w:hAnsi="Charis SIL" w:eastAsia="Charis SIL"/>
          <w:b/>
          <w:i w:val="0"/>
          <w:color w:val="000000"/>
          <w:sz w:val="13"/>
        </w:rPr>
        <w:t xml:space="preserve">AND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(Action </w:t>
      </w:r>
      <w:r>
        <w:rPr>
          <w:w w:val="98.09076602642352"/>
          <w:rFonts w:ascii="TeX_CM_Maths_Symbols" w:hAnsi="TeX_CM_Maths_Symbols" w:eastAsia="TeX_CM_Maths_Symbols"/>
          <w:b w:val="0"/>
          <w:i w:val="0"/>
          <w:color w:val="000000"/>
          <w:sz w:val="13"/>
        </w:rPr>
        <w:t>=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 ‘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>r/w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’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) </w:t>
      </w:r>
      <w:r>
        <w:rPr>
          <w:w w:val="98.09076602642352"/>
          <w:rFonts w:ascii="Charis SIL" w:hAnsi="Charis SIL" w:eastAsia="Charis SIL"/>
          <w:b/>
          <w:i w:val="0"/>
          <w:color w:val="000000"/>
          <w:sz w:val="13"/>
        </w:rPr>
        <w:t xml:space="preserve">AND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(department </w:t>
      </w:r>
      <w:r>
        <w:rPr>
          <w:w w:val="98.09076602642352"/>
          <w:rFonts w:ascii="TeX_CM_Maths_Symbols" w:hAnsi="TeX_CM_Maths_Symbols" w:eastAsia="TeX_CM_Maths_Symbols"/>
          <w:b w:val="0"/>
          <w:i w:val="0"/>
          <w:color w:val="000000"/>
          <w:sz w:val="13"/>
        </w:rPr>
        <w:t>=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 ‘cardiology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’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) </w:t>
      </w:r>
      <w:r>
        <w:rPr>
          <w:w w:val="98.09076602642352"/>
          <w:rFonts w:ascii="Charis SIL" w:hAnsi="Charis SIL" w:eastAsia="Charis SIL"/>
          <w:b/>
          <w:i w:val="0"/>
          <w:color w:val="000000"/>
          <w:sz w:val="13"/>
        </w:rPr>
        <w:t xml:space="preserve">AND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(resource-department </w:t>
      </w:r>
      <w:r>
        <w:rPr>
          <w:w w:val="98.09076602642352"/>
          <w:rFonts w:ascii="TeX_CM_Maths_Symbols" w:hAnsi="TeX_CM_Maths_Symbols" w:eastAsia="TeX_CM_Maths_Symbols"/>
          <w:b w:val="0"/>
          <w:i w:val="0"/>
          <w:color w:val="000000"/>
          <w:sz w:val="13"/>
        </w:rPr>
        <w:t>=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 ‘cardiology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’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) </w:t>
      </w:r>
    </w:p>
    <w:p>
      <w:pPr>
        <w:autoSpaceDN w:val="0"/>
        <w:autoSpaceDE w:val="0"/>
        <w:widowControl/>
        <w:spacing w:line="245" w:lineRule="auto" w:before="278" w:after="0"/>
        <w:ind w:left="0" w:right="60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When the patient sends his health data encrypted with the respective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public key to Fog/proxy node, he will receive it and in turn, send it to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Cloud server to access the data. The physics can read/write the medical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records of those patients who belong only to his department. </w:t>
      </w:r>
    </w:p>
    <w:p>
      <w:pPr>
        <w:autoSpaceDN w:val="0"/>
        <w:tabs>
          <w:tab w:pos="120" w:val="left"/>
          <w:tab w:pos="238" w:val="left"/>
        </w:tabs>
        <w:autoSpaceDE w:val="0"/>
        <w:widowControl/>
        <w:spacing w:line="208" w:lineRule="exact" w:before="52" w:after="0"/>
        <w:ind w:left="0" w:right="0" w:firstLine="0"/>
        <w:jc w:val="left"/>
      </w:pPr>
      <w:r>
        <w:tab/>
      </w:r>
      <w:r>
        <w:rPr>
          <w:rFonts w:ascii="Charis SIL" w:hAnsi="Charis SIL" w:eastAsia="Charis SIL"/>
          <w:b/>
          <w:i w:val="0"/>
          <w:color w:val="000000"/>
          <w:sz w:val="16"/>
        </w:rPr>
        <w:t>Second Scenario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. When a patient wants to delegate his right access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to another physics specialty from another hospital, a notification is sent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to the proxy/Fog component and the access policy is dynamically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updated. Of course, his access policy will be updated to include envi-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ronmental attributes (</w:t>
      </w:r>
      <w:r>
        <w:rPr>
          <w:rFonts w:ascii="Charis SIL" w:hAnsi="Charis SIL" w:eastAsia="Charis SIL"/>
          <w:b w:val="0"/>
          <w:i/>
          <w:color w:val="000000"/>
          <w:sz w:val="16"/>
        </w:rPr>
        <w:t>e.g.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, orthopedic department, resource-department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=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‘orthopedic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). The updated policy is defined as follows: </w:t>
      </w:r>
      <w:r>
        <w:br/>
      </w:r>
      <w:r>
        <w:tab/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(role </w:t>
      </w:r>
      <w:r>
        <w:rPr>
          <w:w w:val="98.09076602642352"/>
          <w:rFonts w:ascii="TeX_CM_Maths_Symbols" w:hAnsi="TeX_CM_Maths_Symbols" w:eastAsia="TeX_CM_Maths_Symbols"/>
          <w:b w:val="0"/>
          <w:i w:val="0"/>
          <w:color w:val="000000"/>
          <w:sz w:val="13"/>
        </w:rPr>
        <w:t>=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 ‘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>physics</w:t>
      </w:r>
      <w:r>
        <w:rPr>
          <w:w w:val="98.09076602642352"/>
          <w:rFonts w:ascii="STIX" w:hAnsi="STIX" w:eastAsia="STIX"/>
          <w:b w:val="0"/>
          <w:i/>
          <w:color w:val="000000"/>
          <w:sz w:val="13"/>
        </w:rPr>
        <w:t>’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) </w:t>
      </w:r>
      <w:r>
        <w:rPr>
          <w:w w:val="98.09076602642352"/>
          <w:rFonts w:ascii="Charis SIL" w:hAnsi="Charis SIL" w:eastAsia="Charis SIL"/>
          <w:b/>
          <w:i w:val="0"/>
          <w:color w:val="000000"/>
          <w:sz w:val="13"/>
        </w:rPr>
        <w:t xml:space="preserve">AND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(location </w:t>
      </w:r>
      <w:r>
        <w:rPr>
          <w:w w:val="98.09076602642352"/>
          <w:rFonts w:ascii="TeX_CM_Maths_Symbols" w:hAnsi="TeX_CM_Maths_Symbols" w:eastAsia="TeX_CM_Maths_Symbols"/>
          <w:b w:val="0"/>
          <w:i w:val="0"/>
          <w:color w:val="000000"/>
          <w:sz w:val="13"/>
        </w:rPr>
        <w:t>=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 ‘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>hospital</w:t>
      </w:r>
      <w:r>
        <w:rPr>
          <w:w w:val="98.09076602642352"/>
          <w:rFonts w:ascii="STIX" w:hAnsi="STIX" w:eastAsia="STIX"/>
          <w:b w:val="0"/>
          <w:i/>
          <w:color w:val="000000"/>
          <w:sz w:val="13"/>
        </w:rPr>
        <w:t>’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) </w:t>
      </w:r>
      <w:r>
        <w:rPr>
          <w:w w:val="98.09076602642352"/>
          <w:rFonts w:ascii="Charis SIL" w:hAnsi="Charis SIL" w:eastAsia="Charis SIL"/>
          <w:b/>
          <w:i w:val="0"/>
          <w:color w:val="000000"/>
          <w:sz w:val="13"/>
        </w:rPr>
        <w:t xml:space="preserve">AND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(Health_Speciality </w:t>
      </w:r>
      <w:r>
        <w:rPr>
          <w:w w:val="98.09076602642352"/>
          <w:rFonts w:ascii="TeX_CM_Maths_Symbols" w:hAnsi="TeX_CM_Maths_Symbols" w:eastAsia="TeX_CM_Maths_Symbols"/>
          <w:b w:val="0"/>
          <w:i w:val="0"/>
          <w:color w:val="000000"/>
          <w:sz w:val="13"/>
        </w:rPr>
        <w:t>=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 ‘orthopedic) </w:t>
      </w:r>
      <w:r>
        <w:tab/>
      </w:r>
      <w:r>
        <w:rPr>
          <w:w w:val="98.09076602642352"/>
          <w:rFonts w:ascii="Charis SIL" w:hAnsi="Charis SIL" w:eastAsia="Charis SIL"/>
          <w:b/>
          <w:i w:val="0"/>
          <w:color w:val="000000"/>
          <w:sz w:val="13"/>
        </w:rPr>
        <w:t xml:space="preserve">AND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(Action </w:t>
      </w:r>
      <w:r>
        <w:rPr>
          <w:w w:val="98.09076602642352"/>
          <w:rFonts w:ascii="TeX_CM_Maths_Symbols" w:hAnsi="TeX_CM_Maths_Symbols" w:eastAsia="TeX_CM_Maths_Symbols"/>
          <w:b w:val="0"/>
          <w:i w:val="0"/>
          <w:color w:val="000000"/>
          <w:sz w:val="13"/>
        </w:rPr>
        <w:t>=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 ‘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>r/w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’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) </w:t>
      </w:r>
      <w:r>
        <w:rPr>
          <w:w w:val="98.09076602642352"/>
          <w:rFonts w:ascii="Charis SIL" w:hAnsi="Charis SIL" w:eastAsia="Charis SIL"/>
          <w:b/>
          <w:i w:val="0"/>
          <w:color w:val="000000"/>
          <w:sz w:val="13"/>
        </w:rPr>
        <w:t xml:space="preserve">AND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(department </w:t>
      </w:r>
      <w:r>
        <w:rPr>
          <w:w w:val="98.09076602642352"/>
          <w:rFonts w:ascii="TeX_CM_Maths_Symbols" w:hAnsi="TeX_CM_Maths_Symbols" w:eastAsia="TeX_CM_Maths_Symbols"/>
          <w:b w:val="0"/>
          <w:i w:val="0"/>
          <w:color w:val="000000"/>
          <w:sz w:val="13"/>
        </w:rPr>
        <w:t>=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 ‘orthopedic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’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) </w:t>
      </w:r>
      <w:r>
        <w:rPr>
          <w:w w:val="98.09076602642352"/>
          <w:rFonts w:ascii="Charis SIL" w:hAnsi="Charis SIL" w:eastAsia="Charis SIL"/>
          <w:b/>
          <w:i w:val="0"/>
          <w:color w:val="000000"/>
          <w:sz w:val="13"/>
        </w:rPr>
        <w:t xml:space="preserve">AND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(resource-department </w:t>
      </w:r>
      <w:r>
        <w:tab/>
      </w:r>
      <w:r>
        <w:rPr>
          <w:w w:val="98.09076602642352"/>
          <w:rFonts w:ascii="TeX_CM_Maths_Symbols" w:hAnsi="TeX_CM_Maths_Symbols" w:eastAsia="TeX_CM_Maths_Symbols"/>
          <w:b w:val="0"/>
          <w:i w:val="0"/>
          <w:color w:val="000000"/>
          <w:sz w:val="13"/>
        </w:rPr>
        <w:t>=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 ‘orthopedic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’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) </w:t>
      </w:r>
    </w:p>
    <w:p>
      <w:pPr>
        <w:autoSpaceDN w:val="0"/>
        <w:autoSpaceDE w:val="0"/>
        <w:widowControl/>
        <w:spacing w:line="245" w:lineRule="auto" w:before="278" w:after="0"/>
        <w:ind w:left="0" w:right="60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Using context-aware CP-ABE, the new encrypted PHR can be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decrypted only by the physics of the orthopedic department that he can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find useful in his working domain. All this while he can always check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state of his health (</w:t>
      </w:r>
      <w:r>
        <w:rPr>
          <w:rFonts w:ascii="Charis SIL" w:hAnsi="Charis SIL" w:eastAsia="Charis SIL"/>
          <w:b w:val="0"/>
          <w:i/>
          <w:color w:val="000000"/>
          <w:sz w:val="16"/>
        </w:rPr>
        <w:t>e.g.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, if it is orthopedic problem, then deploy vitamin 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service). </w:t>
      </w:r>
    </w:p>
    <w:p>
      <w:pPr>
        <w:autoSpaceDN w:val="0"/>
        <w:autoSpaceDE w:val="0"/>
        <w:widowControl/>
        <w:spacing w:line="240" w:lineRule="auto" w:before="158" w:after="98"/>
        <w:ind w:left="0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5.2. Secuirty analysis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34"/>
        <w:gridCol w:w="5234"/>
      </w:tblGrid>
      <w:tr>
        <w:trPr>
          <w:trHeight w:hRule="exact" w:val="5118"/>
        </w:trPr>
        <w:tc>
          <w:tcPr>
            <w:tcW w:type="dxa" w:w="508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0" w:right="0" w:firstLine="238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AVISPA is a formal security verification technique for the automatic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authentication of cryptographic protocols and applications [</w:t>
            </w:r>
            <w:r>
              <w:rPr>
                <w:rFonts w:ascii="Charis SIL" w:hAnsi="Charis SIL" w:eastAsia="Charis SIL"/>
                <w:b w:val="0"/>
                <w:i w:val="0"/>
                <w:color w:val="2196D1"/>
                <w:sz w:val="16"/>
              </w:rPr>
              <w:t>18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]. AVI-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SPA simulator will be used to analyze security for the patient and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proxy/fog registration and phases of the proposed schema. Through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AVISPA, the symmetrical schema demonstrates that it is secure. The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security model is specified and proved [</w:t>
            </w:r>
            <w:r>
              <w:rPr>
                <w:rFonts w:ascii="Charis SIL" w:hAnsi="Charis SIL" w:eastAsia="Charis SIL"/>
                <w:b w:val="0"/>
                <w:i w:val="0"/>
                <w:color w:val="2196D1"/>
                <w:sz w:val="16"/>
              </w:rPr>
              <w:t>20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] as follows: </w:t>
            </w:r>
          </w:p>
          <w:p>
            <w:pPr>
              <w:autoSpaceDN w:val="0"/>
              <w:autoSpaceDE w:val="0"/>
              <w:widowControl/>
              <w:spacing w:line="260" w:lineRule="exact" w:before="0" w:after="0"/>
              <w:ind w:left="0" w:right="0" w:firstLine="0"/>
              <w:jc w:val="center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tries to enter the system using false credentials and broke semantic se-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We suppose an attacker </w:t>
            </w:r>
            <w:r>
              <w:rPr>
                <w:rFonts w:ascii="EnglishScriptEF" w:hAnsi="EnglishScriptEF" w:eastAsia="EnglishScriptEF"/>
                <w:b/>
                <w:i w:val="0"/>
                <w:color w:val="000000"/>
                <w:sz w:val="16"/>
              </w:rPr>
              <w:t xml:space="preserve">A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with a significant advantage Adv</w:t>
            </w:r>
            <w:r>
              <w:rPr>
                <w:w w:val="101.43273093483664"/>
                <w:rFonts w:ascii="EnglishScriptEF" w:hAnsi="EnglishScriptEF" w:eastAsia="EnglishScriptEF"/>
                <w:b/>
                <w:i w:val="0"/>
                <w:color w:val="000000"/>
                <w:sz w:val="11"/>
              </w:rPr>
              <w:t>A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EnglishScriptEF" w:hAnsi="EnglishScriptEF" w:eastAsia="EnglishScriptEF"/>
                <w:b/>
                <w:i w:val="0"/>
                <w:color w:val="000000"/>
                <w:sz w:val="16"/>
              </w:rPr>
              <w:t xml:space="preserve"> E </w:t>
            </w:r>
          </w:p>
          <w:p>
            <w:pPr>
              <w:autoSpaceDN w:val="0"/>
              <w:autoSpaceDE w:val="0"/>
              <w:widowControl/>
              <w:spacing w:line="218" w:lineRule="exact" w:before="42" w:after="0"/>
              <w:ind w:left="0" w:right="20" w:firstLine="0"/>
              <w:jc w:val="both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curity of the session key in authentication schema. An attacker </w:t>
            </w:r>
            <w:r>
              <w:rPr>
                <w:rFonts w:ascii="EnglishScriptEF" w:hAnsi="EnglishScriptEF" w:eastAsia="EnglishScriptEF"/>
                <w:b/>
                <w:i w:val="0"/>
                <w:color w:val="000000"/>
                <w:sz w:val="16"/>
              </w:rPr>
              <w:t xml:space="preserve">A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selects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randomly a set of attributes to generate the access control policy </w:t>
            </w:r>
            <w:r>
              <w:rPr>
                <w:rFonts w:ascii="EnglishScriptEF" w:hAnsi="EnglishScriptEF" w:eastAsia="EnglishScriptEF"/>
                <w:b/>
                <w:i w:val="0"/>
                <w:color w:val="000000"/>
                <w:sz w:val="16"/>
              </w:rPr>
              <w:t>P</w:t>
            </w:r>
            <w:r>
              <w:rPr>
                <w:w w:val="101.43273093483664"/>
                <w:rFonts w:ascii="Charis SIL" w:hAnsi="Charis SIL" w:eastAsia="Charis SIL"/>
                <w:b w:val="0"/>
                <w:i w:val="0"/>
                <w:color w:val="000000"/>
                <w:sz w:val="11"/>
              </w:rPr>
              <w:t xml:space="preserve">*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and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then send it to the adversary </w:t>
            </w:r>
            <w:r>
              <w:rPr>
                <w:rFonts w:ascii="EnglishScriptEF" w:hAnsi="EnglishScriptEF" w:eastAsia="EnglishScriptEF"/>
                <w:b/>
                <w:i w:val="0"/>
                <w:color w:val="000000"/>
                <w:sz w:val="16"/>
              </w:rPr>
              <w:t>B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 . The adversary </w:t>
            </w:r>
            <w:r>
              <w:rPr>
                <w:rFonts w:ascii="EnglishScriptEF" w:hAnsi="EnglishScriptEF" w:eastAsia="EnglishScriptEF"/>
                <w:b/>
                <w:i w:val="0"/>
                <w:color w:val="000000"/>
                <w:sz w:val="16"/>
              </w:rPr>
              <w:t xml:space="preserve">B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runs 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 xml:space="preserve">Setup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algorithm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to generate the public key and then send it to. </w:t>
            </w:r>
            <w:r>
              <w:rPr>
                <w:rFonts w:ascii="EnglishScriptEF" w:hAnsi="EnglishScriptEF" w:eastAsia="EnglishScriptEF"/>
                <w:b/>
                <w:i w:val="0"/>
                <w:color w:val="000000"/>
                <w:sz w:val="16"/>
              </w:rPr>
              <w:t>A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 xml:space="preserve"> .</w:t>
            </w:r>
          </w:p>
          <w:p>
            <w:pPr>
              <w:autoSpaceDN w:val="0"/>
              <w:tabs>
                <w:tab w:pos="278" w:val="left"/>
              </w:tabs>
              <w:autoSpaceDE w:val="0"/>
              <w:widowControl/>
              <w:spacing w:line="248" w:lineRule="exact" w:before="172" w:after="0"/>
              <w:ind w:left="240" w:right="0" w:firstLine="0"/>
              <w:jc w:val="left"/>
            </w:pPr>
            <w:r>
              <w:rPr>
                <w:rFonts w:ascii="Charis SIL" w:hAnsi="Charis SIL" w:eastAsia="Charis SIL"/>
                <w:b/>
                <w:i w:val="0"/>
                <w:color w:val="000000"/>
                <w:sz w:val="16"/>
              </w:rPr>
              <w:t xml:space="preserve">Phase 1.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In this phase, the attacker </w:t>
            </w:r>
            <w:r>
              <w:rPr>
                <w:rFonts w:ascii="EnglishScriptEF" w:hAnsi="EnglishScriptEF" w:eastAsia="EnglishScriptEF"/>
                <w:b/>
                <w:i w:val="0"/>
                <w:color w:val="000000"/>
                <w:sz w:val="16"/>
              </w:rPr>
              <w:t xml:space="preserve">A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answers private key queries.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He can adaptively submit set 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S</w:t>
            </w:r>
            <w:r>
              <w:rPr>
                <w:w w:val="101.43273093483664"/>
                <w:rFonts w:ascii="Charis SIL" w:hAnsi="Charis SIL" w:eastAsia="Charis SIL"/>
                <w:b w:val="0"/>
                <w:i/>
                <w:color w:val="000000"/>
                <w:sz w:val="11"/>
              </w:rPr>
              <w:t xml:space="preserve">i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to </w:t>
            </w:r>
            <w:r>
              <w:rPr>
                <w:rFonts w:ascii="EnglishScriptEF" w:hAnsi="EnglishScriptEF" w:eastAsia="EnglishScriptEF"/>
                <w:b/>
                <w:i w:val="0"/>
                <w:color w:val="000000"/>
                <w:sz w:val="16"/>
              </w:rPr>
              <w:t xml:space="preserve">B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where 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S</w:t>
            </w:r>
            <w:r>
              <w:rPr>
                <w:w w:val="101.43273093483664"/>
                <w:rFonts w:ascii="Charis SIL" w:hAnsi="Charis SIL" w:eastAsia="Charis SIL"/>
                <w:b w:val="0"/>
                <w:i/>
                <w:color w:val="000000"/>
                <w:sz w:val="11"/>
              </w:rPr>
              <w:t xml:space="preserve">i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does not satisfy </w:t>
            </w:r>
            <w:r>
              <w:rPr>
                <w:rFonts w:ascii="EnglishScriptEF" w:hAnsi="EnglishScriptEF" w:eastAsia="EnglishScriptEF"/>
                <w:b/>
                <w:i w:val="0"/>
                <w:color w:val="000000"/>
                <w:sz w:val="16"/>
              </w:rPr>
              <w:t>P</w:t>
            </w:r>
            <w:r>
              <w:rPr>
                <w:w w:val="101.43273093483664"/>
                <w:rFonts w:ascii="Charis SIL" w:hAnsi="Charis SIL" w:eastAsia="Charis SIL"/>
                <w:b w:val="0"/>
                <w:i w:val="0"/>
                <w:color w:val="000000"/>
                <w:sz w:val="11"/>
              </w:rPr>
              <w:t xml:space="preserve">*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and </w:t>
            </w:r>
            <w:r>
              <w:rPr>
                <w:rFonts w:ascii="EnglishScriptEF" w:hAnsi="EnglishScriptEF" w:eastAsia="EnglishScriptEF"/>
                <w:b/>
                <w:i w:val="0"/>
                <w:color w:val="000000"/>
                <w:sz w:val="16"/>
              </w:rPr>
              <w:t xml:space="preserve">B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responds with the secret key </w:t>
            </w:r>
            <w:r>
              <w:rPr>
                <w:rFonts w:ascii="EnglishScriptEF" w:hAnsi="EnglishScriptEF" w:eastAsia="EnglishScriptEF"/>
                <w:b/>
                <w:i w:val="0"/>
                <w:color w:val="000000"/>
                <w:sz w:val="16"/>
              </w:rPr>
              <w:t>S K</w:t>
            </w:r>
            <w:r>
              <w:rPr>
                <w:w w:val="101.43273093483664"/>
                <w:rFonts w:ascii="Charis SIL" w:hAnsi="Charis SIL" w:eastAsia="Charis SIL"/>
                <w:b w:val="0"/>
                <w:i w:val="0"/>
                <w:color w:val="000000"/>
                <w:sz w:val="11"/>
              </w:rPr>
              <w:t xml:space="preserve">*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corresponding to the sub-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mitted set 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S</w:t>
            </w:r>
            <w:r>
              <w:rPr>
                <w:w w:val="101.43273093483664"/>
                <w:rFonts w:ascii="Charis SIL" w:hAnsi="Charis SIL" w:eastAsia="Charis SIL"/>
                <w:b w:val="0"/>
                <w:i/>
                <w:color w:val="000000"/>
                <w:sz w:val="11"/>
              </w:rPr>
              <w:t>i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. The attacker </w:t>
            </w:r>
            <w:r>
              <w:rPr>
                <w:rFonts w:ascii="EnglishScriptEF" w:hAnsi="EnglishScriptEF" w:eastAsia="EnglishScriptEF"/>
                <w:b/>
                <w:i w:val="0"/>
                <w:color w:val="000000"/>
                <w:sz w:val="16"/>
              </w:rPr>
              <w:t xml:space="preserve">A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sends two messages 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m</w:t>
            </w:r>
            <w:r>
              <w:rPr>
                <w:w w:val="101.43273093483664"/>
                <w:rFonts w:ascii="Charis SIL" w:hAnsi="Charis SIL" w:eastAsia="Charis SIL"/>
                <w:b w:val="0"/>
                <w:i w:val="0"/>
                <w:color w:val="000000"/>
                <w:sz w:val="11"/>
              </w:rPr>
              <w:t xml:space="preserve">0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and 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m</w:t>
            </w:r>
            <w:r>
              <w:rPr>
                <w:w w:val="101.43273093483664"/>
                <w:rFonts w:ascii="Charis SIL" w:hAnsi="Charis SIL" w:eastAsia="Charis SIL"/>
                <w:b w:val="0"/>
                <w:i w:val="0"/>
                <w:color w:val="000000"/>
                <w:sz w:val="11"/>
              </w:rPr>
              <w:t xml:space="preserve">1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of same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size to the simulator. The simulator chooses a 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β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value. It creates 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C</w:t>
            </w:r>
            <w:r>
              <w:rPr>
                <w:w w:val="101.43273093483664"/>
                <w:rFonts w:ascii="Charis SIL" w:hAnsi="Charis SIL" w:eastAsia="Charis SIL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 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M</w:t>
            </w:r>
            <w:r>
              <w:rPr>
                <w:w w:val="101.43273093483664"/>
                <w:rFonts w:ascii="Charis SIL" w:hAnsi="Charis SIL" w:eastAsia="Charis SIL"/>
                <w:b w:val="0"/>
                <w:i w:val="0"/>
                <w:color w:val="000000"/>
                <w:sz w:val="11"/>
              </w:rPr>
              <w:t>1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 xml:space="preserve"> .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e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H</w:t>
            </w:r>
            <w:r>
              <w:rPr>
                <w:w w:val="101.43273093483664"/>
                <w:rFonts w:ascii="Charis SIL" w:hAnsi="Charis SIL" w:eastAsia="Charis SIL"/>
                <w:b w:val="0"/>
                <w:i w:val="0"/>
                <w:color w:val="000000"/>
                <w:sz w:val="11"/>
              </w:rPr>
              <w:t>1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id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 xml:space="preserve"> g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</w:t>
            </w:r>
            <w:r>
              <w:rPr>
                <w:w w:val="96.17913564046225"/>
                <w:rFonts w:ascii="STIX" w:hAnsi="STIX" w:eastAsia="STIX"/>
                <w:b w:val="0"/>
                <w:i/>
                <w:color w:val="000000"/>
                <w:sz w:val="12"/>
              </w:rPr>
              <w:t>α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 xml:space="preserve"> e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H</w:t>
            </w:r>
            <w:r>
              <w:rPr>
                <w:w w:val="101.43273093483664"/>
                <w:rFonts w:ascii="Charis SIL" w:hAnsi="Charis SIL" w:eastAsia="Charis SIL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id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 xml:space="preserve"> g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</w:t>
            </w:r>
            <w:r>
              <w:rPr>
                <w:w w:val="101.43273093483664"/>
                <w:rFonts w:ascii="STIX" w:hAnsi="STIX" w:eastAsia="STIX"/>
                <w:b w:val="0"/>
                <w:i/>
                <w:color w:val="000000"/>
                <w:sz w:val="11"/>
              </w:rPr>
              <w:t>β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</w:t>
            </w:r>
            <w:r>
              <w:rPr>
                <w:w w:val="101.43273093483664"/>
                <w:rFonts w:ascii="Charis SIL" w:hAnsi="Charis SIL" w:eastAsia="Charis SIL"/>
                <w:b w:val="0"/>
                <w:i/>
                <w:color w:val="000000"/>
                <w:sz w:val="11"/>
              </w:rPr>
              <w:t xml:space="preserve">s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and 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C</w:t>
            </w:r>
            <w:r>
              <w:rPr>
                <w:w w:val="101.43273093483664"/>
                <w:rFonts w:ascii="Charis SIL" w:hAnsi="Charis SIL" w:eastAsia="Charis SIL"/>
                <w:b w:val="0"/>
                <w:i w:val="0"/>
                <w:color w:val="000000"/>
                <w:sz w:val="11"/>
              </w:rPr>
              <w:t>1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 xml:space="preserve"> g</w:t>
            </w:r>
            <w:r>
              <w:rPr>
                <w:w w:val="101.43273093483664"/>
                <w:rFonts w:ascii="Charis SIL" w:hAnsi="Charis SIL" w:eastAsia="Charis SIL"/>
                <w:b w:val="0"/>
                <w:i/>
                <w:color w:val="000000"/>
                <w:sz w:val="11"/>
              </w:rPr>
              <w:t>s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. It will also choose </w:t>
            </w:r>
          </w:p>
          <w:p>
            <w:pPr>
              <w:autoSpaceDN w:val="0"/>
              <w:autoSpaceDE w:val="0"/>
              <w:widowControl/>
              <w:spacing w:line="262" w:lineRule="exact" w:before="0" w:after="0"/>
              <w:ind w:left="238" w:right="0" w:firstLine="0"/>
              <w:jc w:val="left"/>
            </w:pPr>
            <w:r>
              <w:rPr>
                <w:rFonts w:ascii="Charis SIL" w:hAnsi="Charis SIL" w:eastAsia="Charis SIL"/>
                <w:b/>
                <w:i w:val="0"/>
                <w:color w:val="000000"/>
                <w:sz w:val="16"/>
              </w:rPr>
              <w:t xml:space="preserve">Phase 2.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The adversary </w:t>
            </w:r>
            <w:r>
              <w:rPr>
                <w:rFonts w:ascii="EnglishScriptEF" w:hAnsi="EnglishScriptEF" w:eastAsia="EnglishScriptEF"/>
                <w:b/>
                <w:i w:val="0"/>
                <w:color w:val="000000"/>
                <w:sz w:val="16"/>
              </w:rPr>
              <w:t xml:space="preserve">A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will eventually output 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β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random 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x</w:t>
            </w:r>
            <w:r>
              <w:rPr>
                <w:w w:val="101.43273093483664"/>
                <w:rFonts w:ascii="Charis SIL" w:hAnsi="Charis SIL" w:eastAsia="Charis SIL"/>
                <w:b w:val="0"/>
                <w:i w:val="0"/>
                <w:color w:val="000000"/>
                <w:sz w:val="11"/>
              </w:rPr>
              <w:t>1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 xml:space="preserve"> x</w:t>
            </w:r>
            <w:r>
              <w:rPr>
                <w:w w:val="101.43273093483664"/>
                <w:rFonts w:ascii="Charis SIL" w:hAnsi="Charis SIL" w:eastAsia="Charis SIL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 …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.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x</w:t>
            </w:r>
            <w:r>
              <w:rPr>
                <w:w w:val="101.43273093483664"/>
                <w:rFonts w:ascii="Charis SIL" w:hAnsi="Charis SIL" w:eastAsia="Charis SIL"/>
                <w:b w:val="0"/>
                <w:i/>
                <w:color w:val="000000"/>
                <w:sz w:val="11"/>
              </w:rPr>
              <w:t>n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∈</w:t>
            </w:r>
            <w:r>
              <w:rPr>
                <w:rFonts w:ascii="TimesMath" w:hAnsi="TimesMath" w:eastAsia="TimesMath"/>
                <w:b w:val="0"/>
                <w:i w:val="0"/>
                <w:color w:val="000000"/>
                <w:sz w:val="16"/>
              </w:rPr>
              <w:t xml:space="preserve"> Z</w:t>
            </w:r>
            <w:r>
              <w:rPr>
                <w:w w:val="101.43273093483664"/>
                <w:rFonts w:ascii="Charis SIL" w:hAnsi="Charis SIL" w:eastAsia="Charis SIL"/>
                <w:b w:val="0"/>
                <w:i/>
                <w:color w:val="000000"/>
                <w:sz w:val="11"/>
              </w:rPr>
              <w:t xml:space="preserve">p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and generate the ciphertext components 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C</w:t>
            </w:r>
            <w:r>
              <w:rPr>
                <w:w w:val="101.43273093483664"/>
                <w:rFonts w:ascii="Charis SIL" w:hAnsi="Charis SIL" w:eastAsia="Charis SIL"/>
                <w:b w:val="0"/>
                <w:i/>
                <w:color w:val="000000"/>
                <w:sz w:val="11"/>
              </w:rPr>
              <w:t xml:space="preserve">i 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8"/>
              </w:rPr>
              <w:t>′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 of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 β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. The simu-</w:t>
            </w:r>
          </w:p>
          <w:p>
            <w:pPr>
              <w:autoSpaceDN w:val="0"/>
              <w:autoSpaceDE w:val="0"/>
              <w:widowControl/>
              <w:spacing w:line="342" w:lineRule="exact" w:before="0" w:after="0"/>
              <w:ind w:left="240" w:right="0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lator then outputs zero if 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β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 β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Finally, the Advantage of </w:t>
            </w:r>
            <w:r>
              <w:rPr>
                <w:rFonts w:ascii="EnglishScriptEF" w:hAnsi="EnglishScriptEF" w:eastAsia="EnglishScriptEF"/>
                <w:b/>
                <w:i w:val="0"/>
                <w:color w:val="000000"/>
                <w:sz w:val="16"/>
              </w:rPr>
              <w:t xml:space="preserve">B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is as follows: 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8"/>
              </w:rPr>
              <w:t>′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 ; otherwise, it outputs one if 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β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∕=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 β</w:t>
            </w:r>
            <w:r>
              <w:rPr>
                <w:w w:val="101.43273093483664"/>
                <w:rFonts w:ascii="Charis SIL" w:hAnsi="Charis SIL" w:eastAsia="Charis SIL"/>
                <w:b w:val="0"/>
                <w:i w:val="0"/>
                <w:color w:val="000000"/>
                <w:sz w:val="11"/>
              </w:rPr>
              <w:t>0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. </w:t>
            </w:r>
          </w:p>
        </w:tc>
      </w:tr>
      <w:tr>
        <w:trPr>
          <w:trHeight w:hRule="exact" w:val="540"/>
        </w:trPr>
        <w:tc>
          <w:tcPr>
            <w:tcW w:type="dxa" w:w="42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8" w:lineRule="exact" w:before="30" w:after="0"/>
              <w:ind w:left="0" w:right="0" w:firstLine="0"/>
              <w:jc w:val="center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Adv</w:t>
            </w:r>
            <w:r>
              <w:rPr>
                <w:w w:val="103.61000061035158"/>
                <w:rFonts w:ascii="EnglishScriptEF" w:hAnsi="EnglishScriptEF" w:eastAsia="EnglishScriptEF"/>
                <w:b/>
                <w:i w:val="0"/>
                <w:color w:val="000000"/>
                <w:sz w:val="10"/>
              </w:rPr>
              <w:t>B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  <w:u w:val="single"/>
              </w:rPr>
              <w:t xml:space="preserve">1 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  <w:u w:val="single"/>
              </w:rPr>
              <w:t>2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Pr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{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β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8"/>
              </w:rPr>
              <w:t>′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 β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 xml:space="preserve"> /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 β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 1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}] +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 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1 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Pr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{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β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8"/>
              </w:rPr>
              <w:t>′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 β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 xml:space="preserve"> /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 β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 0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}] −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 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1 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EnglishScriptEF" w:hAnsi="EnglishScriptEF" w:eastAsia="EnglishScriptEF"/>
                <w:b/>
                <w:i w:val="0"/>
                <w:color w:val="000000"/>
                <w:sz w:val="16"/>
              </w:rPr>
              <w:t xml:space="preserve"> E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8" w:lineRule="exact" w:before="6" w:after="0"/>
              <w:ind w:left="0" w:right="0" w:firstLine="0"/>
              <w:jc w:val="center"/>
            </w:pP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  <w:u w:val="single"/>
              </w:rPr>
              <w:t xml:space="preserve">1 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  <w:u w:val="single"/>
              </w:rPr>
              <w:t>2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+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 Adv</w:t>
            </w:r>
            <w:r>
              <w:rPr>
                <w:w w:val="103.61000061035158"/>
                <w:rFonts w:ascii="EnglishScriptEF" w:hAnsi="EnglishScriptEF" w:eastAsia="EnglishScriptEF"/>
                <w:b/>
                <w:i w:val="0"/>
                <w:color w:val="000000"/>
                <w:sz w:val="10"/>
              </w:rPr>
              <w:t xml:space="preserve">A </w:t>
            </w:r>
          </w:p>
        </w:tc>
      </w:tr>
      <w:tr>
        <w:trPr>
          <w:trHeight w:hRule="exact" w:val="542"/>
        </w:trPr>
        <w:tc>
          <w:tcPr>
            <w:tcW w:type="dxa" w:w="508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103.61000061035158"/>
                <w:rFonts w:ascii="EnglishScriptEF" w:hAnsi="EnglishScriptEF" w:eastAsia="EnglishScriptEF"/>
                <w:b/>
                <w:i w:val="0"/>
                <w:color w:val="000000"/>
                <w:sz w:val="10"/>
                <w:u w:val="single"/>
              </w:rPr>
              <w:t xml:space="preserve">E </w:t>
            </w:r>
            <w:r>
              <w:rPr>
                <w:w w:val="103.61000061035158"/>
                <w:rFonts w:ascii="Charis SIL" w:hAnsi="Charis SIL" w:eastAsia="Charis SIL"/>
                <w:b w:val="0"/>
                <w:i w:val="0"/>
                <w:color w:val="000000"/>
                <w:sz w:val="10"/>
                <w:u w:val="single"/>
              </w:rPr>
              <w:t xml:space="preserve">2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is also with not negligible advantage.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Consequently, as Adv</w:t>
            </w:r>
            <w:r>
              <w:rPr>
                <w:w w:val="103.61000061035158"/>
                <w:rFonts w:ascii="EnglishScriptEF" w:hAnsi="EnglishScriptEF" w:eastAsia="EnglishScriptEF"/>
                <w:b/>
                <w:i w:val="0"/>
                <w:color w:val="000000"/>
                <w:sz w:val="10"/>
              </w:rPr>
              <w:t>A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EnglishScriptEF" w:hAnsi="EnglishScriptEF" w:eastAsia="EnglishScriptEF"/>
                <w:b/>
                <w:i w:val="0"/>
                <w:color w:val="000000"/>
                <w:sz w:val="16"/>
              </w:rPr>
              <w:t xml:space="preserve"> E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is assumed not to be negligible, Adv</w:t>
            </w:r>
            <w:r>
              <w:rPr>
                <w:w w:val="103.61000061035158"/>
                <w:rFonts w:ascii="EnglishScriptEF" w:hAnsi="EnglishScriptEF" w:eastAsia="EnglishScriptEF"/>
                <w:b/>
                <w:i w:val="0"/>
                <w:color w:val="000000"/>
                <w:sz w:val="10"/>
              </w:rPr>
              <w:t>B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8" w:space="0"/>
            <w:col w:w="5340" w:space="0"/>
            <w:col w:w="10468" w:space="0"/>
            <w:col w:w="5120" w:space="0"/>
            <w:col w:w="5348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2" w:space="0"/>
            <w:col w:w="5348" w:space="0"/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4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8" w:space="0"/>
            <w:col w:w="5340" w:space="0"/>
            <w:col w:w="10468" w:space="0"/>
            <w:col w:w="5120" w:space="0"/>
            <w:col w:w="5348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2" w:space="0"/>
            <w:col w:w="5348" w:space="0"/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B. Annane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14 (2022) 100150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696460" cy="11303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1130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32" w:after="406"/>
        <w:ind w:left="0" w:right="0" w:firstLine="0"/>
        <w:jc w:val="center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6.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Encryption time versus numbers of sensitive attributes. 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8" w:space="0"/>
            <w:col w:w="5340" w:space="0"/>
            <w:col w:w="10468" w:space="0"/>
            <w:col w:w="5120" w:space="0"/>
            <w:col w:w="5348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2" w:space="0"/>
            <w:col w:w="5348" w:space="0"/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49600" cy="245364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453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132" w:after="0"/>
        <w:ind w:left="0" w:right="0" w:firstLine="0"/>
        <w:jc w:val="left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7.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Execution time comparison between the original CP-ABE and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CxCP-ABE. </w:t>
      </w:r>
    </w:p>
    <w:p>
      <w:pPr>
        <w:autoSpaceDN w:val="0"/>
        <w:autoSpaceDE w:val="0"/>
        <w:widowControl/>
        <w:spacing w:line="240" w:lineRule="auto" w:before="400" w:after="0"/>
        <w:ind w:left="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48330" cy="258190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5819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132" w:after="0"/>
        <w:ind w:left="0" w:right="0" w:firstLine="0"/>
        <w:jc w:val="left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8.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Computational time comparison between the proposed schema and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>other existing works [</w:t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t>4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>,</w:t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t>8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>,</w:t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t>14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]. </w:t>
      </w:r>
    </w:p>
    <w:p>
      <w:pPr>
        <w:autoSpaceDN w:val="0"/>
        <w:autoSpaceDE w:val="0"/>
        <w:widowControl/>
        <w:spacing w:line="245" w:lineRule="auto" w:before="196" w:after="0"/>
        <w:ind w:left="0" w:right="52" w:firstLine="0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algorithm is much better than the original CP-ABE in checking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reducing access policy attributes in terms of sensitivity, stability,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total execution time.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8" w:space="0"/>
            <w:col w:w="5340" w:space="0"/>
            <w:col w:w="10468" w:space="0"/>
            <w:col w:w="5120" w:space="0"/>
            <w:col w:w="5348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2" w:space="0"/>
            <w:col w:w="5348" w:space="0"/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2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9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8" w:space="0"/>
            <w:col w:w="5340" w:space="0"/>
            <w:col w:w="10468" w:space="0"/>
            <w:col w:w="5120" w:space="0"/>
            <w:col w:w="5348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2" w:space="0"/>
            <w:col w:w="5348" w:space="0"/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16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B. Annane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14 (2022) 100150</w:t>
      </w:r>
    </w:p>
    <w:p>
      <w:pPr>
        <w:sectPr>
          <w:pgSz w:w="11906" w:h="15874"/>
          <w:pgMar w:top="336" w:right="720" w:bottom="288" w:left="752" w:header="720" w:footer="720" w:gutter="0"/>
          <w:cols w:space="720" w:num="1" w:equalWidth="0">
            <w:col w:w="10433" w:space="0"/>
            <w:col w:w="5120" w:space="0"/>
            <w:col w:w="5348" w:space="0"/>
            <w:col w:w="10468" w:space="0"/>
            <w:col w:w="5128" w:space="0"/>
            <w:col w:w="5340" w:space="0"/>
            <w:col w:w="10468" w:space="0"/>
            <w:col w:w="5120" w:space="0"/>
            <w:col w:w="5348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2" w:space="0"/>
            <w:col w:w="5348" w:space="0"/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tabs>
          <w:tab w:pos="328" w:val="left"/>
        </w:tabs>
        <w:autoSpaceDE w:val="0"/>
        <w:widowControl/>
        <w:spacing w:line="245" w:lineRule="auto" w:before="0" w:after="0"/>
        <w:ind w:left="68" w:right="288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[2]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5" w:history="1">
          <w:r>
            <w:rPr>
              <w:rStyle w:val="Hyperlink"/>
            </w:rPr>
            <w:t>Sivan R, Zukarnain ZA. Security and privacy in cloud-based E-health system.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tab/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5" w:history="1">
          <w:r>
            <w:rPr>
              <w:rStyle w:val="Hyperlink"/>
            </w:rPr>
            <w:t>Symmetry 2021;13(5):742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240" w:lineRule="auto" w:before="0" w:after="0"/>
        <w:ind w:left="68" w:right="0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[3]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5" w:history="1">
          <w:r>
            <w:rPr>
              <w:rStyle w:val="Hyperlink"/>
            </w:rPr>
            <w:t xml:space="preserve">Hu VC, Ferraiolo D, Kuhn 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6" w:history="1">
          <w:r>
            <w:rPr>
              <w:rStyle w:val="Hyperlink"/>
            </w:rPr>
            <w:t>R, Friedman AR, Lang AJ, Cogdell MM, Scarfone K.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</w:p>
    <w:p>
      <w:pPr>
        <w:autoSpaceDN w:val="0"/>
        <w:autoSpaceDE w:val="0"/>
        <w:widowControl/>
        <w:spacing w:line="164" w:lineRule="exact" w:before="44" w:after="0"/>
        <w:ind w:left="328" w:right="288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6" w:history="1">
          <w:r>
            <w:rPr>
              <w:rStyle w:val="Hyperlink"/>
            </w:rPr>
            <w:t>Guide to attribute based access control (ABAC) definition and consideration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6" w:history="1">
          <w:r>
            <w:rPr>
              <w:rStyle w:val="Hyperlink"/>
            </w:rPr>
            <w:t>s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6" w:history="1">
          <w:r>
            <w:rPr>
              <w:rStyle w:val="Hyperlink"/>
            </w:rPr>
            <w:t>(draft)vol. 800. NIST special publication; 2013. p. 1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46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6" w:history="1">
          <w:r>
            <w:rPr>
              <w:rStyle w:val="Hyperlink"/>
            </w:rPr>
            <w:t>54. 162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62" w:lineRule="exact" w:before="46" w:after="0"/>
        <w:ind w:left="328" w:right="60" w:hanging="260"/>
        <w:jc w:val="both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[4]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Tuli S, Basumatary N, Gill SS, Kahani M, Arya RC, Wander GS,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 Buyya R. HealthFog: 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“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an ensemble deep learning-based smart healthcare system for automatic diagnosis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of heart diseases in integrated IoT and fog computing environments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”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, vol. 104. </w:t>
      </w:r>
    </w:p>
    <w:p>
      <w:pPr>
        <w:autoSpaceDN w:val="0"/>
        <w:autoSpaceDE w:val="0"/>
        <w:widowControl/>
        <w:spacing w:line="154" w:lineRule="exact" w:before="60" w:after="0"/>
        <w:ind w:left="328" w:right="0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Future Generation Computer Systems; 2020. p. 187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200.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7" w:history="1">
          <w:r>
            <w:rPr>
              <w:rStyle w:val="Hyperlink"/>
            </w:rPr>
            <w:t>https://doi.org/10.1016/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7" w:history="1">
          <w:r>
            <w:rPr>
              <w:rStyle w:val="Hyperlink"/>
            </w:rPr>
            <w:t>j.future.2019.10.043.2019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58" w:lineRule="exact" w:before="52" w:after="0"/>
        <w:ind w:left="328" w:right="0" w:hanging="26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[5]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Zou D, Chen S, Han S. De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sign of a practical WSN based fingerprint localization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system. Mobile Network Appl 2020;25:806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18.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8" w:history="1">
          <w:r>
            <w:rPr>
              <w:rStyle w:val="Hyperlink"/>
            </w:rPr>
            <w:t>https://doi.org/10.1007/s11036-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8" w:history="1">
          <w:r>
            <w:rPr>
              <w:rStyle w:val="Hyperlink"/>
            </w:rPr>
            <w:t>019-01298-4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48" w:after="0"/>
        <w:ind w:left="328" w:right="0" w:hanging="26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[6]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Jegadeesan S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, Azees M, Malarvizhi P, Manogaran G, Chilamkurti N, </w:t>
      </w:r>
      <w:r>
        <w:br/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Varatharajan R, Hsu C. An efficient anonymous mutual authentication technique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for providing secure communication in mobile cloud computing for smart city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applications. Sustain Cities Soc 2019;49(March):101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522.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9" w:history="1">
          <w:r>
            <w:rPr>
              <w:rStyle w:val="Hyperlink"/>
            </w:rPr>
            <w:t>https://doi.org/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9" w:history="1">
          <w:r>
            <w:rPr>
              <w:rStyle w:val="Hyperlink"/>
            </w:rPr>
            <w:t>10.1016/j.scs.2019.101522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4" w:lineRule="exact" w:before="44" w:after="0"/>
        <w:ind w:left="328" w:right="0" w:hanging="26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[7]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0" w:history="1">
          <w:r>
            <w:rPr>
              <w:rStyle w:val="Hyperlink"/>
            </w:rPr>
            <w:t>Hou Y, Garg S, Hui L, Jayak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0" w:history="1">
          <w:r>
            <w:rPr>
              <w:rStyle w:val="Hyperlink"/>
            </w:rPr>
            <w:t>ody DNK, Jin R, Hossain MS. A data security enhanced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0" w:history="1">
          <w:r>
            <w:rPr>
              <w:rStyle w:val="Hyperlink"/>
            </w:rPr>
            <w:t>access control mechanism in mobile edge computing. IEEE Access 2020;8: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0" w:history="1">
          <w:r>
            <w:rPr>
              <w:rStyle w:val="Hyperlink"/>
            </w:rPr>
            <w:t>136119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50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0" w:history="1">
          <w:r>
            <w:rPr>
              <w:rStyle w:val="Hyperlink"/>
            </w:rPr>
            <w:t>30. https://doi.org/10.1109/ACCESS.2020.3011477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60" w:lineRule="exact" w:before="48" w:after="0"/>
        <w:ind w:left="328" w:right="0" w:hanging="26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[8]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Aftab MU, Qin Z, Quadri SF, Javed A, Nie X. Role-based AB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AC model for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implementing least privileges. In: Proceedings of the 2019 8th international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conference on software and computer applications; 2019. p. 467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71.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1" w:history="1">
          <w:r>
            <w:rPr>
              <w:rStyle w:val="Hyperlink"/>
            </w:rPr>
            <w:t>https://doi.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1" w:history="1">
          <w:r>
            <w:rPr>
              <w:rStyle w:val="Hyperlink"/>
            </w:rPr>
            <w:t>org/10.1145/3316615.33166674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245" w:lineRule="auto" w:before="0" w:after="0"/>
        <w:ind w:left="328" w:right="0" w:hanging="26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[9]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Khare N, Preethi D, Chiranji L, Sw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eta B, Geeta S, Saurabh S, Byungun Y. SMO-DNN: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spider monkey optimization and deep neural network hybrid classifier model for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intrusion detection. Electronics 2020;9(4):692.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2" w:history="1">
          <w:r>
            <w:rPr>
              <w:rStyle w:val="Hyperlink"/>
            </w:rPr>
            <w:t>https://doi.org/10.3390/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br/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2" w:history="1">
          <w:r>
            <w:rPr>
              <w:rStyle w:val="Hyperlink"/>
            </w:rPr>
            <w:t>electronics9040692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245" w:lineRule="auto" w:before="0" w:after="0"/>
        <w:ind w:left="330" w:right="0" w:hanging="33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[10]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Singh S, Pradip K, S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harma BY, Mohammad S, Gi Hwan C, In-Ho R. Convergence of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Blockchain and artificial intelligence in IoT network for the sustainable smart city. </w:t>
      </w:r>
    </w:p>
    <w:p>
      <w:pPr>
        <w:autoSpaceDN w:val="0"/>
        <w:autoSpaceDE w:val="0"/>
        <w:widowControl/>
        <w:spacing w:line="245" w:lineRule="auto" w:before="0" w:after="0"/>
        <w:ind w:left="330" w:right="144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Sustain Cities Soc 2020;63:102364.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3" w:history="1">
          <w:r>
            <w:rPr>
              <w:rStyle w:val="Hyperlink"/>
            </w:rPr>
            <w:t>https://doi.org/10.1016/j.scs.2020.102364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.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2020. </w:t>
      </w:r>
    </w:p>
    <w:p>
      <w:pPr>
        <w:autoSpaceDN w:val="0"/>
        <w:autoSpaceDE w:val="0"/>
        <w:widowControl/>
        <w:spacing w:line="245" w:lineRule="auto" w:before="0" w:after="0"/>
        <w:ind w:left="330" w:right="0" w:hanging="33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[11] Nagasubramanian G, Kumar R, Rizwan S, Amir P. Securing e-health records using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keyless signature infrastructure blockchain technology in the cloud. Neural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Comput Appl 2018;1.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54" w:history="1">
          <w:r>
            <w:rPr>
              <w:rStyle w:val="Hyperlink"/>
            </w:rPr>
            <w:t>https://doi.org/10.1007/s00521-018-3915-1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. 10.1016/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B978-0-12-819593-2.0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 xml:space="preserve">0004-2. </w:t>
          </w:r>
        </w:hyperlink>
      </w:r>
    </w:p>
    <w:p>
      <w:pPr>
        <w:sectPr>
          <w:type w:val="continuous"/>
          <w:pgSz w:w="11906" w:h="15874"/>
          <w:pgMar w:top="336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120" w:space="0"/>
            <w:col w:w="5348" w:space="0"/>
            <w:col w:w="10468" w:space="0"/>
            <w:col w:w="5128" w:space="0"/>
            <w:col w:w="5340" w:space="0"/>
            <w:col w:w="10468" w:space="0"/>
            <w:col w:w="5120" w:space="0"/>
            <w:col w:w="5348" w:space="0"/>
            <w:col w:w="10468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2" w:space="0"/>
            <w:col w:w="5348" w:space="0"/>
            <w:col w:w="10470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8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10</w:t>
      </w:r>
    </w:p>
    <w:sectPr w:rsidR="00FC693F" w:rsidRPr="0006063C" w:rsidSect="00034616">
      <w:type w:val="nextColumn"/>
      <w:pgSz w:w="11906" w:h="15874"/>
      <w:pgMar w:top="336" w:right="720" w:bottom="288" w:left="752" w:header="720" w:footer="720" w:gutter="0"/>
      <w:cols w:space="720" w:num="2" w:equalWidth="0">
        <w:col w:w="5078" w:space="0"/>
        <w:col w:w="5355" w:space="0"/>
        <w:col w:w="10433" w:space="0"/>
        <w:col w:w="5120" w:space="0"/>
        <w:col w:w="5348" w:space="0"/>
        <w:col w:w="10468" w:space="0"/>
        <w:col w:w="5128" w:space="0"/>
        <w:col w:w="5340" w:space="0"/>
        <w:col w:w="10468" w:space="0"/>
        <w:col w:w="5120" w:space="0"/>
        <w:col w:w="5348" w:space="0"/>
        <w:col w:w="10468" w:space="0"/>
        <w:col w:w="10433" w:space="0"/>
        <w:col w:w="5120" w:space="0"/>
        <w:col w:w="5348" w:space="0"/>
        <w:col w:w="10468" w:space="0"/>
        <w:col w:w="5120" w:space="0"/>
        <w:col w:w="5348" w:space="0"/>
        <w:col w:w="10468" w:space="0"/>
        <w:col w:w="5120" w:space="0"/>
        <w:col w:w="5348" w:space="0"/>
        <w:col w:w="10468" w:space="0"/>
        <w:col w:w="5224" w:space="0"/>
        <w:col w:w="5244" w:space="0"/>
        <w:col w:w="10468" w:space="0"/>
        <w:col w:w="5122" w:space="0"/>
        <w:col w:w="5348" w:space="0"/>
        <w:col w:w="10470" w:space="0"/>
        <w:col w:w="10484" w:space="0"/>
        <w:col w:w="5240" w:space="0"/>
        <w:col w:w="5244" w:space="0"/>
        <w:col w:w="1048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22.100150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s://www.sciencedirect.com/journal/array" TargetMode="External"/><Relationship Id="rId13" Type="http://schemas.openxmlformats.org/officeDocument/2006/relationships/hyperlink" Target="mailto:baker11@live.fr" TargetMode="External"/><Relationship Id="rId14" Type="http://schemas.openxmlformats.org/officeDocument/2006/relationships/hyperlink" Target="mailto:a.alti@qu.edu.sa" TargetMode="External"/><Relationship Id="rId15" Type="http://schemas.openxmlformats.org/officeDocument/2006/relationships/hyperlink" Target="mailto:lakehal.abderrahim@gmail.com" TargetMode="External"/><Relationship Id="rId16" Type="http://schemas.openxmlformats.org/officeDocument/2006/relationships/hyperlink" Target="http://creativecommons.org/licenses/by/4.0/" TargetMode="External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hyperlink" Target="http://refhub.elsevier.com/S2590-0056(22)00019-4/sref2" TargetMode="External"/><Relationship Id="rId46" Type="http://schemas.openxmlformats.org/officeDocument/2006/relationships/hyperlink" Target="http://refhub.elsevier.com/S2590-0056(22)00019-4/sref3" TargetMode="External"/><Relationship Id="rId47" Type="http://schemas.openxmlformats.org/officeDocument/2006/relationships/hyperlink" Target="https://doi.org/10.1016/j.future.2019.10.043.2019" TargetMode="External"/><Relationship Id="rId48" Type="http://schemas.openxmlformats.org/officeDocument/2006/relationships/hyperlink" Target="https://doi.org/10.1007/s11036-019-01298-4" TargetMode="External"/><Relationship Id="rId49" Type="http://schemas.openxmlformats.org/officeDocument/2006/relationships/hyperlink" Target="https://doi.org/10.1016/j.scs.2019.101522" TargetMode="External"/><Relationship Id="rId50" Type="http://schemas.openxmlformats.org/officeDocument/2006/relationships/hyperlink" Target="http://refhub.elsevier.com/S2590-0056(22)00019-4/sref7" TargetMode="External"/><Relationship Id="rId51" Type="http://schemas.openxmlformats.org/officeDocument/2006/relationships/hyperlink" Target="https://doi.org/10.1145/3316615.33166674" TargetMode="External"/><Relationship Id="rId52" Type="http://schemas.openxmlformats.org/officeDocument/2006/relationships/hyperlink" Target="https://doi.org/10.3390/electronics9040692" TargetMode="External"/><Relationship Id="rId53" Type="http://schemas.openxmlformats.org/officeDocument/2006/relationships/hyperlink" Target="https://doi.org/10.1016/j.scs.2020.102364" TargetMode="External"/><Relationship Id="rId54" Type="http://schemas.openxmlformats.org/officeDocument/2006/relationships/hyperlink" Target="https://doi.org/10.1007/s00521-018-3915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