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6346190</wp:posOffset>
            </wp:positionH>
            <wp:positionV relativeFrom="page">
              <wp:posOffset>2151380</wp:posOffset>
            </wp:positionV>
            <wp:extent cx="359410" cy="35941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6337300</wp:posOffset>
            </wp:positionH>
            <wp:positionV relativeFrom="page">
              <wp:posOffset>2146300</wp:posOffset>
            </wp:positionV>
            <wp:extent cx="368300" cy="3683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58" w:lineRule="exact" w:before="0" w:after="222"/>
        <w:ind w:left="0" w:right="0" w:firstLine="0"/>
        <w:jc w:val="center"/>
      </w:pP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Artificia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t>l</w:t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Intelligence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in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the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Life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Sciences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1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(2021)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100009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494"/>
        <w:gridCol w:w="3494"/>
        <w:gridCol w:w="3494"/>
      </w:tblGrid>
      <w:tr>
        <w:trPr>
          <w:trHeight w:hRule="exact" w:val="432"/>
        </w:trPr>
        <w:tc>
          <w:tcPr>
            <w:tcW w:type="dxa" w:w="1944"/>
            <w:vMerge w:val="restart"/>
            <w:tcBorders>
              <w:top w:sz="2.0160000324249268" w:val="single" w:color="#000000"/>
              <w:bottom w:sz="23.975999832153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59460" cy="82931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460" cy="8293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74"/>
            <w:tcBorders>
              <w:top w:sz="2.01600003242492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4" w:after="0"/>
              <w:ind w:left="0" w:right="2364" w:firstLine="0"/>
              <w:jc w:val="righ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>Contents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>lists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>available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>at</w:t>
            </w:r>
            <w:r>
              <w:rPr>
                <w:rFonts w:ascii="CharisSIL" w:hAnsi="CharisSIL" w:eastAsia="CharisSIL"/>
                <w:b w:val="0"/>
                <w:i w:val="0"/>
                <w:color w:val="0080AC"/>
                <w:sz w:val="16"/>
              </w:rPr>
              <w:hyperlink r:id="rId11" w:history="1">
                <w:r>
                  <w:rPr>
                    <w:rStyle w:val="Hyperlink"/>
                  </w:rPr>
                  <w:t>ScienceDirect</w:t>
                </w:r>
              </w:hyperlink>
            </w:r>
          </w:p>
        </w:tc>
        <w:tc>
          <w:tcPr>
            <w:tcW w:type="dxa" w:w="1416"/>
            <w:vMerge w:val="restart"/>
            <w:tcBorders>
              <w:top w:sz="2.0160000324249268" w:val="single" w:color="#000000"/>
              <w:bottom w:sz="23.975999832153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31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1989" cy="901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89" cy="901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80"/>
        </w:trPr>
        <w:tc>
          <w:tcPr>
            <w:tcW w:type="dxa" w:w="3494"/>
            <w:vMerge/>
            <w:tcBorders>
              <w:top w:sz="2.0160000324249268" w:val="single" w:color="#000000"/>
              <w:bottom w:sz="23.97599983215332" w:val="single" w:color="#000000"/>
            </w:tcBorders>
          </w:tcPr>
          <w:p/>
        </w:tc>
        <w:tc>
          <w:tcPr>
            <w:tcW w:type="dxa" w:w="70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88" w:after="0"/>
              <w:ind w:left="770" w:right="0" w:firstLine="0"/>
              <w:jc w:val="lef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Artificial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Intelligence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in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the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Life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Sciences</w:t>
            </w:r>
          </w:p>
        </w:tc>
        <w:tc>
          <w:tcPr>
            <w:tcW w:type="dxa" w:w="3494"/>
            <w:vMerge/>
            <w:tcBorders>
              <w:top w:sz="2.0160000324249268" w:val="single" w:color="#000000"/>
              <w:bottom w:sz="23.97599983215332" w:val="single" w:color="#000000"/>
            </w:tcBorders>
          </w:tcPr>
          <w:p/>
        </w:tc>
      </w:tr>
      <w:tr>
        <w:trPr>
          <w:trHeight w:hRule="exact" w:val="472"/>
        </w:trPr>
        <w:tc>
          <w:tcPr>
            <w:tcW w:type="dxa" w:w="3494"/>
            <w:vMerge/>
            <w:tcBorders>
              <w:top w:sz="2.0160000324249268" w:val="single" w:color="#000000"/>
              <w:bottom w:sz="23.97599983215332" w:val="single" w:color="#000000"/>
            </w:tcBorders>
          </w:tcPr>
          <w:p/>
        </w:tc>
        <w:tc>
          <w:tcPr>
            <w:tcW w:type="dxa" w:w="7074"/>
            <w:tcBorders>
              <w:bottom w:sz="23.975999832153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" w:after="0"/>
              <w:ind w:left="141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000000"/>
                <w:sz w:val="16"/>
              </w:rPr>
              <w:t>journal</w:t>
            </w:r>
            <w:r>
              <w:rPr>
                <w:rFonts w:ascii="UniversLTStd" w:hAnsi="UniversLTStd" w:eastAsia="UniversLTStd"/>
                <w:b w:val="0"/>
                <w:i w:val="0"/>
                <w:color w:val="000000"/>
                <w:sz w:val="16"/>
              </w:rPr>
              <w:t>homepage:</w:t>
            </w:r>
            <w:r>
              <w:rPr>
                <w:rFonts w:ascii="UniversLTStd" w:hAnsi="UniversLTStd" w:eastAsia="UniversLTStd"/>
                <w:b w:val="0"/>
                <w:i w:val="0"/>
                <w:color w:val="0080AC"/>
                <w:sz w:val="16"/>
              </w:rPr>
              <w:hyperlink r:id="rId13" w:history="1">
                <w:r>
                  <w:rPr>
                    <w:rStyle w:val="Hyperlink"/>
                  </w:rPr>
                  <w:t>www.elsevier.com/locate/ailsci</w:t>
                </w:r>
              </w:hyperlink>
            </w:r>
          </w:p>
        </w:tc>
        <w:tc>
          <w:tcPr>
            <w:tcW w:type="dxa" w:w="3494"/>
            <w:vMerge/>
            <w:tcBorders>
              <w:top w:sz="2.0160000324249268" w:val="single" w:color="#000000"/>
              <w:bottom w:sz="23.97599983215332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334" w:lineRule="exact" w:before="176" w:after="120"/>
        <w:ind w:left="30" w:right="216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9"/>
        </w:rPr>
        <w:t>Conceptual</w:t>
      </w:r>
      <w:r>
        <w:rPr>
          <w:rFonts w:ascii="CharisSIL" w:hAnsi="CharisSIL" w:eastAsia="CharisSIL"/>
          <w:b w:val="0"/>
          <w:i w:val="0"/>
          <w:color w:val="000000"/>
          <w:sz w:val="19"/>
        </w:rPr>
        <w:t xml:space="preserve">Analysis </w:t>
      </w:r>
      <w:r>
        <w:br/>
      </w:r>
      <w:r>
        <w:rPr>
          <w:rFonts w:ascii="CharisSIL" w:hAnsi="CharisSIL" w:eastAsia="CharisSIL"/>
          <w:b w:val="0"/>
          <w:i w:val="0"/>
          <w:color w:val="000000"/>
          <w:sz w:val="27"/>
        </w:rPr>
        <w:t>Chemistry-centric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explanation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machine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learning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 xml:space="preserve">models </w:t>
      </w:r>
      <w:r>
        <w:br/>
      </w:r>
      <w:r>
        <w:rPr>
          <w:rFonts w:ascii="CharisSIL" w:hAnsi="CharisSIL" w:eastAsia="CharisSIL"/>
          <w:b w:val="0"/>
          <w:i w:val="0"/>
          <w:color w:val="000000"/>
          <w:sz w:val="21"/>
        </w:rPr>
        <w:t>Raquel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Rodríguez-Pérez</w:t>
      </w:r>
      <w:r>
        <w:rPr>
          <w:w w:val="98.56266657511394"/>
          <w:rFonts w:ascii="CharisSIL" w:hAnsi="CharisSIL" w:eastAsia="CharisSIL"/>
          <w:b w:val="0"/>
          <w:i w:val="0"/>
          <w:color w:val="0080AC"/>
          <w:sz w:val="15"/>
        </w:rPr>
        <w:t>1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,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Jürgen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Bajorath</w:t>
      </w:r>
      <w:r>
        <w:rPr>
          <w:w w:val="98.56266657511394"/>
          <w:rFonts w:ascii="CharisSIL" w:hAnsi="CharisSIL" w:eastAsia="CharisSIL"/>
          <w:b w:val="0"/>
          <w:i w:val="0"/>
          <w:color w:val="0080AC"/>
          <w:sz w:val="15"/>
        </w:rPr>
        <w:t>2</w:t>
      </w:r>
      <w:r>
        <w:rPr>
          <w:w w:val="98.56266657511394"/>
          <w:rFonts w:ascii="CharisSIL" w:hAnsi="CharisSIL" w:eastAsia="CharisSIL"/>
          <w:b w:val="0"/>
          <w:i w:val="0"/>
          <w:color w:val="000000"/>
          <w:sz w:val="15"/>
        </w:rPr>
        <w:t>,</w:t>
      </w:r>
      <w:r>
        <w:rPr>
          <w:w w:val="98.56266657511394"/>
          <w:rFonts w:ascii="STIXMath" w:hAnsi="STIXMath" w:eastAsia="STIXMath"/>
          <w:b w:val="0"/>
          <w:i w:val="0"/>
          <w:color w:val="0080AC"/>
          <w:sz w:val="15"/>
        </w:rPr>
        <w:t>∗</w:t>
      </w:r>
      <w:r>
        <w:br/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Department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of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Life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Science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Informatics,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B-IT,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LIMES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Program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Unit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Chemical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Biology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and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Medicinal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Chemistry,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Rheinische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Friedrich-Wilhelms-Universität, 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Friedrich-Hirzebruch-Allee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6,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Bonn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D-53115,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Germany</w:t>
      </w:r>
    </w:p>
    <w:p>
      <w:pPr>
        <w:sectPr>
          <w:pgSz w:w="11905" w:h="15878"/>
          <w:pgMar w:top="332" w:right="694" w:bottom="422" w:left="728" w:header="720" w:footer="720" w:gutter="0"/>
          <w:cols w:space="720" w:num="1" w:equalWidth="0"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78" w:after="0"/>
        <w:ind w:left="30" w:right="176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Artificial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intelligence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(AI)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increasingly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considered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across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disciplines,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just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many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science,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often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with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high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expectations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“revolutionary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” advances.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Medicinal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chemistry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drug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design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among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points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developments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[1–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4]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rising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interest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deep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neural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network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(DNN)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architec-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tures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deep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learning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(DL)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generation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novel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various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molecular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properties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[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3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4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].</w:t>
      </w:r>
    </w:p>
    <w:p>
      <w:pPr>
        <w:autoSpaceDN w:val="0"/>
        <w:autoSpaceDE w:val="0"/>
        <w:widowControl/>
        <w:spacing w:line="210" w:lineRule="exact" w:before="76" w:after="0"/>
        <w:ind w:left="30" w:right="176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chemoinformatics,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medicinal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chemistry,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drug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design,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term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typically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used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synonymously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with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machine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learning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(ML),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which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represents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part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methodological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spectrum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[5]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However,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already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long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history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chemoinformatics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medicinal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istry,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spanning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two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decades,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widely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applied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molecu-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lar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property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search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novel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compounds 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[6]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Neural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networks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(NNs)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popular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early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chemoinformatics,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but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increasingly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replaced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over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time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with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approaches 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[7]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support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vector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machine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(SVM)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[8]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random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forest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(RF)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[9]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algorithms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Bayesian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modeling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[10]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mostly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due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trinsic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tendency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overfit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property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trained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moderately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sized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sets.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With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DL,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re-emerged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field,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most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part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DNN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architectures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[11]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10" w:lineRule="exact" w:before="78" w:after="0"/>
        <w:ind w:left="30" w:right="176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computer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science,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often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observed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methodological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plexity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does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scale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with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performance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[12]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same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applies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medicinal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chemistry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drug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design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[6]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Although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“big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”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trends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also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beginning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emerge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medicinal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chemistry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[13]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typically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based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upon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relatively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small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regimes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well-defined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molecular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representations.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conditions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play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strengths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DNNs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compared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image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anal-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ysis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natural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language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processing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where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made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large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impact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recent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years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[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14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15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Accordingly,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standard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methods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often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perform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comparably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better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DNNs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biological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activity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molecular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properties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[6]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10" w:lineRule="exact" w:before="78" w:after="0"/>
        <w:ind w:left="30" w:right="176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hand,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offers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new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opportunities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chemoinformat-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ics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medicinal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chemistry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hardly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possible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address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comparable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way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until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recently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example,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modeling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[1]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large-scale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generative</w:t>
      </w:r>
      <w:r>
        <w:rPr>
          <w:rFonts w:ascii="CharisSIL" w:hAnsi="CharisSIL" w:eastAsia="CharisSIL"/>
          <w:b w:val="0"/>
          <w:i/>
          <w:color w:val="000000"/>
          <w:sz w:val="16"/>
        </w:rPr>
        <w:t>de</w:t>
      </w:r>
      <w:r>
        <w:rPr>
          <w:rFonts w:ascii="CharisSIL" w:hAnsi="CharisSIL" w:eastAsia="CharisSIL"/>
          <w:b w:val="0"/>
          <w:i/>
          <w:color w:val="000000"/>
          <w:sz w:val="16"/>
        </w:rPr>
        <w:t>novo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sign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[3]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generative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design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DNN-based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reposition-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ing,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successful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applications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charting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new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territory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beginning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ap-</w:t>
      </w:r>
    </w:p>
    <w:p>
      <w:pPr>
        <w:sectPr>
          <w:type w:val="continuous"/>
          <w:pgSz w:w="11905" w:h="15878"/>
          <w:pgMar w:top="332" w:right="694" w:bottom="422" w:left="728" w:header="720" w:footer="720" w:gutter="0"/>
          <w:cols w:space="720" w:num="2" w:equalWidth="0">
            <w:col w:w="5234" w:space="0"/>
            <w:col w:w="5248" w:space="0"/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78" w:after="0"/>
        <w:ind w:left="176" w:right="44" w:firstLine="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pear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[16]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but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claimed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advances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remain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often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questionable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[17]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partly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due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lack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generally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accepted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evaluation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criteria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stan-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dards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assessing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novelty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[17]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Even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successful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design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plications,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newly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generated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repurposed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entities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often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viewed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controversially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from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medicinal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chemistry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perspective.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Clearly,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field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flux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but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ML/DL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medicinal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chemistry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drug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design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still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largely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dominated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methodological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considerations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(what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could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done?)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rather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successful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practical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applications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(what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been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done?),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which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still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far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from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routine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[18]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10" w:lineRule="exact" w:before="76" w:after="0"/>
        <w:ind w:left="176" w:right="44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One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two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particularly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relevant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aspects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concerning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medicinal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chemistry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emerging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from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discussion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above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variety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employed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property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design,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ranging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from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simple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decision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tree-based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algorithms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probabilistic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complex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DNNs,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often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with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comparable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success.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other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important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aspect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relates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rationalization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further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discussed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following.</w:t>
      </w:r>
    </w:p>
    <w:p>
      <w:pPr>
        <w:autoSpaceDN w:val="0"/>
        <w:autoSpaceDE w:val="0"/>
        <w:widowControl/>
        <w:spacing w:line="210" w:lineRule="exact" w:before="78" w:after="398"/>
        <w:ind w:left="176" w:right="42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Given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often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cited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“black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box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” character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most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models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[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12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19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their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difficult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rationalize.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practice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medicinal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chemistry,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lack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transparency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model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rationalization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continue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hinder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acceptance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limit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impact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experimental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programs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[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6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18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spite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long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tradition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field.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Similar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considerations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disciplines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primarily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experimentally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driven.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Ideally,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would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like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know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how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certain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reliable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given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also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understand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intuitive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terms.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While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few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studies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presented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approaches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uncertainty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es-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timation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[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20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21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robust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generally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applicable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methods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currently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yet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available.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However,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computer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fields,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potential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explainable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interpretable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much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discussed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topic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[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12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22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23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which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also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high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evance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applications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chemistry.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computer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science,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inter-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pretable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refers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algorithms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whose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directly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reconciled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(such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decision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trees)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explainable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methods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enabling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rationalization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black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box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models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[12]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However,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chemistry-related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publications,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terms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used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less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interchangeably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concerning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rationalization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their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decisions.</w:t>
      </w:r>
    </w:p>
    <w:p>
      <w:pPr>
        <w:sectPr>
          <w:type w:val="nextColumn"/>
          <w:pgSz w:w="11905" w:h="15878"/>
          <w:pgMar w:top="332" w:right="694" w:bottom="422" w:left="728" w:header="720" w:footer="720" w:gutter="0"/>
          <w:cols w:space="720" w:num="2" w:equalWidth="0">
            <w:col w:w="5234" w:space="0"/>
            <w:col w:w="5248" w:space="0"/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0" w:after="0"/>
        <w:ind w:left="148" w:right="0" w:firstLine="0"/>
        <w:jc w:val="left"/>
      </w:pPr>
      <w:r>
        <w:rPr>
          <w:rFonts w:ascii="STIXMath" w:hAnsi="STIXMath" w:eastAsia="STIXMath"/>
          <w:b w:val="0"/>
          <w:i w:val="0"/>
          <w:color w:val="000000"/>
          <w:sz w:val="10"/>
        </w:rPr>
        <w:t>∗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Corresponding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4" w:history="1">
          <w:r>
            <w:rPr>
              <w:rStyle w:val="Hyperlink"/>
            </w:rPr>
            <w:t>author.</w:t>
          </w:r>
        </w:hyperlink>
      </w:r>
    </w:p>
    <w:p>
      <w:pPr>
        <w:autoSpaceDN w:val="0"/>
        <w:autoSpaceDE w:val="0"/>
        <w:widowControl/>
        <w:spacing w:line="260" w:lineRule="exact" w:before="0" w:after="0"/>
        <w:ind w:left="270" w:right="0" w:firstLine="0"/>
        <w:jc w:val="left"/>
      </w:pPr>
      <w:r>
        <w:rPr>
          <w:w w:val="102.4728570665632"/>
          <w:rFonts w:ascii="CharisSIL" w:hAnsi="CharisSIL" w:eastAsia="CharisSIL"/>
          <w:b w:val="0"/>
          <w:i/>
          <w:color w:val="000000"/>
          <w:sz w:val="14"/>
        </w:rPr>
        <w:t>E-mail</w:t>
      </w:r>
      <w:r>
        <w:rPr>
          <w:w w:val="102.4728570665632"/>
          <w:rFonts w:ascii="CharisSIL" w:hAnsi="CharisSIL" w:eastAsia="CharisSIL"/>
          <w:b w:val="0"/>
          <w:i/>
          <w:color w:val="000000"/>
          <w:sz w:val="14"/>
        </w:rPr>
        <w:t>address:</w:t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14" w:history="1">
          <w:r>
            <w:rPr>
              <w:rStyle w:val="Hyperlink"/>
            </w:rPr>
            <w:t>bajorath@bit.uni-bonn.de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(J.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Bajorath).</w:t>
      </w:r>
    </w:p>
    <w:p>
      <w:pPr>
        <w:autoSpaceDN w:val="0"/>
        <w:autoSpaceDE w:val="0"/>
        <w:widowControl/>
        <w:spacing w:line="260" w:lineRule="exact" w:before="0" w:after="0"/>
        <w:ind w:left="146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0"/>
        </w:rPr>
        <w:t>1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Present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addres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4" w:history="1">
          <w:r>
            <w:rPr>
              <w:rStyle w:val="Hyperlink"/>
            </w:rPr>
            <w:t>s: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4" w:history="1">
          <w:r>
            <w:rPr>
              <w:rStyle w:val="Hyperlink"/>
            </w:rPr>
            <w:t>Novartis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4" w:history="1">
          <w:r>
            <w:rPr>
              <w:rStyle w:val="Hyperlink"/>
            </w:rPr>
            <w:t>Institutes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4" w:history="1">
          <w:r>
            <w:rPr>
              <w:rStyle w:val="Hyperlink"/>
            </w:rPr>
            <w:t>for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4" w:history="1">
          <w:r>
            <w:rPr>
              <w:rStyle w:val="Hyperlink"/>
            </w:rPr>
            <w:t>Bi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omedical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Research,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Novartis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Campus,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CH-4002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Basel.</w:t>
      </w:r>
    </w:p>
    <w:p>
      <w:pPr>
        <w:autoSpaceDN w:val="0"/>
        <w:tabs>
          <w:tab w:pos="146" w:val="left"/>
        </w:tabs>
        <w:autoSpaceDE w:val="0"/>
        <w:widowControl/>
        <w:spacing w:line="190" w:lineRule="exact" w:before="70" w:after="0"/>
        <w:ind w:left="30" w:right="0" w:firstLine="0"/>
        <w:jc w:val="left"/>
      </w:pPr>
      <w:r>
        <w:tab/>
      </w:r>
      <w:r>
        <w:rPr>
          <w:rFonts w:ascii="CharisSIL" w:hAnsi="CharisSIL" w:eastAsia="CharisSIL"/>
          <w:b w:val="0"/>
          <w:i w:val="0"/>
          <w:color w:val="000000"/>
          <w:sz w:val="10"/>
        </w:rPr>
        <w:t>2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Given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his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role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as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Editor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in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Chief,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Jürgen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Bajorath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had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no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involvement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in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the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peer-review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of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this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article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and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has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no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access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to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information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regarding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its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 xml:space="preserve">peer-review. 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Full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responsibility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for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the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editorial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process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for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this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article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was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delegated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to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Mingyue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Zheng.</w:t>
      </w:r>
    </w:p>
    <w:p>
      <w:pPr>
        <w:autoSpaceDN w:val="0"/>
        <w:autoSpaceDE w:val="0"/>
        <w:widowControl/>
        <w:spacing w:line="192" w:lineRule="exact" w:before="154" w:after="0"/>
        <w:ind w:left="30" w:right="576" w:firstLine="0"/>
        <w:jc w:val="left"/>
      </w:pP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 xml:space="preserve">https://doi.org/10.1016/j.ailsci.2021.100009 </w:t>
          </w:r>
        </w:hyperlink>
      </w:r>
      <w:r>
        <w:br/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Received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20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September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2021;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Received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in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rev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ised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form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28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September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2021;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Accepted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28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September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 xml:space="preserve">2021 </w:t>
      </w:r>
      <w:r>
        <w:br/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Available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online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30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September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 xml:space="preserve">2021 </w:t>
      </w:r>
      <w:r>
        <w:br/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2667-3185/Published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by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Elsevier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B.V.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This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is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an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open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access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article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under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the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CC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BY-NC-ND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license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(</w:t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15" w:history="1">
          <w:r>
            <w:rPr>
              <w:rStyle w:val="Hyperlink"/>
            </w:rPr>
            <w:t>http://creativecommons.org/licenses/by-nc-nd/4.0/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)</w:t>
      </w:r>
    </w:p>
    <w:p>
      <w:pPr>
        <w:sectPr>
          <w:type w:val="continuous"/>
          <w:pgSz w:w="11905" w:h="15878"/>
          <w:pgMar w:top="332" w:right="694" w:bottom="422" w:left="728" w:header="720" w:footer="720" w:gutter="0"/>
          <w:cols w:space="720" w:num="1" w:equalWidth="0">
            <w:col w:w="10482" w:space="0"/>
            <w:col w:w="5234" w:space="0"/>
            <w:col w:w="5248" w:space="0"/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sectPr>
          <w:pgSz w:w="11905" w:h="15878"/>
          <w:pgMar w:top="338" w:right="718" w:bottom="252" w:left="758" w:header="720" w:footer="720" w:gutter="0"/>
          <w:cols w:space="720" w:num="1" w:equalWidth="0">
            <w:col w:w="10482" w:space="0"/>
            <w:col w:w="5234" w:space="0"/>
            <w:col w:w="5248" w:space="0"/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R.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Rodríguez-Pérez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and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J.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Bajorath</w:t>
      </w:r>
    </w:p>
    <w:p>
      <w:pPr>
        <w:autoSpaceDN w:val="0"/>
        <w:autoSpaceDE w:val="0"/>
        <w:widowControl/>
        <w:spacing w:line="210" w:lineRule="exact" w:before="246" w:after="0"/>
        <w:ind w:left="0" w:right="68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medicinal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chemistry,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urgent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need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ra-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tionalization.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Although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reluctance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medicinal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chemists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black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box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their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design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optimization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efforts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widespread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phenomenon,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limited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number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investigations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addressed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explanation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interpretation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context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structure-activity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relationship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(SAR)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analysis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[24]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With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increasing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complex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DNN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architectures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field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[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3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4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this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widens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gap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between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availability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acceptance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further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limits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impact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ML.</w:t>
      </w:r>
    </w:p>
    <w:p>
      <w:pPr>
        <w:autoSpaceDN w:val="0"/>
        <w:autoSpaceDE w:val="0"/>
        <w:widowControl/>
        <w:spacing w:line="210" w:lineRule="exact" w:before="78" w:after="0"/>
        <w:ind w:left="0" w:right="70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activity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available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rationalization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strategies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typically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aim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identify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molecular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representation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termine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individual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mostly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model-dependent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manner.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approaches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predominantly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employ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weighting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techniques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rationalize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kernel-based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[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25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26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Bayesian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[27]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clas-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sification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addition,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weight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gradients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across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different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lay-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ers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also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determined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trace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determinants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plain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(D)NN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However,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gradients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tend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unstable,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fre-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quently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resulting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different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interpretations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very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similar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predictions 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[28]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10" w:lineRule="exact" w:before="78" w:after="0"/>
        <w:ind w:left="0" w:right="70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addition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model-dependent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techniques,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model-independent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methods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also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considered,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which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principally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preferred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cause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applicable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regardless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plexity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underlying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algorithm.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Moreover,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model-independent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proaches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typically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require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balancing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performance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inter-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pretability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across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different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models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[29]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However,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with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sensitivity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anal-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ysis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[30]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model-independent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approach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until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recently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been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applied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property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chemoinformatics.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methodol-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ogy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adapted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about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decade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ago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study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influence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sys-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tematic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value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changes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activity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using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els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[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31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32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Sensitivity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analysis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generally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perturbation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study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ensuing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effects.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particular,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partial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derivatives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used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assess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impact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local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perturbations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fragment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descriptors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predictions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[32]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Sensitivity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analysis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becomes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rapidly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infeasi-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with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increasing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dimensionality,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which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limits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applicability.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Hence,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methodology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less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abandoned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field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substituted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approximations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better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summarize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perturbations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effects.</w:t>
      </w:r>
    </w:p>
    <w:p>
      <w:pPr>
        <w:autoSpaceDN w:val="0"/>
        <w:autoSpaceDE w:val="0"/>
        <w:widowControl/>
        <w:spacing w:line="210" w:lineRule="exact" w:before="78" w:after="0"/>
        <w:ind w:left="0" w:right="68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Our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group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considered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alternative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approaches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with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potential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model-independent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rationalization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from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different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viewpoints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includ-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broad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applicability,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quantitative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assessment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ease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visual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interpretation.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light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criteria,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concept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/>
          <w:color w:val="000000"/>
          <w:sz w:val="16"/>
        </w:rPr>
        <w:t>Shap-</w:t>
      </w:r>
      <w:r>
        <w:rPr>
          <w:rFonts w:ascii="CharisSIL" w:hAnsi="CharisSIL" w:eastAsia="CharisSIL"/>
          <w:b w:val="0"/>
          <w:i/>
          <w:color w:val="000000"/>
          <w:sz w:val="16"/>
        </w:rPr>
        <w:t>ley</w:t>
      </w:r>
      <w:r>
        <w:rPr>
          <w:rFonts w:ascii="CharisSIL" w:hAnsi="CharisSIL" w:eastAsia="CharisSIL"/>
          <w:b w:val="0"/>
          <w:i/>
          <w:color w:val="000000"/>
          <w:sz w:val="16"/>
        </w:rPr>
        <w:t>values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[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33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34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from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cooperative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game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theory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[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34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35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become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our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methodology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choice.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Shapley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values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originally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introduced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1953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[33]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quantitatively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account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contributions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individual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players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forming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team.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values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provide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quantitative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assessment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cooperative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contributions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team’s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ultimate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success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(total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gain).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Accordingly,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specify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partition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merit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among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individual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players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calculating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average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contributions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made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given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player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different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team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constellations.</w:t>
      </w:r>
    </w:p>
    <w:p>
      <w:pPr>
        <w:autoSpaceDN w:val="0"/>
        <w:autoSpaceDE w:val="0"/>
        <w:widowControl/>
        <w:spacing w:line="210" w:lineRule="exact" w:before="76" w:after="0"/>
        <w:ind w:left="0" w:right="70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Shapley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value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concept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readily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transferable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applying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following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analogies: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game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team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engages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perceived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task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single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instance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(e.g.,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compound).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merit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task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given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difference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between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aver-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age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instances.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players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participating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game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values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instance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cooperate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(act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concert)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obtain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merit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given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resulting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Shapley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value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given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obtained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average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contribution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over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possible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combinations.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Accordingly,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Shapley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values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account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partition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contributions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over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individual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comprising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vector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(such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molecular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representation).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key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aspect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Shapley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value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concept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apart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from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model-dependent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weighting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methods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contribution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feature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presence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given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quantified,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but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also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contribu-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absence.</w:t>
      </w:r>
    </w:p>
    <w:p>
      <w:pPr>
        <w:autoSpaceDN w:val="0"/>
        <w:autoSpaceDE w:val="0"/>
        <w:widowControl/>
        <w:spacing w:line="210" w:lineRule="exact" w:before="76" w:after="0"/>
        <w:ind w:left="0" w:right="0" w:firstLine="24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increasing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size,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systematic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calculations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Shapley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values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basis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possible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combinations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become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com-</w:t>
      </w:r>
    </w:p>
    <w:p>
      <w:pPr>
        <w:sectPr>
          <w:type w:val="continuous"/>
          <w:pgSz w:w="11905" w:h="15878"/>
          <w:pgMar w:top="338" w:right="718" w:bottom="252" w:left="758" w:header="720" w:footer="720" w:gutter="0"/>
          <w:cols w:space="720" w:num="2" w:equalWidth="0">
            <w:col w:w="5098" w:space="0"/>
            <w:col w:w="5329" w:space="0"/>
            <w:col w:w="10482" w:space="0"/>
            <w:col w:w="5234" w:space="0"/>
            <w:col w:w="5248" w:space="0"/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66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2</w:t>
      </w:r>
    </w:p>
    <w:p>
      <w:pPr>
        <w:sectPr>
          <w:type w:val="nextColumn"/>
          <w:pgSz w:w="11905" w:h="15878"/>
          <w:pgMar w:top="338" w:right="718" w:bottom="252" w:left="758" w:header="720" w:footer="720" w:gutter="0"/>
          <w:cols w:space="720" w:num="2" w:equalWidth="0">
            <w:col w:w="5098" w:space="0"/>
            <w:col w:w="5329" w:space="0"/>
            <w:col w:w="10482" w:space="0"/>
            <w:col w:w="5234" w:space="0"/>
            <w:col w:w="5248" w:space="0"/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sectPr>
          <w:pgSz w:w="11905" w:h="15878"/>
          <w:pgMar w:top="338" w:right="716" w:bottom="252" w:left="758" w:header="720" w:footer="720" w:gutter="0"/>
          <w:cols w:space="720" w:num="2" w:equalWidth="0">
            <w:col w:w="5098" w:space="0"/>
            <w:col w:w="5329" w:space="0"/>
            <w:col w:w="10482" w:space="0"/>
            <w:col w:w="5234" w:space="0"/>
            <w:col w:w="5248" w:space="0"/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R.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Rodríguez-Pérez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and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J.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Bajorath</w:t>
      </w:r>
    </w:p>
    <w:p>
      <w:pPr>
        <w:autoSpaceDN w:val="0"/>
        <w:tabs>
          <w:tab w:pos="240" w:val="left"/>
        </w:tabs>
        <w:autoSpaceDE w:val="0"/>
        <w:widowControl/>
        <w:spacing w:line="210" w:lineRule="exact" w:before="246" w:after="0"/>
        <w:ind w:left="0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resulting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change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[41]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contrast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SHAP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that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does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atom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removal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(i.e.,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introduction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perturbation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structural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level),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but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assesses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collaborative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(i.e.,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combination-based)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contributions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representation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Similarity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Maps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approach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does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require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mapping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but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cannot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quantify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contributions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absence.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addition,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single-atom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perturbations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might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signif-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icantly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modify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model’s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but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affect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structural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integrity.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Another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conceptually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distinct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approach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involves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weighting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multiple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generated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with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same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algorithm,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providing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basis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determination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/>
          <w:color w:val="000000"/>
          <w:sz w:val="16"/>
        </w:rPr>
        <w:t>feature</w:t>
      </w:r>
      <w:r>
        <w:rPr>
          <w:rFonts w:ascii="CharisSIL" w:hAnsi="CharisSIL" w:eastAsia="CharisSIL"/>
          <w:b w:val="0"/>
          <w:i/>
          <w:color w:val="000000"/>
          <w:sz w:val="16"/>
        </w:rPr>
        <w:t>importance</w:t>
      </w:r>
      <w:r>
        <w:rPr>
          <w:rFonts w:ascii="CharisSIL" w:hAnsi="CharisSIL" w:eastAsia="CharisSIL"/>
          <w:b w:val="0"/>
          <w:i/>
          <w:color w:val="000000"/>
          <w:sz w:val="16"/>
        </w:rPr>
        <w:t>correlation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[42]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target-based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activity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classes,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measure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yielded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internal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signatures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revealed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similar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binding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characteristics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proteins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functional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relationships.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Strong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importance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correlation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between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activity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prediction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indicated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functional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similarities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between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different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targets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that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related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binding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[42]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derived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200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targets,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Gini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impurity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(GI)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criterion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[43]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served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measure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node-based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recursive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partitioning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quality.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metric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from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information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theory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defined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Eq.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(1)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:</w:t>
      </w:r>
    </w:p>
    <w:p>
      <w:pPr>
        <w:autoSpaceDN w:val="0"/>
        <w:tabs>
          <w:tab w:pos="438" w:val="left"/>
          <w:tab w:pos="670" w:val="left"/>
          <w:tab w:pos="840" w:val="left"/>
          <w:tab w:pos="1298" w:val="left"/>
          <w:tab w:pos="4836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STIXMath" w:hAnsi="STIXMath" w:eastAsia="STIXMath"/>
          <w:b w:val="0"/>
          <w:i w:val="0"/>
          <w:color w:val="000000"/>
          <w:sz w:val="16"/>
        </w:rPr>
        <w:t>GI</w:t>
      </w:r>
      <w:r>
        <w:rPr>
          <w:rFonts w:ascii="STIXMath" w:hAnsi="STIXMath" w:eastAsia="STIXMath"/>
          <w:b w:val="0"/>
          <w:i w:val="0"/>
          <w:color w:val="000000"/>
          <w:sz w:val="16"/>
        </w:rPr>
        <w:t>=</w:t>
      </w:r>
      <w:r>
        <w:tab/>
      </w:r>
      <w:r>
        <w:rPr>
          <w:rFonts w:ascii="STIXMathExtensions" w:hAnsi="STIXMathExtensions" w:eastAsia="STIXMathExtensions"/>
          <w:b w:val="0"/>
          <w:i w:val="0"/>
          <w:color w:val="000000"/>
          <w:sz w:val="16"/>
        </w:rPr>
        <w:t>∑</w:t>
      </w:r>
      <w:r>
        <w:rPr>
          <w:rFonts w:ascii="STIXMath" w:hAnsi="STIXMath" w:eastAsia="STIXMath"/>
          <w:b w:val="0"/>
          <w:i/>
          <w:color w:val="000000"/>
          <w:sz w:val="16"/>
        </w:rPr>
        <w:t>𝑝</w:t>
      </w:r>
      <w:r>
        <w:rPr>
          <w:rFonts w:ascii="STIXMath" w:hAnsi="STIXMath" w:eastAsia="STIXMath"/>
          <w:b w:val="0"/>
          <w:i/>
          <w:color w:val="000000"/>
          <w:sz w:val="12"/>
        </w:rPr>
        <w:t xml:space="preserve">𝑖 </w:t>
      </w:r>
      <w:r>
        <w:rPr>
          <w:rFonts w:ascii="STIXMathExtensions" w:hAnsi="STIXMathExtensions" w:eastAsia="STIXMathExtensions"/>
          <w:b w:val="0"/>
          <w:i w:val="0"/>
          <w:color w:val="000000"/>
          <w:sz w:val="16"/>
        </w:rPr>
        <w:t>(</w:t>
      </w:r>
      <w:r>
        <w:rPr>
          <w:rFonts w:ascii="STIXMath" w:hAnsi="STIXMath" w:eastAsia="STIXMath"/>
          <w:b w:val="0"/>
          <w:i w:val="0"/>
          <w:color w:val="000000"/>
          <w:sz w:val="16"/>
        </w:rPr>
        <w:t>1</w:t>
      </w:r>
      <w:r>
        <w:rPr>
          <w:rFonts w:ascii="STIXMath" w:hAnsi="STIXMath" w:eastAsia="STIXMath"/>
          <w:b w:val="0"/>
          <w:i w:val="0"/>
          <w:color w:val="000000"/>
          <w:sz w:val="16"/>
        </w:rPr>
        <w:t>−</w:t>
      </w:r>
      <w:r>
        <w:rPr>
          <w:rFonts w:ascii="STIXMath" w:hAnsi="STIXMath" w:eastAsia="STIXMath"/>
          <w:b w:val="0"/>
          <w:i/>
          <w:color w:val="000000"/>
          <w:sz w:val="16"/>
        </w:rPr>
        <w:t>𝑝</w:t>
      </w:r>
      <w:r>
        <w:rPr>
          <w:rFonts w:ascii="STIXMath" w:hAnsi="STIXMath" w:eastAsia="STIXMath"/>
          <w:b w:val="0"/>
          <w:i/>
          <w:color w:val="000000"/>
          <w:sz w:val="12"/>
        </w:rPr>
        <w:t xml:space="preserve">𝑖 </w:t>
      </w:r>
      <w:r>
        <w:rPr>
          <w:rFonts w:ascii="STIXMathExtensions" w:hAnsi="STIXMathExtensions" w:eastAsia="STIXMathExtension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(1)</w:t>
      </w:r>
    </w:p>
    <w:p>
      <w:pPr>
        <w:autoSpaceDN w:val="0"/>
        <w:autoSpaceDE w:val="0"/>
        <w:widowControl/>
        <w:spacing w:line="208" w:lineRule="exact" w:before="92" w:after="0"/>
        <w:ind w:left="0" w:right="68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Here,</w:t>
      </w:r>
      <w:r>
        <w:rPr>
          <w:rFonts w:ascii="STIXMath" w:hAnsi="STIXMath" w:eastAsia="STIXMath"/>
          <w:b w:val="0"/>
          <w:i/>
          <w:color w:val="000000"/>
          <w:sz w:val="16"/>
        </w:rPr>
        <w:t>𝑝</w:t>
      </w:r>
      <w:r>
        <w:rPr>
          <w:rFonts w:ascii="STIXMath" w:hAnsi="STIXMath" w:eastAsia="STIXMath"/>
          <w:b w:val="0"/>
          <w:i/>
          <w:color w:val="000000"/>
          <w:sz w:val="12"/>
        </w:rPr>
        <w:t>𝑖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frequency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class</w:t>
      </w:r>
      <w:r>
        <w:rPr>
          <w:rFonts w:ascii="CharisSIL" w:hAnsi="CharisSIL" w:eastAsia="CharisSIL"/>
          <w:b w:val="0"/>
          <w:i/>
          <w:color w:val="000000"/>
          <w:sz w:val="16"/>
        </w:rPr>
        <w:t>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given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node,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/>
          <w:color w:val="000000"/>
          <w:sz w:val="16"/>
        </w:rPr>
        <w:t>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2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binary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classification.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Accordingly,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given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equivalent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decrease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GI,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i.e.,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normalized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impurity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decrease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values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nodes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where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splitting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based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that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Thus,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increasing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values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indicate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increasing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importance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[43]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Correlation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statistical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association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across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importance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values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from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different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quantified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using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correlation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coefficients.</w:t>
      </w:r>
    </w:p>
    <w:p>
      <w:pPr>
        <w:autoSpaceDN w:val="0"/>
        <w:autoSpaceDE w:val="0"/>
        <w:widowControl/>
        <w:spacing w:line="210" w:lineRule="exact" w:before="78" w:after="0"/>
        <w:ind w:left="0" w:right="70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importance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correlation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analysis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requires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model-internal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information,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but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does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depend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explanations.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Feature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weights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importance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values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extracted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using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multiple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strategies,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depending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underlying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algorithm.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Moreover,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contrast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SHAP-based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analysis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individual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importance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cor-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analysis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based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upon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global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assessment,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taking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many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account.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While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SHAP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importance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correla-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analysis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conceptually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distinct,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methods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complemen-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tary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combined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assessment.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anticipated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increasing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efforts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expanded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chemoinformatics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develop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methods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explanation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order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further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increase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accep-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tance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practice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medicinal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chemistry.</w:t>
      </w:r>
    </w:p>
    <w:p>
      <w:pPr>
        <w:autoSpaceDN w:val="0"/>
        <w:autoSpaceDE w:val="0"/>
        <w:widowControl/>
        <w:spacing w:line="286" w:lineRule="exact" w:before="160" w:after="0"/>
        <w:ind w:left="0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>Declaration</w:t>
      </w:r>
      <w:r>
        <w:rPr>
          <w:rFonts w:ascii="CharisSIL" w:hAnsi="CharisSIL" w:eastAsia="CharisSIL"/>
          <w:b/>
          <w:i w:val="0"/>
          <w:color w:val="000000"/>
          <w:sz w:val="16"/>
        </w:rPr>
        <w:t>of</w:t>
      </w:r>
      <w:r>
        <w:rPr>
          <w:rFonts w:ascii="CharisSIL" w:hAnsi="CharisSIL" w:eastAsia="CharisSIL"/>
          <w:b/>
          <w:i w:val="0"/>
          <w:color w:val="000000"/>
          <w:sz w:val="16"/>
        </w:rPr>
        <w:t>Competing</w:t>
      </w:r>
      <w:r>
        <w:rPr>
          <w:rFonts w:ascii="CharisSIL" w:hAnsi="CharisSIL" w:eastAsia="CharisSIL"/>
          <w:b/>
          <w:i w:val="0"/>
          <w:color w:val="000000"/>
          <w:sz w:val="16"/>
        </w:rPr>
        <w:t>Interest</w:t>
      </w:r>
    </w:p>
    <w:p>
      <w:pPr>
        <w:autoSpaceDN w:val="0"/>
        <w:autoSpaceDE w:val="0"/>
        <w:widowControl/>
        <w:spacing w:line="210" w:lineRule="exact" w:before="208" w:after="0"/>
        <w:ind w:left="0" w:right="72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authors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declare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known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competing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financial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interests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personal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relationships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could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appeared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influence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work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reported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paper.</w:t>
      </w:r>
    </w:p>
    <w:p>
      <w:pPr>
        <w:autoSpaceDN w:val="0"/>
        <w:autoSpaceDE w:val="0"/>
        <w:widowControl/>
        <w:spacing w:line="288" w:lineRule="exact" w:before="158" w:after="0"/>
        <w:ind w:left="0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>Appendix</w:t>
      </w:r>
      <w:r>
        <w:rPr>
          <w:rFonts w:ascii="CharisSIL" w:hAnsi="CharisSIL" w:eastAsia="CharisSIL"/>
          <w:b/>
          <w:i w:val="0"/>
          <w:color w:val="000000"/>
          <w:sz w:val="16"/>
        </w:rPr>
        <w:t>A</w:t>
      </w:r>
    </w:p>
    <w:p>
      <w:pPr>
        <w:autoSpaceDN w:val="0"/>
        <w:autoSpaceDE w:val="0"/>
        <w:widowControl/>
        <w:spacing w:line="286" w:lineRule="exact" w:before="132" w:after="0"/>
        <w:ind w:left="0" w:right="0" w:firstLine="0"/>
        <w:jc w:val="left"/>
      </w:pPr>
      <w:r>
        <w:rPr>
          <w:rFonts w:ascii="CharisSIL" w:hAnsi="CharisSIL" w:eastAsia="CharisSIL"/>
          <w:b w:val="0"/>
          <w:i/>
          <w:color w:val="000000"/>
          <w:sz w:val="16"/>
        </w:rPr>
        <w:t>SHAP</w:t>
      </w:r>
      <w:r>
        <w:rPr>
          <w:rFonts w:ascii="CharisSIL" w:hAnsi="CharisSIL" w:eastAsia="CharisSIL"/>
          <w:b w:val="0"/>
          <w:i/>
          <w:color w:val="000000"/>
          <w:sz w:val="16"/>
        </w:rPr>
        <w:t>theory</w:t>
      </w:r>
    </w:p>
    <w:p>
      <w:pPr>
        <w:autoSpaceDN w:val="0"/>
        <w:autoSpaceDE w:val="0"/>
        <w:widowControl/>
        <w:spacing w:line="208" w:lineRule="exact" w:before="212" w:after="0"/>
        <w:ind w:left="0" w:right="70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principal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goal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explanation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</w:t>
      </w:r>
      <w:r>
        <w:rPr>
          <w:rFonts w:ascii="CharisSIL" w:hAnsi="CharisSIL" w:eastAsia="CharisSIL"/>
          <w:b w:val="0"/>
          <w:i/>
          <w:color w:val="000000"/>
          <w:sz w:val="16"/>
        </w:rPr>
        <w:t>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locally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approx-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imate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thereby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simplify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complex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</w:t>
      </w:r>
      <w:r>
        <w:rPr>
          <w:rFonts w:ascii="CharisSIL" w:hAnsi="CharisSIL" w:eastAsia="CharisSIL"/>
          <w:b w:val="0"/>
          <w:i/>
          <w:color w:val="000000"/>
          <w:sz w:val="16"/>
        </w:rPr>
        <w:t>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difficult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derstand.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Additive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attribution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methods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generate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explanation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via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linear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function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binary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variables,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given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by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Eq.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(2)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:</w:t>
      </w:r>
    </w:p>
    <w:p>
      <w:pPr>
        <w:autoSpaceDN w:val="0"/>
        <w:tabs>
          <w:tab w:pos="924" w:val="left"/>
          <w:tab w:pos="1156" w:val="left"/>
          <w:tab w:pos="4838" w:val="left"/>
        </w:tabs>
        <w:autoSpaceDE w:val="0"/>
        <w:widowControl/>
        <w:spacing w:line="650" w:lineRule="exact" w:before="70" w:after="0"/>
        <w:ind w:left="0" w:right="0" w:firstLine="0"/>
        <w:jc w:val="left"/>
      </w:pPr>
      <w:r>
        <w:rPr>
          <w:rFonts w:ascii="STIXMath" w:hAnsi="STIXMath" w:eastAsia="STIXMath"/>
          <w:b w:val="0"/>
          <w:i/>
          <w:color w:val="000000"/>
          <w:sz w:val="16"/>
        </w:rPr>
        <w:t>𝑔</w:t>
      </w:r>
      <w:r>
        <w:rPr>
          <w:rFonts w:ascii="STIXMathExtensions" w:hAnsi="STIXMathExtensions" w:eastAsia="STIXMathExtensions"/>
          <w:b w:val="0"/>
          <w:i w:val="0"/>
          <w:color w:val="000000"/>
          <w:sz w:val="16"/>
        </w:rPr>
        <w:t>(</w:t>
      </w:r>
      <w:r>
        <w:rPr>
          <w:rFonts w:ascii="STIXMath" w:hAnsi="STIXMath" w:eastAsia="STIXMath"/>
          <w:b w:val="0"/>
          <w:i/>
          <w:color w:val="000000"/>
          <w:sz w:val="16"/>
        </w:rPr>
        <w:t>𝑥</w:t>
      </w:r>
      <w:r>
        <w:rPr>
          <w:rFonts w:ascii="STIXMath" w:hAnsi="STIXMath" w:eastAsia="STIXMath"/>
          <w:b w:val="0"/>
          <w:i w:val="0"/>
          <w:color w:val="000000"/>
          <w:sz w:val="12"/>
        </w:rPr>
        <w:t>′</w:t>
      </w:r>
      <w:r>
        <w:rPr>
          <w:rFonts w:ascii="STIXMathExtensions" w:hAnsi="STIXMathExtensions" w:eastAsia="STIXMathExtensions"/>
          <w:b w:val="0"/>
          <w:i w:val="0"/>
          <w:color w:val="000000"/>
          <w:sz w:val="16"/>
        </w:rPr>
        <w:t>)</w:t>
      </w:r>
      <w:r>
        <w:rPr>
          <w:rFonts w:ascii="STIXMath" w:hAnsi="STIXMath" w:eastAsia="STIXMath"/>
          <w:b w:val="0"/>
          <w:i w:val="0"/>
          <w:color w:val="000000"/>
          <w:sz w:val="16"/>
        </w:rPr>
        <w:t>=</w:t>
      </w:r>
      <w:r>
        <w:rPr>
          <w:rFonts w:ascii="STIXMath" w:hAnsi="STIXMath" w:eastAsia="STIXMath"/>
          <w:b w:val="0"/>
          <w:i/>
          <w:color w:val="000000"/>
          <w:sz w:val="16"/>
        </w:rPr>
        <w:t>𝜙</w:t>
      </w:r>
      <w:r>
        <w:rPr>
          <w:rFonts w:ascii="STIXMath" w:hAnsi="STIXMath" w:eastAsia="STIXMath"/>
          <w:b w:val="0"/>
          <w:i w:val="0"/>
          <w:color w:val="000000"/>
          <w:sz w:val="12"/>
        </w:rPr>
        <w:t>0</w:t>
      </w:r>
      <w:r>
        <w:rPr>
          <w:rFonts w:ascii="STIXMath" w:hAnsi="STIXMath" w:eastAsia="STIXMath"/>
          <w:b w:val="0"/>
          <w:i w:val="0"/>
          <w:color w:val="000000"/>
          <w:sz w:val="16"/>
        </w:rPr>
        <w:t>+</w:t>
      </w:r>
      <w:r>
        <w:rPr>
          <w:rFonts w:ascii="STIXMathExtensions" w:hAnsi="STIXMathExtensions" w:eastAsia="STIXMathExtensions"/>
          <w:b w:val="0"/>
          <w:i w:val="0"/>
          <w:color w:val="000000"/>
          <w:sz w:val="16"/>
        </w:rPr>
        <w:t>∑</w:t>
      </w:r>
      <w:r>
        <w:rPr>
          <w:rFonts w:ascii="STIXMath" w:hAnsi="STIXMath" w:eastAsia="STIXMath"/>
          <w:b w:val="0"/>
          <w:i/>
          <w:color w:val="000000"/>
          <w:sz w:val="16"/>
        </w:rPr>
        <w:t>𝜙</w:t>
      </w:r>
      <w:r>
        <w:rPr>
          <w:rFonts w:ascii="STIXMath" w:hAnsi="STIXMath" w:eastAsia="STIXMath"/>
          <w:b w:val="0"/>
          <w:i/>
          <w:color w:val="000000"/>
          <w:sz w:val="12"/>
        </w:rPr>
        <w:t>𝑖</w:t>
      </w:r>
      <w:r>
        <w:rPr>
          <w:rFonts w:ascii="STIXMath" w:hAnsi="STIXMath" w:eastAsia="STIXMath"/>
          <w:b w:val="0"/>
          <w:i/>
          <w:color w:val="000000"/>
          <w:sz w:val="16"/>
        </w:rPr>
        <w:t>𝑥</w:t>
      </w:r>
      <w:r>
        <w:rPr>
          <w:rFonts w:ascii="STIXMath" w:hAnsi="STIXMath" w:eastAsia="STIXMath"/>
          <w:b w:val="0"/>
          <w:i w:val="0"/>
          <w:color w:val="000000"/>
          <w:sz w:val="12"/>
        </w:rPr>
        <w:t>′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(2)</w:t>
      </w:r>
    </w:p>
    <w:p>
      <w:pPr>
        <w:autoSpaceDN w:val="0"/>
        <w:autoSpaceDE w:val="0"/>
        <w:widowControl/>
        <w:spacing w:line="206" w:lineRule="exact" w:before="92" w:after="0"/>
        <w:ind w:left="0" w:right="70" w:firstLine="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where</w:t>
      </w:r>
      <w:r>
        <w:rPr>
          <w:rFonts w:ascii="STIXMath" w:hAnsi="STIXMath" w:eastAsia="STIXMath"/>
          <w:b w:val="0"/>
          <w:i/>
          <w:color w:val="000000"/>
          <w:sz w:val="16"/>
        </w:rPr>
        <w:t>𝑥</w:t>
      </w:r>
      <w:r>
        <w:rPr>
          <w:rFonts w:ascii="STIXMath" w:hAnsi="STIXMath" w:eastAsia="STIXMath"/>
          <w:b w:val="0"/>
          <w:i w:val="0"/>
          <w:color w:val="000000"/>
          <w:sz w:val="12"/>
        </w:rPr>
        <w:t>′</w:t>
      </w:r>
      <w:r>
        <w:rPr>
          <w:rFonts w:ascii="STIXMath" w:hAnsi="STIXMath" w:eastAsia="STIXMath"/>
          <w:b w:val="0"/>
          <w:i w:val="0"/>
          <w:color w:val="000000"/>
          <w:sz w:val="16"/>
        </w:rPr>
        <w:t>∈ {</w:t>
      </w:r>
      <w:r>
        <w:rPr>
          <w:rFonts w:ascii="STIXMath" w:hAnsi="STIXMath" w:eastAsia="STIXMath"/>
          <w:b w:val="0"/>
          <w:i w:val="0"/>
          <w:color w:val="000000"/>
          <w:sz w:val="16"/>
        </w:rPr>
        <w:t>0</w:t>
      </w:r>
      <w:r>
        <w:rPr>
          <w:rFonts w:ascii="STIXMath" w:hAnsi="STIXMath" w:eastAsia="STIXMath"/>
          <w:b w:val="0"/>
          <w:i/>
          <w:color w:val="000000"/>
          <w:sz w:val="16"/>
        </w:rPr>
        <w:t>,</w:t>
      </w:r>
      <w:r>
        <w:rPr>
          <w:rFonts w:ascii="STIXMath" w:hAnsi="STIXMath" w:eastAsia="STIXMath"/>
          <w:b w:val="0"/>
          <w:i w:val="0"/>
          <w:color w:val="000000"/>
          <w:sz w:val="16"/>
        </w:rPr>
        <w:t>1</w:t>
      </w:r>
      <w:r>
        <w:rPr>
          <w:rFonts w:ascii="STIXMath" w:hAnsi="STIXMath" w:eastAsia="STIXMath"/>
          <w:b w:val="0"/>
          <w:i w:val="0"/>
          <w:color w:val="000000"/>
          <w:sz w:val="16"/>
        </w:rPr>
        <w:t>}</w:t>
      </w:r>
      <w:r>
        <w:rPr>
          <w:rFonts w:ascii="STIXMath" w:hAnsi="STIXMath" w:eastAsia="STIXMath"/>
          <w:b w:val="0"/>
          <w:i/>
          <w:color w:val="000000"/>
          <w:sz w:val="12"/>
        </w:rPr>
        <w:t>𝑀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/>
          <w:color w:val="000000"/>
          <w:sz w:val="16"/>
        </w:rPr>
        <w:t>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number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input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STIXMath" w:hAnsi="STIXMath" w:eastAsia="STIXMath"/>
          <w:b w:val="0"/>
          <w:i/>
          <w:color w:val="000000"/>
          <w:sz w:val="16"/>
        </w:rPr>
        <w:t>𝜙</w:t>
      </w:r>
      <w:r>
        <w:rPr>
          <w:rFonts w:ascii="STIXMath" w:hAnsi="STIXMath" w:eastAsia="STIXMath"/>
          <w:b w:val="0"/>
          <w:i/>
          <w:color w:val="000000"/>
          <w:sz w:val="12"/>
        </w:rPr>
        <w:t>𝑖</w:t>
      </w:r>
      <w:r>
        <w:rPr>
          <w:rFonts w:ascii="STIXMath" w:hAnsi="STIXMath" w:eastAsia="STIXMath"/>
          <w:b w:val="0"/>
          <w:i w:val="0"/>
          <w:color w:val="000000"/>
          <w:sz w:val="16"/>
        </w:rPr>
        <w:t>∈</w:t>
      </w:r>
      <w:r>
        <w:rPr>
          <w:rFonts w:ascii="STIXMath" w:hAnsi="STIXMath" w:eastAsia="STIXMath"/>
          <w:b w:val="0"/>
          <w:i w:val="0"/>
          <w:color w:val="000000"/>
          <w:sz w:val="16"/>
        </w:rPr>
        <w:t xml:space="preserve"> ℝ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presence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absence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value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impacting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repre-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sents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contribution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</w:t>
      </w:r>
      <w:r>
        <w:rPr>
          <w:rFonts w:ascii="STIXMath" w:hAnsi="STIXMath" w:eastAsia="STIXMath"/>
          <w:b w:val="0"/>
          <w:i/>
          <w:color w:val="000000"/>
          <w:sz w:val="16"/>
        </w:rPr>
        <w:t>𝜙</w:t>
      </w:r>
      <w:r>
        <w:rPr>
          <w:rFonts w:ascii="STIXMath" w:hAnsi="STIXMath" w:eastAsia="STIXMath"/>
          <w:b w:val="0"/>
          <w:i/>
          <w:color w:val="000000"/>
          <w:sz w:val="12"/>
        </w:rPr>
        <w:t>𝑖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).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Accordingly,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weight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must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assigned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each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variable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which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LIME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methodology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[37]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applied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further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extended.</w:t>
      </w:r>
    </w:p>
    <w:p>
      <w:pPr>
        <w:sectPr>
          <w:type w:val="continuous"/>
          <w:pgSz w:w="11905" w:h="15878"/>
          <w:pgMar w:top="338" w:right="716" w:bottom="252" w:left="758" w:header="720" w:footer="720" w:gutter="0"/>
          <w:cols w:space="720" w:num="2" w:equalWidth="0">
            <w:col w:w="5098" w:space="0"/>
            <w:col w:w="5331" w:space="0"/>
            <w:col w:w="5098" w:space="0"/>
            <w:col w:w="5329" w:space="0"/>
            <w:col w:w="10482" w:space="0"/>
            <w:col w:w="5234" w:space="0"/>
            <w:col w:w="5248" w:space="0"/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66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3</w:t>
      </w:r>
    </w:p>
    <w:p>
      <w:pPr>
        <w:sectPr>
          <w:type w:val="nextColumn"/>
          <w:pgSz w:w="11905" w:h="15878"/>
          <w:pgMar w:top="338" w:right="716" w:bottom="252" w:left="758" w:header="720" w:footer="720" w:gutter="0"/>
          <w:cols w:space="720" w:num="2" w:equalWidth="0">
            <w:col w:w="5098" w:space="0"/>
            <w:col w:w="5331" w:space="0"/>
            <w:col w:w="5098" w:space="0"/>
            <w:col w:w="5329" w:space="0"/>
            <w:col w:w="10482" w:space="0"/>
            <w:col w:w="5234" w:space="0"/>
            <w:col w:w="5248" w:space="0"/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sectPr>
          <w:pgSz w:w="11905" w:h="15878"/>
          <w:pgMar w:top="338" w:right="714" w:bottom="252" w:left="758" w:header="720" w:footer="720" w:gutter="0"/>
          <w:cols w:space="720" w:num="2" w:equalWidth="0">
            <w:col w:w="5098" w:space="0"/>
            <w:col w:w="5331" w:space="0"/>
            <w:col w:w="5098" w:space="0"/>
            <w:col w:w="5329" w:space="0"/>
            <w:col w:w="10482" w:space="0"/>
            <w:col w:w="5234" w:space="0"/>
            <w:col w:w="5248" w:space="0"/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R.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Rodríguez-Pérez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and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J.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Bajorath</w:t>
      </w:r>
    </w:p>
    <w:p>
      <w:pPr>
        <w:autoSpaceDN w:val="0"/>
        <w:autoSpaceDE w:val="0"/>
        <w:widowControl/>
        <w:spacing w:line="210" w:lineRule="exact" w:before="246" w:after="0"/>
        <w:ind w:left="478" w:right="124" w:hanging="332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(iv)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weighted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linear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regression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</w:t>
      </w:r>
      <w:r>
        <w:rPr>
          <w:rFonts w:ascii="CharisSIL" w:hAnsi="CharisSIL" w:eastAsia="CharisSIL"/>
          <w:b w:val="0"/>
          <w:i/>
          <w:color w:val="000000"/>
          <w:sz w:val="16"/>
        </w:rPr>
        <w:t>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trained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</w:t>
      </w:r>
      <w:r>
        <w:rPr>
          <w:rFonts w:ascii="CharisSIL" w:hAnsi="CharisSIL" w:eastAsia="CharisSIL"/>
          <w:b w:val="0"/>
          <w:i/>
          <w:color w:val="000000"/>
          <w:sz w:val="16"/>
        </w:rPr>
        <w:t>f(x)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coefficients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Shapley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values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corresponding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importance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estimates.</w:t>
      </w:r>
    </w:p>
    <w:p>
      <w:pPr>
        <w:autoSpaceDN w:val="0"/>
        <w:autoSpaceDE w:val="0"/>
        <w:widowControl/>
        <w:spacing w:line="210" w:lineRule="exact" w:before="118" w:after="0"/>
        <w:ind w:left="0" w:right="124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Sampling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possible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subsets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avoided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through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permuta-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vector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setting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off.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assigned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large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weight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replacement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with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artificial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value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leads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significant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change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output.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Weights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artificial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samples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determined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number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addition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sequences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given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subset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SHAP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kernel.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Coefficients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from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local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linear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regression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vide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weights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Shapley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values,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which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indicate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how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important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given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including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direction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(sign)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influence.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expected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explanatory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value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calculated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mean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output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probability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(numerical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value)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over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training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stances.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given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instance,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output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calculated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expected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(base)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value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SHAP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values.</w:t>
      </w:r>
    </w:p>
    <w:p>
      <w:pPr>
        <w:autoSpaceDN w:val="0"/>
        <w:autoSpaceDE w:val="0"/>
        <w:widowControl/>
        <w:spacing w:line="288" w:lineRule="exact" w:before="80" w:after="0"/>
        <w:ind w:left="0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>References</w:t>
      </w:r>
    </w:p>
    <w:p>
      <w:pPr>
        <w:autoSpaceDN w:val="0"/>
        <w:autoSpaceDE w:val="0"/>
        <w:widowControl/>
        <w:spacing w:line="160" w:lineRule="exact" w:before="192" w:after="0"/>
        <w:ind w:left="322" w:right="120" w:hanging="250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[1]</w:t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Struble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T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J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Alvarez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J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C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Brown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t>SP</w:t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Chyti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M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Cisar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J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D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esJarlais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RL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gkvist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O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 xml:space="preserve">,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Frank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SA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Greve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t>DR</w:t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rif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f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t>in</w:t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DJ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H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ou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X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Jo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h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nnes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J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W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Kreatsoulas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t>C</w:t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Lahue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B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 xml:space="preserve">,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Mathea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M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Mogk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icolaou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C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Palme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AD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Price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D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J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Robinso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RI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alentin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 xml:space="preserve">,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Xing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Ja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kkola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T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Green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WH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Ba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rzilay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Co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ey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CW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J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nsen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KF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Cur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ent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and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fu-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ture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ro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es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of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artifi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ci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al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intellige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ce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in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medi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c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inal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chemi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try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synthe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sis.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J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Med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 xml:space="preserve">Chem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2020;63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:8667–82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160" w:lineRule="exact" w:before="70" w:after="0"/>
        <w:ind w:left="72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19" w:history="1">
          <w:r>
            <w:rPr>
              <w:rStyle w:val="Hyperlink"/>
            </w:rPr>
            <w:t>[2]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Yang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X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Wang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Y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Byrne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Schneider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Yang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Concepts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of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artifici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t>l</w:t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 xml:space="preserve">intelligence 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for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com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p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ute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-assi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sted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dr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ug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discovery.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Ch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em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Rev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2019;119:10520–94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160" w:lineRule="exact" w:before="70" w:after="0"/>
        <w:ind w:left="72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19" w:history="1">
          <w:r>
            <w:rPr>
              <w:rStyle w:val="Hyperlink"/>
            </w:rPr>
            <w:t>[3]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Walters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WP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Barzilay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applications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of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deep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learning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in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molecule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generation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 xml:space="preserve">and 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molecular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p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operty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pred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ict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ion.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Acc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Chem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Res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2020;54:263–70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2020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160" w:lineRule="exact" w:before="70" w:after="0"/>
        <w:ind w:left="72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0" w:history="1">
          <w:r>
            <w:rPr>
              <w:rStyle w:val="Hyperlink"/>
            </w:rPr>
            <w:t>[4]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Mater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AC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Michelle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LC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Deep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learning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in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chemistry.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J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Chem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Inf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 xml:space="preserve">Model 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2019;59: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25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4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5–59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160" w:lineRule="exact" w:before="70" w:after="0"/>
        <w:ind w:left="72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0" w:history="1">
          <w:r>
            <w:rPr>
              <w:rStyle w:val="Hyperlink"/>
            </w:rPr>
            <w:t>[5]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Pannu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artifici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t>l</w:t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intelligence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and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its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application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in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differe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t>t</w:t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areas.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Artif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 xml:space="preserve">Intell 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2015;4:7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9–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84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158" w:lineRule="exact" w:before="72" w:after="0"/>
        <w:ind w:left="72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1" w:history="1">
          <w:r>
            <w:rPr>
              <w:rStyle w:val="Hyperlink"/>
            </w:rPr>
            <w:t>[6]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Bajorath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J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State-of-the-art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of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artifici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t>l</w:t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intelligence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in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medicinal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chemistry.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 xml:space="preserve">Future 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Sci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OA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20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2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1;7:FSO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702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160" w:lineRule="exact" w:before="70" w:after="0"/>
        <w:ind w:left="72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2" w:history="1">
          <w:r>
            <w:rPr>
              <w:rStyle w:val="Hyperlink"/>
            </w:rPr>
            <w:t>[7]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Varnek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Baskin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Machine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learning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methods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for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property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prediction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in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chemoin-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formatics: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quo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vadi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s?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J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Chem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Inf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Model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2012;52:1413–37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160" w:lineRule="exact" w:before="70" w:after="0"/>
        <w:ind w:left="72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4" w:history="1">
          <w:r>
            <w:rPr>
              <w:rStyle w:val="Hyperlink"/>
            </w:rPr>
            <w:t>[8]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Vapnik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VN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The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nature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of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statistical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learning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theory.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2nd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editor.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New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York: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 xml:space="preserve">Springer; 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2000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.</w:t>
          </w:r>
        </w:hyperlink>
      </w:r>
    </w:p>
    <w:p>
      <w:pPr>
        <w:autoSpaceDN w:val="0"/>
        <w:autoSpaceDE w:val="0"/>
        <w:widowControl/>
        <w:spacing w:line="230" w:lineRule="exact" w:before="0" w:after="0"/>
        <w:ind w:left="72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4" w:history="1">
          <w:r>
            <w:rPr>
              <w:rStyle w:val="Hyperlink"/>
            </w:rPr>
            <w:t>[9]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Breiman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t>L</w:t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Random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forests.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Mach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Learn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2001;45:5–32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158" w:lineRule="exact" w:before="72" w:after="0"/>
        <w:ind w:left="0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6" w:history="1">
          <w:r>
            <w:rPr>
              <w:rStyle w:val="Hyperlink"/>
            </w:rPr>
            <w:t>[10]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Alpaydin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Introduction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to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machine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learning.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2nd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ed.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Cambridge,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USA: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MIT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 xml:space="preserve">Press; 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2010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160" w:lineRule="exact" w:before="70" w:after="0"/>
        <w:ind w:left="0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6" w:history="1">
          <w:r>
            <w:rPr>
              <w:rStyle w:val="Hyperlink"/>
            </w:rPr>
            <w:t>[11]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Baskin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Winkler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D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Tetko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IV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renaissance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of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neural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networks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in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drug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 xml:space="preserve">discovery. 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Expert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O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pin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Drug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D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scov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2016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;11:785–95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160" w:lineRule="exact" w:before="70" w:after="0"/>
        <w:ind w:left="0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8" w:history="1">
          <w:r>
            <w:rPr>
              <w:rStyle w:val="Hyperlink"/>
            </w:rPr>
            <w:t>[12]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Rudin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C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Stop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explaining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black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box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machine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learning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models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for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high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stakes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deci-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sions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an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d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u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se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interpretable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models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instead.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Nat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Mach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Intell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2019;1:206–15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158" w:lineRule="exact" w:before="72" w:after="0"/>
        <w:ind w:left="0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8" w:history="1">
          <w:r>
            <w:rPr>
              <w:rStyle w:val="Hyperlink"/>
            </w:rPr>
            <w:t>[13]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Bajorath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J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Foundations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of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data-driven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medicinal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chemistry.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Future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Sci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 xml:space="preserve">OA 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2018;4: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F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SO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32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t>0</w:t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160" w:lineRule="exact" w:before="70" w:after="0"/>
        <w:ind w:left="0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9" w:history="1">
          <w:r>
            <w:rPr>
              <w:rStyle w:val="Hyperlink"/>
            </w:rPr>
            <w:t>[14]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Shen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D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Wu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Suk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HI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Deep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learning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in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medical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image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analysis.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Ann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Rev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 xml:space="preserve">Biomed 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Eng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20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1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7;19:2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2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1–48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160" w:lineRule="exact" w:before="68" w:after="0"/>
        <w:ind w:left="0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9" w:history="1">
          <w:r>
            <w:rPr>
              <w:rStyle w:val="Hyperlink"/>
            </w:rPr>
            <w:t>[15]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0" w:history="1">
          <w:r>
            <w:rPr>
              <w:rStyle w:val="Hyperlink"/>
            </w:rPr>
            <w:t>Deng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0" w:history="1">
          <w:r>
            <w:rPr>
              <w:rStyle w:val="Hyperlink"/>
            </w:rPr>
            <w:t>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0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0" w:history="1">
          <w:r>
            <w:rPr>
              <w:rStyle w:val="Hyperlink"/>
            </w:rPr>
            <w:t>Liu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0" w:history="1">
          <w:r>
            <w:rPr>
              <w:rStyle w:val="Hyperlink"/>
            </w:rPr>
            <w:t>Y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0" w:history="1">
          <w:r>
            <w:rPr>
              <w:rStyle w:val="Hyperlink"/>
            </w:rPr>
            <w:t>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Deep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learning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in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natural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language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processing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(editors).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New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 xml:space="preserve">York: 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Springe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0" w:history="1">
          <w:r>
            <w:rPr>
              <w:rStyle w:val="Hyperlink"/>
            </w:rPr>
            <w:t>;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0" w:history="1">
          <w:r>
            <w:rPr>
              <w:rStyle w:val="Hyperlink"/>
            </w:rPr>
            <w:t>2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0" w:history="1">
          <w:r>
            <w:rPr>
              <w:rStyle w:val="Hyperlink"/>
            </w:rPr>
            <w:t>018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0" w:history="1">
          <w:r>
            <w:rPr>
              <w:rStyle w:val="Hyperlink"/>
            </w:rPr>
            <w:t>.</w:t>
          </w:r>
        </w:hyperlink>
      </w:r>
    </w:p>
    <w:p>
      <w:pPr>
        <w:autoSpaceDN w:val="0"/>
        <w:autoSpaceDE w:val="0"/>
        <w:widowControl/>
        <w:spacing w:line="160" w:lineRule="exact" w:before="70" w:after="0"/>
        <w:ind w:left="322" w:right="120" w:hanging="322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30" w:history="1">
          <w:r>
            <w:rPr>
              <w:rStyle w:val="Hyperlink"/>
            </w:rPr>
            <w:t>[16]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Stokes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t>JM</w:t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Yang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K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wanson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K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Jin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W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C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u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billos-Ru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z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Donghia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NM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McNair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CR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 xml:space="preserve">,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French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C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frae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LA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t>Bloom-Ackermann</w:t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Z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Tran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VM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Chi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ppi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no-Pepe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B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adran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AH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 xml:space="preserve">,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Andrews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IW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Chory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J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Church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GM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Brow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ED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Jaa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k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kola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TS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Barzilay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Collins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JJ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 xml:space="preserve">.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deep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learn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approa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ch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to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antibio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tic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discove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y.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Cell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2020;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1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80:688–70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2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1" w:history="1">
          <w:r>
            <w:rPr>
              <w:rStyle w:val="Hyperlink"/>
            </w:rPr>
            <w:t>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158" w:lineRule="exact" w:before="72" w:after="0"/>
        <w:ind w:left="0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32" w:history="1">
          <w:r>
            <w:rPr>
              <w:rStyle w:val="Hyperlink"/>
            </w:rPr>
            <w:t>[17]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Walters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WP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Murcko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M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Assessing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the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impact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of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generative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AI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on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medicinal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chem-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istry.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Nat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B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o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technol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2" w:history="1">
          <w:r>
            <w:rPr>
              <w:rStyle w:val="Hyperlink"/>
            </w:rPr>
            <w:t>2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0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20;38:143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–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5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160" w:lineRule="exact" w:before="70" w:after="0"/>
        <w:ind w:left="0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33" w:history="1">
          <w:r>
            <w:rPr>
              <w:rStyle w:val="Hyperlink"/>
            </w:rPr>
            <w:t>[18]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Bajorath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J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Kearnes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Walters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WP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Meanwell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NA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Georg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GI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Wang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Artifici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t>l</w:t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intel-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ligence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in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d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rug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disco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v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ery: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into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the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great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wide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op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n.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J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Med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Chem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20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20;63:8651–2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3" w:history="1">
          <w:r>
            <w:rPr>
              <w:rStyle w:val="Hyperlink"/>
            </w:rPr>
            <w:t>.</w:t>
          </w:r>
        </w:hyperlink>
      </w:r>
    </w:p>
    <w:p>
      <w:pPr>
        <w:sectPr>
          <w:type w:val="continuous"/>
          <w:pgSz w:w="11905" w:h="15878"/>
          <w:pgMar w:top="338" w:right="714" w:bottom="252" w:left="758" w:header="720" w:footer="720" w:gutter="0"/>
          <w:cols w:space="720" w:num="2" w:equalWidth="0">
            <w:col w:w="5152" w:space="0"/>
            <w:col w:w="5280" w:space="0"/>
            <w:col w:w="5098" w:space="0"/>
            <w:col w:w="5331" w:space="0"/>
            <w:col w:w="5098" w:space="0"/>
            <w:col w:w="5329" w:space="0"/>
            <w:col w:w="10482" w:space="0"/>
            <w:col w:w="5234" w:space="0"/>
            <w:col w:w="5248" w:space="0"/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12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4</w:t>
      </w:r>
    </w:p>
    <w:sectPr w:rsidR="00FC693F" w:rsidRPr="0006063C" w:rsidSect="00034616">
      <w:type w:val="nextColumn"/>
      <w:pgSz w:w="11905" w:h="15878"/>
      <w:pgMar w:top="338" w:right="714" w:bottom="252" w:left="758" w:header="720" w:footer="720" w:gutter="0"/>
      <w:cols w:space="720" w:num="2" w:equalWidth="0">
        <w:col w:w="5152" w:space="0"/>
        <w:col w:w="5280" w:space="0"/>
        <w:col w:w="5098" w:space="0"/>
        <w:col w:w="5331" w:space="0"/>
        <w:col w:w="5098" w:space="0"/>
        <w:col w:w="5329" w:space="0"/>
        <w:col w:w="10482" w:space="0"/>
        <w:col w:w="5234" w:space="0"/>
        <w:col w:w="5248" w:space="0"/>
        <w:col w:w="1048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i.org/10.1016/j.ailsci.2021.100009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://www.ScienceDirect.com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://www.elsevier.com/locate/ailsci" TargetMode="External"/><Relationship Id="rId14" Type="http://schemas.openxmlformats.org/officeDocument/2006/relationships/hyperlink" Target="mailto:bajorath@bit.uni-bonn.de" TargetMode="External"/><Relationship Id="rId15" Type="http://schemas.openxmlformats.org/officeDocument/2006/relationships/hyperlink" Target="http://creativecommons.org/licenses/by-nc-nd/4.0/" TargetMode="Externa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hyperlink" Target="http://refhub.elsevier.com/S2667-3185(21)00009-X/sbref0001" TargetMode="External"/><Relationship Id="rId19" Type="http://schemas.openxmlformats.org/officeDocument/2006/relationships/hyperlink" Target="http://refhub.elsevier.com/S2667-3185(21)00009-X/sbref0002" TargetMode="External"/><Relationship Id="rId20" Type="http://schemas.openxmlformats.org/officeDocument/2006/relationships/hyperlink" Target="http://refhub.elsevier.com/S2667-3185(21)00009-X/sbref0004" TargetMode="External"/><Relationship Id="rId21" Type="http://schemas.openxmlformats.org/officeDocument/2006/relationships/hyperlink" Target="http://refhub.elsevier.com/S2667-3185(21)00009-X/sbref0005" TargetMode="External"/><Relationship Id="rId22" Type="http://schemas.openxmlformats.org/officeDocument/2006/relationships/hyperlink" Target="http://refhub.elsevier.com/S2667-3185(21)00009-X/sbref0006" TargetMode="External"/><Relationship Id="rId23" Type="http://schemas.openxmlformats.org/officeDocument/2006/relationships/hyperlink" Target="http://refhub.elsevier.com/S2667-3185(21)00009-X/sbref0007" TargetMode="External"/><Relationship Id="rId24" Type="http://schemas.openxmlformats.org/officeDocument/2006/relationships/hyperlink" Target="http://refhub.elsevier.com/S2667-3185(21)00009-X/sbref0008" TargetMode="External"/><Relationship Id="rId25" Type="http://schemas.openxmlformats.org/officeDocument/2006/relationships/hyperlink" Target="http://refhub.elsevier.com/S2667-3185(21)00009-X/sbref0009" TargetMode="External"/><Relationship Id="rId26" Type="http://schemas.openxmlformats.org/officeDocument/2006/relationships/hyperlink" Target="http://refhub.elsevier.com/S2667-3185(21)00009-X/sbref0010" TargetMode="External"/><Relationship Id="rId27" Type="http://schemas.openxmlformats.org/officeDocument/2006/relationships/hyperlink" Target="http://refhub.elsevier.com/S2667-3185(21)00009-X/sbref0011" TargetMode="External"/><Relationship Id="rId28" Type="http://schemas.openxmlformats.org/officeDocument/2006/relationships/hyperlink" Target="http://refhub.elsevier.com/S2667-3185(21)00009-X/sbref0012" TargetMode="External"/><Relationship Id="rId29" Type="http://schemas.openxmlformats.org/officeDocument/2006/relationships/hyperlink" Target="http://refhub.elsevier.com/S2667-3185(21)00009-X/sbref0014" TargetMode="External"/><Relationship Id="rId30" Type="http://schemas.openxmlformats.org/officeDocument/2006/relationships/hyperlink" Target="http://refhub.elsevier.com/S2667-3185(21)00009-X/sbref0015" TargetMode="External"/><Relationship Id="rId31" Type="http://schemas.openxmlformats.org/officeDocument/2006/relationships/hyperlink" Target="http://refhub.elsevier.com/S2667-3185(21)00009-X/sbref0016" TargetMode="External"/><Relationship Id="rId32" Type="http://schemas.openxmlformats.org/officeDocument/2006/relationships/hyperlink" Target="http://refhub.elsevier.com/S2667-3185(21)00009-X/sbref0017" TargetMode="External"/><Relationship Id="rId33" Type="http://schemas.openxmlformats.org/officeDocument/2006/relationships/hyperlink" Target="http://refhub.elsevier.com/S2667-3185(21)00009-X/sbref0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