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241"/>
        <w:gridCol w:w="3241"/>
        <w:gridCol w:w="3241"/>
      </w:tblGrid>
      <w:tr>
        <w:trPr>
          <w:trHeight w:hRule="exact" w:val="22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810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241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0" w:right="0" w:firstLine="0"/>
              <w:jc w:val="center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3241"/>
            <w:vMerge/>
            <w:tcBorders/>
          </w:tcPr>
          <w:p/>
        </w:tc>
      </w:tr>
      <w:tr>
        <w:trPr>
          <w:trHeight w:hRule="exact" w:val="760"/>
        </w:trPr>
        <w:tc>
          <w:tcPr>
            <w:tcW w:type="dxa" w:w="3241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5 ( 2013 )  62 – 66 </w:t>
            </w:r>
          </w:p>
        </w:tc>
        <w:tc>
          <w:tcPr>
            <w:tcW w:type="dxa" w:w="3241"/>
            <w:vMerge/>
            <w:tcBorders/>
          </w:tcPr>
          <w:p/>
        </w:tc>
      </w:tr>
      <w:tr>
        <w:trPr>
          <w:trHeight w:hRule="exact" w:val="2970"/>
        </w:trPr>
        <w:tc>
          <w:tcPr>
            <w:tcW w:type="dxa" w:w="9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2013 AA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ASRI Conf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ference on 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Parallel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Distributed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 Computing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 and Syste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ems </w:t>
            </w:r>
          </w:p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Co-SR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RL: A Co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onvex 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Optimiza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ation Alg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gorithm 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for Anch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hor </w:t>
            </w:r>
          </w:p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Localiz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zation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n Wireles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ss Senso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or Netwo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4"/>
              </w:rPr>
              <w:t xml:space="preserve">orks </w:t>
            </w:r>
          </w:p>
          <w:p>
            <w:pPr>
              <w:autoSpaceDN w:val="0"/>
              <w:autoSpaceDE w:val="0"/>
              <w:widowControl/>
              <w:spacing w:line="264" w:lineRule="auto" w:before="214" w:after="0"/>
              <w:ind w:left="18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Wu Liu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 xml:space="preserve"> 1)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>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Donghon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ng Sun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 xml:space="preserve"> 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Ping Ren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 xml:space="preserve"> 2)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, Yihui Zha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ang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 xml:space="preserve"> 3)</w:t>
            </w:r>
          </w:p>
          <w:p>
            <w:pPr>
              <w:autoSpaceDN w:val="0"/>
              <w:autoSpaceDE w:val="0"/>
              <w:widowControl/>
              <w:spacing w:line="178" w:lineRule="exact" w:before="184" w:after="0"/>
              <w:ind w:left="0" w:right="26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1) N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Network Research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h Center of Tsing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ghua University, B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Beijing, China </w:t>
            </w:r>
          </w:p>
          <w:p>
            <w:pPr>
              <w:autoSpaceDN w:val="0"/>
              <w:autoSpaceDE w:val="0"/>
              <w:widowControl/>
              <w:spacing w:line="178" w:lineRule="exact" w:before="22" w:after="0"/>
              <w:ind w:left="20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2)College of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f Mathematics Sci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ience, Chongqing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g Normal Univers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sity, Chongqing, C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China </w:t>
            </w:r>
          </w:p>
          <w:p>
            <w:pPr>
              <w:autoSpaceDN w:val="0"/>
              <w:autoSpaceDE w:val="0"/>
              <w:widowControl/>
              <w:spacing w:line="180" w:lineRule="exact" w:before="22" w:after="0"/>
              <w:ind w:left="174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3)College of Eco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onomics and Man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agement, North C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China University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of Technology, P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P.R. China</w:t>
            </w:r>
          </w:p>
        </w:tc>
      </w:tr>
    </w:tbl>
    <w:p>
      <w:pPr>
        <w:autoSpaceDN w:val="0"/>
        <w:autoSpaceDE w:val="0"/>
        <w:widowControl/>
        <w:spacing w:line="204" w:lineRule="exact" w:before="886" w:after="176"/>
        <w:ind w:left="35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 xml:space="preserve">Abst </w:t>
      </w:r>
      <w:r>
        <w:rPr>
          <w:rFonts w:ascii="Times" w:hAnsi="Times" w:eastAsia="Times"/>
          <w:b/>
          <w:i w:val="0"/>
          <w:color w:val="000000"/>
          <w:sz w:val="18"/>
        </w:rPr>
        <w:t>tract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7.99999999999997" w:type="dxa"/>
      </w:tblPr>
      <w:tblGrid>
        <w:gridCol w:w="1945"/>
        <w:gridCol w:w="1945"/>
        <w:gridCol w:w="1945"/>
        <w:gridCol w:w="1945"/>
        <w:gridCol w:w="1945"/>
      </w:tblGrid>
      <w:tr>
        <w:trPr>
          <w:trHeight w:hRule="exact" w:val="264"/>
        </w:trPr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This </w:t>
            </w:r>
          </w:p>
        </w:tc>
        <w:tc>
          <w:tcPr>
            <w:tcW w:type="dxa" w:w="42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paper propose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ed a Convex Op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ptimization 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ethod which is </w:t>
            </w:r>
          </w:p>
        </w:tc>
        <w:tc>
          <w:tcPr>
            <w:tcW w:type="dxa" w:w="44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called Co-SRL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L and is used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o localize senso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or location in </w:t>
            </w:r>
          </w:p>
        </w:tc>
      </w:tr>
      <w:tr>
        <w:trPr>
          <w:trHeight w:hRule="exact" w:val="220"/>
        </w:trPr>
        <w:tc>
          <w:tcPr>
            <w:tcW w:type="dxa" w:w="93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Wire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eless Sensor 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etworks.Co-SRL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L can be used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o help the node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e to localize a fr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riendnode or 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mobile node usin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ng anchors. In </w:t>
            </w:r>
          </w:p>
        </w:tc>
      </w:tr>
      <w:tr>
        <w:trPr>
          <w:trHeight w:hRule="exact" w:val="220"/>
        </w:trPr>
        <w:tc>
          <w:tcPr>
            <w:tcW w:type="dxa" w:w="37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Co-S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SRL, convex op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ptimization algo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orithm is used </w:t>
            </w:r>
          </w:p>
        </w:tc>
        <w:tc>
          <w:tcPr>
            <w:tcW w:type="dxa" w:w="55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forthe estimati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onof malicious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 nodeposition.S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Simulation resu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ult shows that </w:t>
            </w:r>
          </w:p>
        </w:tc>
      </w:tr>
      <w:tr>
        <w:trPr>
          <w:trHeight w:hRule="exact" w:val="220"/>
        </w:trPr>
        <w:tc>
          <w:tcPr>
            <w:tcW w:type="dxa" w:w="93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Co-S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SRL is both 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ecure and robu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ust, in an envir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ronment withou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ut colluding, 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Co-SRLcan iden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ntify more tha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an half of the </w:t>
            </w:r>
          </w:p>
        </w:tc>
      </w:tr>
      <w:tr>
        <w:trPr>
          <w:trHeight w:hRule="exact" w:val="224"/>
        </w:trPr>
        <w:tc>
          <w:tcPr>
            <w:tcW w:type="dxa" w:w="80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malic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cious nodes;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and in an envir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ronment with 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colluding, no 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more than 15%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of malicious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s nodescan esc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ape from the </w:t>
            </w:r>
          </w:p>
        </w:tc>
      </w:tr>
    </w:tbl>
    <w:p>
      <w:pPr>
        <w:autoSpaceDN w:val="0"/>
        <w:autoSpaceDE w:val="0"/>
        <w:widowControl/>
        <w:spacing w:line="230" w:lineRule="auto" w:before="12" w:after="180"/>
        <w:ind w:left="3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ident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tification of our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r methods.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45"/>
        <w:gridCol w:w="1945"/>
        <w:gridCol w:w="1945"/>
        <w:gridCol w:w="1945"/>
        <w:gridCol w:w="1945"/>
      </w:tblGrid>
      <w:tr>
        <w:trPr>
          <w:trHeight w:hRule="exact" w:val="626"/>
        </w:trPr>
        <w:tc>
          <w:tcPr>
            <w:tcW w:type="dxa" w:w="9488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© 2013 The Authors. Published by Elsevier B.V.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ong, REN 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 and ZHANG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Open access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16"/>
              </w:rPr>
              <w:hyperlink r:id="rId11" w:history="1">
                <w:r>
                  <w:rPr>
                    <w:rStyle w:val="Hyperlink"/>
                  </w:rPr>
                  <w:t xml:space="preserve">CC BY-NC-ND license.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11" w:history="1">
                <w:r>
                  <w:rPr>
                    <w:rStyle w:val="Hyperlink"/>
                  </w:rPr>
                  <w:t xml:space="preserve">Yihui.Publis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11" w:history="1">
                <w:r>
                  <w:rPr>
                    <w:rStyle w:val="Hyperlink"/>
                  </w:rPr>
                  <w:t xml:space="preserve">shed by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Elsev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vier B.V. </w:t>
            </w:r>
          </w:p>
          <w:p>
            <w:pPr>
              <w:autoSpaceDN w:val="0"/>
              <w:autoSpaceDE w:val="0"/>
              <w:widowControl/>
              <w:spacing w:line="202" w:lineRule="exact" w:before="0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Selection and/or peer review under responsibility of American Applied Science Research Institute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ection and/or 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peer review un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nder responsib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bility of Amer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rican Applied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Science Rese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earch Institute </w:t>
            </w:r>
          </w:p>
        </w:tc>
      </w:tr>
      <w:tr>
        <w:trPr>
          <w:trHeight w:hRule="exact" w:val="540"/>
        </w:trPr>
        <w:tc>
          <w:tcPr>
            <w:tcW w:type="dxa" w:w="390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8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KeyW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Words: Wireless 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Network; Sensor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Network; Netwo</w:t>
            </w:r>
          </w:p>
        </w:tc>
        <w:tc>
          <w:tcPr>
            <w:tcW w:type="dxa" w:w="558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8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rk Security; Algo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orithm; Mean Squ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uare Error </w:t>
            </w:r>
          </w:p>
        </w:tc>
      </w:tr>
      <w:tr>
        <w:trPr>
          <w:trHeight w:hRule="exact" w:val="580"/>
        </w:trPr>
        <w:tc>
          <w:tcPr>
            <w:tcW w:type="dxa" w:w="9488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2" w:after="0"/>
              <w:ind w:left="3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1. In 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ntroduction a 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and Related W 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Works </w:t>
            </w:r>
          </w:p>
        </w:tc>
      </w:tr>
      <w:tr>
        <w:trPr>
          <w:trHeight w:hRule="exact" w:val="360"/>
        </w:trPr>
        <w:tc>
          <w:tcPr>
            <w:tcW w:type="dxa" w:w="182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8" w:after="0"/>
              <w:ind w:left="0" w:right="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the rapid </w:t>
            </w:r>
          </w:p>
        </w:tc>
        <w:tc>
          <w:tcPr>
            <w:tcW w:type="dxa" w:w="76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8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developmen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nt of Internet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 and netwo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ork technolog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gies especiall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ly the wirele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ess network </w:t>
            </w:r>
          </w:p>
        </w:tc>
      </w:tr>
      <w:tr>
        <w:trPr>
          <w:trHeight w:hRule="exact" w:val="240"/>
        </w:trPr>
        <w:tc>
          <w:tcPr>
            <w:tcW w:type="dxa" w:w="390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techn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nologies, now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 there are 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more and mor</w:t>
            </w:r>
          </w:p>
        </w:tc>
        <w:tc>
          <w:tcPr>
            <w:tcW w:type="dxa" w:w="43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 people wor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rking, studyin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ng and enterta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ainment from </w:t>
            </w:r>
          </w:p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Internet via </w:t>
            </w:r>
          </w:p>
        </w:tc>
      </w:tr>
      <w:tr>
        <w:trPr>
          <w:trHeight w:hRule="exact" w:val="240"/>
        </w:trPr>
        <w:tc>
          <w:tcPr>
            <w:tcW w:type="dxa" w:w="9488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eless network.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But as the 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openness of 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wireless netwo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ork, there are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many securi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ty events occ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curred which </w:t>
            </w:r>
          </w:p>
        </w:tc>
      </w:tr>
      <w:tr>
        <w:trPr>
          <w:trHeight w:hRule="exact" w:val="240"/>
        </w:trPr>
        <w:tc>
          <w:tcPr>
            <w:tcW w:type="dxa" w:w="7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lead </w:t>
            </w:r>
          </w:p>
        </w:tc>
        <w:tc>
          <w:tcPr>
            <w:tcW w:type="dxa" w:w="87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great loss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 money for 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sers using wir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reless network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k. So for secu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urity consider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ration and bein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ng served as </w:t>
            </w:r>
          </w:p>
        </w:tc>
      </w:tr>
      <w:tr>
        <w:trPr>
          <w:trHeight w:hRule="exact" w:val="240"/>
        </w:trPr>
        <w:tc>
          <w:tcPr>
            <w:tcW w:type="dxa" w:w="824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evidence of co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omputer crim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es and further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 to finder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 location of 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crimes,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 localization </w:t>
            </w:r>
          </w:p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technique is </w:t>
            </w:r>
          </w:p>
        </w:tc>
      </w:tr>
      <w:tr>
        <w:trPr>
          <w:trHeight w:hRule="exact" w:val="1360"/>
        </w:trPr>
        <w:tc>
          <w:tcPr>
            <w:tcW w:type="dxa" w:w="948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 important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wireless sens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networks. </w:t>
            </w:r>
          </w:p>
        </w:tc>
      </w:tr>
      <w:tr>
        <w:trPr>
          <w:trHeight w:hRule="exact" w:val="1340"/>
        </w:trPr>
        <w:tc>
          <w:tcPr>
            <w:tcW w:type="dxa" w:w="390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2212-6716 © 2013 The Authors. Published by Elsevier B.V.</w:t>
            </w:r>
          </w:p>
        </w:tc>
        <w:tc>
          <w:tcPr>
            <w:tcW w:type="dxa" w:w="55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Open access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16"/>
              </w:rPr>
              <w:hyperlink r:id="rId11" w:history="1">
                <w:r>
                  <w:rPr>
                    <w:rStyle w:val="Hyperlink"/>
                  </w:rPr>
                  <w:t>CC BY-NC-ND license.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78" w:lineRule="exact" w:before="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Selection and/or peer review under responsibility of American Applied Science Research Institute</w:t>
      </w:r>
    </w:p>
    <w:p>
      <w:pPr>
        <w:autoSpaceDN w:val="0"/>
        <w:autoSpaceDE w:val="0"/>
        <w:widowControl/>
        <w:spacing w:line="178" w:lineRule="exact" w:before="2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10.1016/j.aasri.2013.10.059 </w:t>
      </w:r>
    </w:p>
    <w:p>
      <w:pPr>
        <w:sectPr>
          <w:pgSz w:w="10885" w:h="14854"/>
          <w:pgMar w:top="438" w:right="590" w:bottom="212" w:left="572" w:header="720" w:footer="720" w:gutter="0"/>
          <w:cols w:space="720" w:num="1" w:equalWidth="0"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64" w:val="left"/>
        </w:tabs>
        <w:autoSpaceDE w:val="0"/>
        <w:widowControl/>
        <w:spacing w:line="176" w:lineRule="exact" w:before="0" w:after="0"/>
        <w:ind w:left="311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Wu Liu et al. /  AASRI Procedia  5 ( 2013 )  62 – 66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63</w:t>
      </w:r>
    </w:p>
    <w:p>
      <w:pPr>
        <w:autoSpaceDN w:val="0"/>
        <w:autoSpaceDE w:val="0"/>
        <w:widowControl/>
        <w:spacing w:line="247" w:lineRule="auto" w:before="246" w:after="0"/>
        <w:ind w:left="416" w:right="424" w:firstLine="232"/>
        <w:jc w:val="both"/>
      </w:pP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Currently, there are mainly the range based localization methods and the range free localization methods in </w:t>
      </w: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wireless networks. The rangebased localization methods as proposed in [10][8][4], localize nodeswith </w:t>
      </w: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property measurement.On the other hand, the rangefree localizationmethods proposed in [5][2][3][9]localize </w:t>
      </w: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anchors without property measurement. We can tolerate that the website with bad content such as sex and </w:t>
      </w: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violence are banned for the common good of society[5], but it may be a big pity that some websites with </w:t>
      </w: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academic disputations are banned so not reachable only for political reason. [6]Moreover, one path may be </w:t>
      </w: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broken down resulting in some websites not available to certain people, but actually they can still visit the </w:t>
      </w: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webs after many attempts of trying other way only if the websites have other paths. In addition, sometimes </w:t>
      </w: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though the websites are still available to us, we can always find a best way, i.e. with the highest speed to </w:t>
      </w: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use.In one word, we need a put up way which can make the accessibility of the wireless sensor network more </w:t>
      </w: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robust with better performance. </w:t>
      </w:r>
    </w:p>
    <w:p>
      <w:pPr>
        <w:autoSpaceDN w:val="0"/>
        <w:autoSpaceDE w:val="0"/>
        <w:widowControl/>
        <w:spacing w:line="247" w:lineRule="auto" w:before="18" w:after="0"/>
        <w:ind w:left="416" w:right="288" w:firstLine="232"/>
        <w:jc w:val="left"/>
      </w:pP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fact, there are many papersthat study the localizationproblems in sensor networks using optimization </w:t>
      </w: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method. For example,[3] described localization information distributing propagation methods.[10]gave a time </w:t>
      </w: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>a localization discovery method in wireless sensornetworks.The Co-SRL system is answer we find. In Co-</w:t>
      </w: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SRL, there is not any center server, and only a register server generate identifications for the nodes who want </w:t>
      </w: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join the system, but not one is responsible for monitoring the behaviors single nodes. When strange nodes </w:t>
      </w: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come to certain nodes and request for service, the requested nodes make their own opinions on response </w:t>
      </w: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positively or negatively, according to their knowledge of the coming nodes. </w:t>
      </w:r>
    </w:p>
    <w:p>
      <w:pPr>
        <w:autoSpaceDN w:val="0"/>
        <w:autoSpaceDE w:val="0"/>
        <w:widowControl/>
        <w:spacing w:line="245" w:lineRule="auto" w:before="18" w:after="0"/>
        <w:ind w:left="416" w:right="426" w:firstLine="232"/>
        <w:jc w:val="both"/>
      </w:pP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paper is arranged as follows: In section 2, we first introduce some basic principles of localization in </w:t>
      </w: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wireless sensor networks and the optimization method, and then talk about the Co-SRL. In section 3, we </w:t>
      </w: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present the simulation results of Co-SRL.And finally, we give the conclusion of this paper. </w:t>
      </w:r>
    </w:p>
    <w:p>
      <w:pPr>
        <w:autoSpaceDN w:val="0"/>
        <w:autoSpaceDE w:val="0"/>
        <w:widowControl/>
        <w:spacing w:line="224" w:lineRule="exact" w:before="252" w:after="14"/>
        <w:ind w:left="416" w:right="0" w:firstLine="0"/>
        <w:jc w:val="left"/>
      </w:pPr>
      <w:r>
        <w:rPr>
          <w:w w:val="97.79299736022949"/>
          <w:rFonts w:ascii="Times" w:hAnsi="Times" w:eastAsia="Times"/>
          <w:b/>
          <w:i w:val="0"/>
          <w:color w:val="000000"/>
          <w:sz w:val="20"/>
        </w:rPr>
        <w:t xml:space="preserve">2. The Algorithm of Co-SRL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5.99999999999994" w:type="dxa"/>
      </w:tblPr>
      <w:tblGrid>
        <w:gridCol w:w="9551"/>
      </w:tblGrid>
      <w:tr>
        <w:trPr>
          <w:trHeight w:hRule="exact" w:val="1598"/>
        </w:trPr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8" w:lineRule="exact" w:before="0" w:after="0"/>
              <w:ind w:left="0" w:right="0" w:firstLine="0"/>
              <w:jc w:val="center"/>
            </w:pP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problem itself is presented. The sensor network is 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 � ��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 � � �� � � ��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randomlydeployed. 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an anchor, and 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� ��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the position set of  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Both the mobile target and all communications between different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them are malicious in a network. Our enhanced protocol, named Advanced Distance Bounding (AAD) 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"/>
        <w:ind w:left="416" w:right="424" w:firstLine="0"/>
        <w:jc w:val="both"/>
      </w:pP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protocol uses the high-speedDBtechnique.By Using of AAD, it can preventfrom many network attacks aiming </w:t>
      </w: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 wireless sensor networks such as wormhole attacks [1],Sybil attack [1] and Distance reduction attacks etc., </w:t>
      </w:r>
      <w:r>
        <w:rPr>
          <w:w w:val="97.79299736022949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because in this case, malicious anchorswith faked position information will be detectedimmediately by 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5.99999999999994" w:type="dxa"/>
      </w:tblPr>
      <w:tblGrid>
        <w:gridCol w:w="9551"/>
      </w:tblGrid>
      <w:tr>
        <w:trPr>
          <w:trHeight w:hRule="exact" w:val="3620"/>
        </w:trPr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  <w:tab w:pos="982" w:val="left"/>
                <w:tab w:pos="1270" w:val="left"/>
                <w:tab w:pos="1686" w:val="left"/>
              </w:tabs>
              <w:autoSpaceDE w:val="0"/>
              <w:widowControl/>
              <w:spacing w:line="1104" w:lineRule="exact" w:before="0" w:after="0"/>
              <w:ind w:left="210" w:right="0" w:firstLine="0"/>
              <w:jc w:val="left"/>
            </w:pP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shownabove, if there existmeasurementnegative errorsthe intersection region 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the disks 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may be 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empty. The disk  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���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corresponds to the circle drawn with the position of anchor 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being served the center 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the distance between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  <w:u w:val="single"/>
              </w:rPr>
              <w:t>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the target t as the radius. In this case, it will result in the increased distance 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estimation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node 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Let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  <w:u w:val="single"/>
              </w:rPr>
              <w:t>��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circles. There must exist some malicious nodes in the non-empty region 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Localization,it would minimize the worst case error in estimation.Where 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is the point satisfyingthat 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�����</w:t>
            </w:r>
            <w:r>
              <w:rPr>
                <w:w w:val="97.59833017985025"/>
                <w:rFonts w:ascii="Cambria" w:hAnsi="Cambria" w:eastAsia="Cambria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center.As a result, to obtain 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,we will find the solution of the following equation (4.1). </w:t>
            </w:r>
            <w:r>
              <w:tab/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All points in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59833017985025"/>
                <w:rFonts w:ascii="Cambria" w:hAnsi="Cambria" w:eastAsia="Cambria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 � 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 � ���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�����</w:t>
            </w:r>
            <w:r>
              <w:rPr>
                <w:w w:val="97.59833017985025"/>
                <w:rFonts w:ascii="Cambria" w:hAnsi="Cambria" w:eastAsia="Cambria"/>
                <w:b w:val="0"/>
                <w:i w:val="0"/>
                <w:color w:val="000000"/>
                <w:sz w:val="12"/>
              </w:rPr>
              <w:t>�</w:t>
            </w:r>
            <w:r>
              <w:tab/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denotes the increased bound disks, andlet 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</w:p>
          <w:p>
            <w:pPr>
              <w:autoSpaceDN w:val="0"/>
              <w:autoSpaceDE w:val="0"/>
              <w:widowControl/>
              <w:spacing w:line="1044" w:lineRule="exact" w:before="48" w:after="0"/>
              <w:ind w:left="5376" w:right="144" w:hanging="3594"/>
              <w:jc w:val="left"/>
            </w:pP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likely be the position of Malicious Node. 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59833017985025"/>
                <w:rFonts w:ascii="Cambria" w:hAnsi="Cambria" w:eastAsia="Cambria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 � ��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for any </w:t>
            </w:r>
            <w:r>
              <w:rPr>
                <w:w w:val="97.79299736022949"/>
                <w:rFonts w:ascii="Cambria" w:hAnsi="Cambria" w:eastAsia="Cambria"/>
                <w:b w:val="0"/>
                <w:i w:val="0"/>
                <w:color w:val="000000"/>
                <w:sz w:val="20"/>
              </w:rPr>
              <w:t>� � �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Butit is very difficult to calculate the geometric </w:t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denotes the corresponding increased bound </w:t>
            </w:r>
          </w:p>
          <w:p>
            <w:pPr>
              <w:autoSpaceDN w:val="0"/>
              <w:autoSpaceDE w:val="0"/>
              <w:widowControl/>
              <w:spacing w:line="462" w:lineRule="exact" w:before="302" w:after="0"/>
              <w:ind w:left="6508" w:right="144" w:hanging="168"/>
              <w:jc w:val="left"/>
            </w:pP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used as the Malicious Node </w:t>
            </w:r>
            <w:r>
              <w:br/>
            </w:r>
            <w:r>
              <w:rPr>
                <w:w w:val="97.8771414075579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79299736022949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which is the intersection of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40" w:bottom="1140" w:left="794" w:header="720" w:footer="720" w:gutter="0"/>
          <w:cols w:space="720" w:num="1" w:equalWidth="0">
            <w:col w:w="9552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22"/>
        <w:gridCol w:w="4822"/>
      </w:tblGrid>
      <w:tr>
        <w:trPr>
          <w:trHeight w:hRule="exact" w:val="5752"/>
        </w:trPr>
        <w:tc>
          <w:tcPr>
            <w:tcW w:type="dxa" w:w="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64</w:t>
            </w:r>
          </w:p>
        </w:tc>
        <w:tc>
          <w:tcPr>
            <w:tcW w:type="dxa" w:w="9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73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Wu Liu et al. /  AASRI Procedia  5 ( 2013 )  62 – 66 </w:t>
            </w:r>
          </w:p>
          <w:p>
            <w:pPr>
              <w:autoSpaceDN w:val="0"/>
              <w:autoSpaceDE w:val="0"/>
              <w:widowControl/>
              <w:spacing w:line="1092" w:lineRule="exact" w:before="0" w:after="0"/>
              <w:ind w:left="210" w:right="0" w:firstLine="0"/>
              <w:jc w:val="left"/>
            </w:pP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Where, 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 � � � 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fact, it means that we use a common factor 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tosimultaneously shrink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������������� � 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 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 � 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 � � 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�������</w:t>
            </w:r>
          </w:p>
          <w:p>
            <w:pPr>
              <w:autoSpaceDN w:val="0"/>
              <w:tabs>
                <w:tab w:pos="8430" w:val="left"/>
              </w:tabs>
              <w:autoSpaceDE w:val="0"/>
              <w:widowControl/>
              <w:spacing w:line="846" w:lineRule="exact" w:before="0" w:after="0"/>
              <w:ind w:left="6800" w:right="144" w:firstLine="0"/>
              <w:jc w:val="left"/>
            </w:pP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(all disks), as much as </w:t>
            </w:r>
            <w:r>
              <w:br/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 � � �� � � ��</w:t>
            </w:r>
            <w:r>
              <w:tab/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�����</w:t>
            </w:r>
          </w:p>
          <w:p>
            <w:pPr>
              <w:autoSpaceDN w:val="0"/>
              <w:autoSpaceDE w:val="0"/>
              <w:widowControl/>
              <w:spacing w:line="1092" w:lineRule="exact" w:before="0" w:after="0"/>
              <w:ind w:left="0" w:right="0" w:firstLine="0"/>
              <w:jc w:val="center"/>
            </w:pP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objective function as shown in equation (4.1) is to maximize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 and finally to minimize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which is the 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shrinking factor. Clearly, there existsa unique optimal solution 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for this convex optimization problem. </w:t>
            </w:r>
          </w:p>
          <w:p>
            <w:pPr>
              <w:autoSpaceDN w:val="0"/>
              <w:tabs>
                <w:tab w:pos="3624" w:val="left"/>
                <w:tab w:pos="3892" w:val="left"/>
                <w:tab w:pos="4948" w:val="left"/>
                <w:tab w:pos="5212" w:val="left"/>
                <w:tab w:pos="5896" w:val="left"/>
                <w:tab w:pos="7458" w:val="left"/>
              </w:tabs>
              <w:autoSpaceDE w:val="0"/>
              <w:widowControl/>
              <w:spacing w:line="1092" w:lineRule="exact" w:before="0" w:after="0"/>
              <w:ind w:left="210" w:right="0" w:firstLine="0"/>
              <w:jc w:val="left"/>
            </w:pP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the Largrangian multiplier [7]. By using the algorithm which is presented in Algorithm 1, the 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 � � � 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tab/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�������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���� � 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 �������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(4.2) </w:t>
            </w:r>
          </w:p>
          <w:p>
            <w:pPr>
              <w:autoSpaceDN w:val="0"/>
              <w:autoSpaceDE w:val="0"/>
              <w:widowControl/>
              <w:spacing w:line="1092" w:lineRule="exact" w:before="0" w:after="0"/>
              <w:ind w:left="0" w:right="0" w:firstLine="0"/>
              <w:jc w:val="center"/>
            </w:pP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get the solution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(the center of 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will be served as the approximation of the localization of the Malicious Node. 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valuekeeps increasingin algorithm 1,which willresult in the reduction of 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after sometimes of repeat when 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has been reduced greatly. 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. Finally, the itstopped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210" w:right="0" w:firstLine="0"/>
              <w:jc w:val="left"/>
            </w:pP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minimization. </w:t>
            </w:r>
          </w:p>
          <w:p>
            <w:pPr>
              <w:autoSpaceDN w:val="0"/>
              <w:autoSpaceDE w:val="0"/>
              <w:widowControl/>
              <w:spacing w:line="230" w:lineRule="auto" w:before="1110" w:after="0"/>
              <w:ind w:left="1134" w:right="0" w:firstLine="0"/>
              <w:jc w:val="left"/>
            </w:pP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Algorithm 1. The optimization method to obtain an approximation to the geometric center </w:t>
            </w:r>
          </w:p>
        </w:tc>
      </w:tr>
    </w:tbl>
    <w:p>
      <w:pPr>
        <w:autoSpaceDN w:val="0"/>
        <w:autoSpaceDE w:val="0"/>
        <w:widowControl/>
        <w:spacing w:line="260" w:lineRule="exact" w:before="128" w:after="0"/>
        <w:ind w:left="1482" w:right="0" w:firstLine="0"/>
        <w:jc w:val="left"/>
      </w:pP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1: Initialize x, </w:t>
      </w:r>
      <w:r>
        <w:rPr>
          <w:w w:val="97.86499977111816"/>
          <w:rFonts w:ascii="Times" w:hAnsi="Times" w:eastAsia="Times"/>
          <w:b w:val="0"/>
          <w:i/>
          <w:color w:val="000000"/>
          <w:sz w:val="20"/>
        </w:rPr>
        <w:t>LM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>=</w:t>
      </w:r>
      <w:r>
        <w:rPr>
          <w:w w:val="97.86499977111816"/>
          <w:rFonts w:ascii="Times" w:hAnsi="Times" w:eastAsia="Times"/>
          <w:b w:val="0"/>
          <w:i/>
          <w:color w:val="000000"/>
          <w:sz w:val="20"/>
        </w:rPr>
        <w:t>LM</w:t>
      </w:r>
      <w:r>
        <w:rPr>
          <w:w w:val="97.36923071054312"/>
          <w:rFonts w:ascii="TimesNewRomanPSMT" w:hAnsi="TimesNewRomanPSMT" w:eastAsia="TimesNewRomanPSMT"/>
          <w:b w:val="0"/>
          <w:i w:val="0"/>
          <w:color w:val="000000"/>
          <w:sz w:val="13"/>
        </w:rPr>
        <w:t>(0)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>=1.00&gt;0,�=10.00&gt;0,ERR=1×10</w:t>
      </w:r>
      <w:r>
        <w:rPr>
          <w:w w:val="97.36923071054312"/>
          <w:rFonts w:ascii="TimesNewRomanPSMT" w:hAnsi="TimesNewRomanPSMT" w:eastAsia="TimesNewRomanPSMT"/>
          <w:b w:val="0"/>
          <w:i w:val="0"/>
          <w:color w:val="000000"/>
          <w:sz w:val="13"/>
        </w:rPr>
        <w:t>-6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&gt;0. </w:t>
      </w:r>
    </w:p>
    <w:p>
      <w:pPr>
        <w:autoSpaceDN w:val="0"/>
        <w:autoSpaceDE w:val="0"/>
        <w:widowControl/>
        <w:spacing w:line="233" w:lineRule="auto" w:before="194" w:after="0"/>
        <w:ind w:left="1482" w:right="0" w:firstLine="0"/>
        <w:jc w:val="left"/>
      </w:pP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2: repeat </w:t>
      </w:r>
    </w:p>
    <w:p>
      <w:pPr>
        <w:autoSpaceDN w:val="0"/>
        <w:autoSpaceDE w:val="0"/>
        <w:widowControl/>
        <w:spacing w:line="246" w:lineRule="exact" w:before="190" w:after="0"/>
        <w:ind w:left="1874" w:right="0" w:firstLine="0"/>
        <w:jc w:val="left"/>
      </w:pP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3: Beginning at x, calculate </w:t>
      </w:r>
      <w:r>
        <w:rPr>
          <w:w w:val="97.86499977111816"/>
          <w:rFonts w:ascii="Times" w:hAnsi="Times" w:eastAsia="Times"/>
          <w:b w:val="0"/>
          <w:i/>
          <w:color w:val="000000"/>
          <w:sz w:val="20"/>
        </w:rPr>
        <w:t>x</w:t>
      </w:r>
      <w:r>
        <w:rPr>
          <w:w w:val="97.36923071054312"/>
          <w:rFonts w:ascii="Times" w:hAnsi="Times" w:eastAsia="Times"/>
          <w:b w:val="0"/>
          <w:i/>
          <w:color w:val="000000"/>
          <w:sz w:val="13"/>
        </w:rPr>
        <w:t>*</w:t>
      </w:r>
      <w:r>
        <w:rPr>
          <w:w w:val="97.86499977111816"/>
          <w:rFonts w:ascii="Times" w:hAnsi="Times" w:eastAsia="Times"/>
          <w:b w:val="0"/>
          <w:i/>
          <w:color w:val="000000"/>
          <w:sz w:val="20"/>
        </w:rPr>
        <w:t xml:space="preserve">(LM) by minimizing the objective in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(4.2). </w:t>
      </w:r>
    </w:p>
    <w:p>
      <w:pPr>
        <w:autoSpaceDN w:val="0"/>
        <w:autoSpaceDE w:val="0"/>
        <w:widowControl/>
        <w:spacing w:line="258" w:lineRule="exact" w:before="184" w:after="500"/>
        <w:ind w:left="1874" w:right="0" w:firstLine="0"/>
        <w:jc w:val="left"/>
      </w:pP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4: Update x:=</w:t>
      </w:r>
      <w:r>
        <w:rPr>
          <w:w w:val="97.86499977111816"/>
          <w:rFonts w:ascii="Times" w:hAnsi="Times" w:eastAsia="Times"/>
          <w:b w:val="0"/>
          <w:i/>
          <w:color w:val="000000"/>
          <w:sz w:val="20"/>
        </w:rPr>
        <w:t xml:space="preserve"> x</w:t>
      </w:r>
      <w:r>
        <w:rPr>
          <w:w w:val="97.36923071054312"/>
          <w:rFonts w:ascii="Times" w:hAnsi="Times" w:eastAsia="Times"/>
          <w:b w:val="0"/>
          <w:i/>
          <w:color w:val="000000"/>
          <w:sz w:val="13"/>
        </w:rPr>
        <w:t>*</w:t>
      </w:r>
      <w:r>
        <w:rPr>
          <w:w w:val="97.86499977111816"/>
          <w:rFonts w:ascii="Times" w:hAnsi="Times" w:eastAsia="Times"/>
          <w:b w:val="0"/>
          <w:i/>
          <w:color w:val="000000"/>
          <w:sz w:val="20"/>
        </w:rPr>
        <w:t>(LM); LM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>:= �·</w:t>
      </w:r>
      <w:r>
        <w:rPr>
          <w:w w:val="97.86499977111816"/>
          <w:rFonts w:ascii="Times" w:hAnsi="Times" w:eastAsia="Times"/>
          <w:b w:val="0"/>
          <w:i/>
          <w:color w:val="000000"/>
          <w:sz w:val="20"/>
        </w:rPr>
        <w:t>LM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.0" w:type="dxa"/>
      </w:tblPr>
      <w:tblGrid>
        <w:gridCol w:w="9645"/>
      </w:tblGrid>
      <w:tr>
        <w:trPr>
          <w:trHeight w:hRule="exact" w:val="1244"/>
        </w:trPr>
        <w:tc>
          <w:tcPr>
            <w:tcW w:type="dxa" w:w="9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90" w:right="0" w:firstLine="0"/>
              <w:jc w:val="left"/>
            </w:pP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Algorithm 1: The optimization algorithm 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290" w:right="0" w:firstLine="0"/>
              <w:jc w:val="left"/>
            </w:pP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anchors can perform the localization operations. 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this research, it is assumed that the malicious node </w:t>
            </w:r>
            <w:r>
              <w:rPr>
                <w:w w:val="97.86499977111816"/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w w:val="97.94857161385673"/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49997711181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has adequate ability to perform the </w:t>
            </w:r>
          </w:p>
        </w:tc>
      </w:tr>
    </w:tbl>
    <w:p>
      <w:pPr>
        <w:autoSpaceDN w:val="0"/>
        <w:autoSpaceDE w:val="0"/>
        <w:widowControl/>
        <w:spacing w:line="222" w:lineRule="exact" w:before="192" w:after="0"/>
        <w:ind w:left="558" w:right="0" w:firstLine="0"/>
        <w:jc w:val="left"/>
      </w:pPr>
      <w:r>
        <w:rPr>
          <w:w w:val="97.86499977111816"/>
          <w:rFonts w:ascii="Times" w:hAnsi="Times" w:eastAsia="Times"/>
          <w:b/>
          <w:i w:val="0"/>
          <w:color w:val="000000"/>
          <w:sz w:val="20"/>
        </w:rPr>
        <w:t xml:space="preserve">3. Simulation Results </w:t>
      </w:r>
    </w:p>
    <w:p>
      <w:pPr>
        <w:autoSpaceDN w:val="0"/>
        <w:autoSpaceDE w:val="0"/>
        <w:widowControl/>
        <w:spacing w:line="245" w:lineRule="auto" w:before="238" w:after="0"/>
        <w:ind w:left="558" w:right="370" w:firstLine="232"/>
        <w:jc w:val="both"/>
      </w:pP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proposed methodhas been implementedusingthe Matlab software. We apply the algorithm into the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design the Co-SRLsystem which is an application overlay of the physical networks. It is constructed by the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nodes and their accessible parts of the Internet. every peer in the system is a proxy which voluntarily relay the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traffic of pass through it . Each node of Co-SRLis composed of 4 subsystems: The Functional-Module, the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Calculation-Engine, the Friends-List and the Evaluation-Engine. Where, the Functional-Module is used for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transferring traffic, registering and other functions. Our policy model for admission control is implemented in </w:t>
      </w:r>
      <w:r>
        <w:rPr>
          <w:w w:val="97.8649997711181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calculation engine. When a new node comes, the calculate engine is responsible to calculate its trust value </w:t>
      </w:r>
    </w:p>
    <w:p>
      <w:pPr>
        <w:sectPr>
          <w:pgSz w:w="10885" w:h="14854"/>
          <w:pgMar w:top="368" w:right="588" w:bottom="1336" w:left="652" w:header="720" w:footer="720" w:gutter="0"/>
          <w:cols w:space="720" w:num="1" w:equalWidth="0">
            <w:col w:w="9646" w:space="0"/>
            <w:col w:w="9552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3454400</wp:posOffset>
            </wp:positionV>
            <wp:extent cx="1130300" cy="4064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406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747"/>
        <w:gridCol w:w="4747"/>
      </w:tblGrid>
      <w:tr>
        <w:trPr>
          <w:trHeight w:hRule="exact" w:val="7128"/>
        </w:trPr>
        <w:tc>
          <w:tcPr>
            <w:tcW w:type="dxa" w:w="8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9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Wu Liu et al. /  AASRI Procedia  5 ( 2013 )  62 – 66 </w:t>
            </w:r>
          </w:p>
          <w:p>
            <w:pPr>
              <w:autoSpaceDN w:val="0"/>
              <w:autoSpaceDE w:val="0"/>
              <w:widowControl/>
              <w:spacing w:line="1358" w:lineRule="exact" w:before="0" w:after="0"/>
              <w:ind w:left="3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for further calculation for the calculate engine.We construct a simulation field with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</w:rPr>
              <w:t xml:space="preserve"> ���� � ����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 .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</w:rPr>
              <w:t>��������������������������������������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and the Malicious Node was restrictedto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</w:rPr>
              <w:t>����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. We randomly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deployed anchorsin the range of the Malicious Node t. We chose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</w:rPr>
              <w:t>���</w:t>
            </w:r>
            <w:r>
              <w:rPr>
                <w:w w:val="102.26461703960712"/>
                <w:rFonts w:ascii="Cambria" w:hAnsi="Cambria" w:eastAsia="Cambria"/>
                <w:b w:val="0"/>
                <w:i w:val="0"/>
                <w:color w:val="000000"/>
                <w:sz w:val="13"/>
              </w:rPr>
              <w:t>���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=0.1 asthe maximum value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measurement of the error proportion.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</w:rPr>
              <w:t>��</w:t>
            </w:r>
            <w:r>
              <w:rPr>
                <w:w w:val="102.26461703960712"/>
                <w:rFonts w:ascii="Cambria" w:hAnsi="Cambria" w:eastAsia="Cambria"/>
                <w:b w:val="0"/>
                <w:i w:val="0"/>
                <w:color w:val="000000"/>
                <w:sz w:val="13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</w:rPr>
              <w:t xml:space="preserve"> � �������������������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value forthe lie proportion. Therefore,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</w:rPr>
              <w:t>�������������������</w:t>
            </w:r>
            <w:r>
              <w:rPr>
                <w:w w:val="102.26461703960712"/>
                <w:rFonts w:ascii="Cambria" w:hAnsi="Cambria" w:eastAsia="Cambria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</w:rPr>
              <w:t>�������</w:t>
            </w:r>
            <w:r>
              <w:rPr>
                <w:w w:val="102.26461703960712"/>
                <w:rFonts w:ascii="Cambria" w:hAnsi="Cambria" w:eastAsia="Cambria"/>
                <w:b w:val="0"/>
                <w:i w:val="0"/>
                <w:color w:val="000000"/>
                <w:sz w:val="13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</w:rPr>
              <w:t>�������������������������������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, set its distance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</w:rPr>
              <w:t>���</w:t>
            </w:r>
            <w:r>
              <w:rPr>
                <w:w w:val="102.26461703960712"/>
                <w:rFonts w:ascii="Cambria" w:hAnsi="Cambria" w:eastAsia="Cambria"/>
                <w:b w:val="0"/>
                <w:i w:val="0"/>
                <w:color w:val="000000"/>
                <w:sz w:val="13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</w:rPr>
              <w:t>� ��</w:t>
            </w:r>
            <w:r>
              <w:rPr>
                <w:w w:val="102.26461703960712"/>
                <w:rFonts w:ascii="Cambria" w:hAnsi="Cambria" w:eastAsia="Cambria"/>
                <w:b w:val="0"/>
                <w:i w:val="0"/>
                <w:color w:val="000000"/>
                <w:sz w:val="13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</w:rPr>
              <w:t xml:space="preserve"> � �� � ��</w:t>
            </w:r>
            <w:r>
              <w:rPr>
                <w:w w:val="102.26461703960712"/>
                <w:rFonts w:ascii="Cambria" w:hAnsi="Cambria" w:eastAsia="Cambria"/>
                <w:b w:val="0"/>
                <w:i w:val="0"/>
                <w:color w:val="000000"/>
                <w:sz w:val="13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</w:rPr>
              <w:t>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1060" w:lineRule="exact" w:before="0" w:after="0"/>
              <w:ind w:left="3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method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</w:rPr>
              <w:t xml:space="preserve"> 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 the maliciousanchors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</w:rPr>
              <w:t>����������������� ��������������������������������������������������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4.00000000000006" w:type="dxa"/>
            </w:tblPr>
            <w:tblGrid>
              <w:gridCol w:w="8860"/>
            </w:tblGrid>
            <w:tr>
              <w:trPr>
                <w:trHeight w:hRule="exact" w:val="3814"/>
              </w:trPr>
              <w:tc>
                <w:tcPr>
                  <w:tcW w:type="dxa" w:w="8376"/>
                  <w:tcBorders>
                    <w:start w:sz="11.359999656677246" w:val="single" w:color="#000000"/>
                    <w:top w:sz="11.359999656677246" w:val="single" w:color="#000000"/>
                    <w:end w:sz="11.359999656677246" w:val="single" w:color="#000000"/>
                    <w:bottom w:sz="11.35999965667724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58" w:after="286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Simulation Results of Co-SRL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1.99999999999989" w:type="dxa"/>
                  </w:tblPr>
                  <w:tblGrid>
                    <w:gridCol w:w="2094"/>
                    <w:gridCol w:w="2094"/>
                    <w:gridCol w:w="2094"/>
                    <w:gridCol w:w="2094"/>
                  </w:tblGrid>
                  <w:tr>
                    <w:trPr>
                      <w:trHeight w:hRule="exact" w:val="336"/>
                    </w:trPr>
                    <w:tc>
                      <w:tcPr>
                        <w:tcW w:type="dxa" w:w="4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6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9"/>
                          </w:rPr>
                          <w:t xml:space="preserve">Malicious Anchors Detected </w:t>
                        </w:r>
                      </w:p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60" w:after="0"/>
                          <w:ind w:left="0" w:right="18" w:firstLine="0"/>
                          <w:jc w:val="righ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9"/>
                          </w:rPr>
                          <w:t xml:space="preserve">1 </w:t>
                        </w:r>
                      </w:p>
                    </w:tc>
                    <w:tc>
                      <w:tcPr>
                        <w:tcW w:type="dxa" w:w="57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156" w:after="0"/>
                          <w:ind w:left="40" w:right="0" w:firstLine="0"/>
                          <w:jc w:val="left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441700" cy="1282700"/>
                              <wp:docPr id="3" name="Picture 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41700" cy="12827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type="dxa" w:w="15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908" w:after="0"/>
                          <w:ind w:left="328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5"/>
                          </w:rPr>
                          <w:t xml:space="preserve">Without-Collude </w:t>
                        </w:r>
                      </w:p>
                    </w:tc>
                  </w:tr>
                  <w:tr>
                    <w:trPr>
                      <w:trHeight w:hRule="exact" w:val="380"/>
                    </w:trPr>
                    <w:tc>
                      <w:tcPr>
                        <w:tcW w:type="dxa" w:w="2094"/>
                        <w:vMerge/>
                        <w:tcBorders/>
                      </w:tcPr>
                      <w:p/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78" w:after="0"/>
                          <w:ind w:left="98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9"/>
                          </w:rPr>
                          <w:t xml:space="preserve">0.8 </w:t>
                        </w:r>
                      </w:p>
                    </w:tc>
                    <w:tc>
                      <w:tcPr>
                        <w:tcW w:type="dxa" w:w="2094"/>
                        <w:vMerge/>
                        <w:tcBorders/>
                      </w:tcPr>
                      <w:p/>
                    </w:tc>
                    <w:tc>
                      <w:tcPr>
                        <w:tcW w:type="dxa" w:w="2094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360"/>
                    </w:trPr>
                    <w:tc>
                      <w:tcPr>
                        <w:tcW w:type="dxa" w:w="2094"/>
                        <w:vMerge/>
                        <w:tcBorders/>
                      </w:tcPr>
                      <w:p/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98" w:after="0"/>
                          <w:ind w:left="98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9"/>
                          </w:rPr>
                          <w:t xml:space="preserve">0.6 </w:t>
                        </w:r>
                      </w:p>
                    </w:tc>
                    <w:tc>
                      <w:tcPr>
                        <w:tcW w:type="dxa" w:w="2094"/>
                        <w:vMerge/>
                        <w:tcBorders/>
                      </w:tcPr>
                      <w:p/>
                    </w:tc>
                    <w:tc>
                      <w:tcPr>
                        <w:tcW w:type="dxa" w:w="2094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440"/>
                    </w:trPr>
                    <w:tc>
                      <w:tcPr>
                        <w:tcW w:type="dxa" w:w="2094"/>
                        <w:vMerge/>
                        <w:tcBorders/>
                      </w:tcPr>
                      <w:p/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38" w:after="0"/>
                          <w:ind w:left="98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9"/>
                          </w:rPr>
                          <w:t xml:space="preserve">0.4 </w:t>
                        </w:r>
                      </w:p>
                    </w:tc>
                    <w:tc>
                      <w:tcPr>
                        <w:tcW w:type="dxa" w:w="2094"/>
                        <w:vMerge/>
                        <w:tcBorders/>
                      </w:tcPr>
                      <w:p/>
                    </w:tc>
                    <w:tc>
                      <w:tcPr>
                        <w:tcW w:type="dxa" w:w="15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2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5"/>
                          </w:rPr>
                          <w:t xml:space="preserve">With-Collude </w:t>
                        </w: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                   <w:tcW w:type="dxa" w:w="2094"/>
                        <w:vMerge/>
                        <w:tcBorders/>
                      </w:tcPr>
                      <w:p/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96" w:after="0"/>
                          <w:ind w:left="98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9"/>
                          </w:rPr>
                          <w:t xml:space="preserve">0.2 </w:t>
                        </w:r>
                      </w:p>
                    </w:tc>
                    <w:tc>
                      <w:tcPr>
                        <w:tcW w:type="dxa" w:w="2094"/>
                        <w:vMerge/>
                        <w:tcBorders/>
                      </w:tcPr>
                      <w:p/>
                    </w:tc>
                    <w:tc>
                      <w:tcPr>
                        <w:tcW w:type="dxa" w:w="2094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300"/>
                    </w:trPr>
                    <w:tc>
                      <w:tcPr>
                        <w:tcW w:type="dxa" w:w="2094"/>
                        <w:vMerge/>
                        <w:tcBorders/>
                      </w:tcPr>
                      <w:p/>
                    </w:tc>
                    <w:tc>
                      <w:tcPr>
                        <w:tcW w:type="dxa" w:w="4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00" w:after="0"/>
                          <w:ind w:left="0" w:right="18" w:firstLine="0"/>
                          <w:jc w:val="righ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9"/>
                          </w:rPr>
                          <w:t xml:space="preserve">0 </w:t>
                        </w:r>
                      </w:p>
                    </w:tc>
                    <w:tc>
                      <w:tcPr>
                        <w:tcW w:type="dxa" w:w="2094"/>
                        <w:vMerge/>
                        <w:tcBorders/>
                      </w:tcPr>
                      <w:p/>
                    </w:tc>
                    <w:tc>
                      <w:tcPr>
                        <w:tcW w:type="dxa" w:w="2094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320"/>
                    </w:trPr>
                    <w:tc>
                      <w:tcPr>
                        <w:tcW w:type="dxa" w:w="2094"/>
                        <w:vMerge/>
                        <w:tcBorders/>
                      </w:tcPr>
                      <w:p/>
                    </w:tc>
                    <w:tc>
                      <w:tcPr>
                        <w:tcW w:type="dxa" w:w="2094"/>
                        <w:vMerge/>
                        <w:tcBorders/>
                      </w:tcPr>
                      <w:p/>
                    </w:tc>
                    <w:tc>
                      <w:tcPr>
                        <w:tcW w:type="dxa" w:w="57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50" w:after="0"/>
                          <w:ind w:left="33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9"/>
                          </w:rPr>
                          <w:t xml:space="preserve">5            6         7           8           9         10         11         12        13 </w:t>
                        </w:r>
                      </w:p>
                    </w:tc>
                    <w:tc>
                      <w:tcPr>
                        <w:tcW w:type="dxa" w:w="2094"/>
                        <w:vMerge/>
                        <w:tcBorders/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0" w:lineRule="auto" w:before="132" w:after="0"/>
                    <w:ind w:left="0" w:right="362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Total number of Anchors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</w:t>
            </w:r>
          </w:p>
        </w:tc>
      </w:tr>
    </w:tbl>
    <w:p>
      <w:pPr>
        <w:autoSpaceDN w:val="0"/>
        <w:autoSpaceDE w:val="0"/>
        <w:widowControl/>
        <w:spacing w:line="230" w:lineRule="auto" w:before="290" w:after="16"/>
        <w:ind w:left="5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Figure 2.Simulation result of our method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4747"/>
        <w:gridCol w:w="4747"/>
      </w:tblGrid>
      <w:tr>
        <w:trPr>
          <w:trHeight w:hRule="exact" w:val="2540"/>
        </w:trPr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2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1143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82" w:val="left"/>
                <w:tab w:pos="5452" w:val="left"/>
                <w:tab w:pos="6056" w:val="left"/>
                <w:tab w:pos="6484" w:val="left"/>
                <w:tab w:pos="7380" w:val="left"/>
                <w:tab w:pos="7494" w:val="left"/>
                <w:tab w:pos="8350" w:val="left"/>
              </w:tabs>
              <w:autoSpaceDE w:val="0"/>
              <w:widowControl/>
              <w:spacing w:line="668" w:lineRule="exact" w:before="404" w:after="0"/>
              <w:ind w:left="248" w:right="144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</w:rPr>
              <w:t>�������������������������������������������������������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[3]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</w:rPr>
              <w:t xml:space="preserve"> ����������������������������������������������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 .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</w:rPr>
              <w:t>�����������������������������������������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  <w:u w:val="single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</w:rPr>
              <w:t>�������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[6]. Figure 2 shows the simulation results of our method,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</w:rPr>
              <w:t>�������������������������������� ���������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  <w:u w:val="single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</w:rPr>
              <w:t>��������������������������������������������������� ����������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that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[8]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error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prone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measurements, </w:t>
            </w:r>
          </w:p>
          <w:p>
            <w:pPr>
              <w:autoSpaceDN w:val="0"/>
              <w:autoSpaceDE w:val="0"/>
              <w:widowControl/>
              <w:spacing w:line="1060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</w:rPr>
              <w:t>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that aregotten by the method proposed by us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9"/>
              </w:rPr>
              <w:t>��� � ����</w:t>
            </w:r>
          </w:p>
        </w:tc>
      </w:tr>
    </w:tbl>
    <w:p>
      <w:pPr>
        <w:autoSpaceDN w:val="0"/>
        <w:autoSpaceDE w:val="0"/>
        <w:widowControl/>
        <w:spacing w:line="216" w:lineRule="exact" w:before="16" w:after="0"/>
        <w:ind w:left="57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9"/>
        </w:rPr>
        <w:t xml:space="preserve">4. Conclusion </w:t>
      </w:r>
    </w:p>
    <w:p>
      <w:pPr>
        <w:autoSpaceDN w:val="0"/>
        <w:autoSpaceDE w:val="0"/>
        <w:widowControl/>
        <w:spacing w:line="245" w:lineRule="auto" w:before="238" w:after="0"/>
        <w:ind w:left="578" w:right="432" w:firstLine="22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This paper proposed a Convex Optimization method which is called Co-SRL and is used to localize sensor 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location in Wireless Sensor Networks. Co-SRLcan be used to help the node to localize a friendly target or </w:t>
      </w:r>
    </w:p>
    <w:p>
      <w:pPr>
        <w:sectPr>
          <w:pgSz w:w="10885" w:h="14854"/>
          <w:pgMar w:top="368" w:right="540" w:bottom="1440" w:left="850" w:header="720" w:footer="720" w:gutter="0"/>
          <w:cols w:space="720" w:num="1" w:equalWidth="0">
            <w:col w:w="9496" w:space="0"/>
            <w:col w:w="9646" w:space="0"/>
            <w:col w:w="9552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57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66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Wu Liu et al. /  AASRI Procedia  5 ( 2013 )  62 – 66 </w:t>
      </w:r>
    </w:p>
    <w:p>
      <w:pPr>
        <w:autoSpaceDN w:val="0"/>
        <w:autoSpaceDE w:val="0"/>
        <w:widowControl/>
        <w:spacing w:line="245" w:lineRule="auto" w:before="312" w:after="0"/>
        <w:ind w:left="28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mobile node using anchors. Our localization methodCo-SRLestimate the malicious nodesposition using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convex optimization methods. </w:t>
      </w:r>
    </w:p>
    <w:p>
      <w:pPr>
        <w:autoSpaceDN w:val="0"/>
        <w:autoSpaceDE w:val="0"/>
        <w:widowControl/>
        <w:spacing w:line="230" w:lineRule="exact" w:before="258" w:after="0"/>
        <w:ind w:left="28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5. Acknowledgment </w:t>
      </w:r>
    </w:p>
    <w:p>
      <w:pPr>
        <w:autoSpaceDN w:val="0"/>
        <w:tabs>
          <w:tab w:pos="526" w:val="left"/>
        </w:tabs>
        <w:autoSpaceDE w:val="0"/>
        <w:widowControl/>
        <w:spacing w:line="245" w:lineRule="auto" w:before="252" w:after="0"/>
        <w:ind w:left="288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work gets the support of China NSFC No. 61272427, and the support of 863 Project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No.2011AA010704 and 2012BAH38B03. </w:t>
      </w:r>
    </w:p>
    <w:p>
      <w:pPr>
        <w:autoSpaceDN w:val="0"/>
        <w:autoSpaceDE w:val="0"/>
        <w:widowControl/>
        <w:spacing w:line="274" w:lineRule="exact" w:before="538" w:after="0"/>
        <w:ind w:left="28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References </w:t>
      </w:r>
    </w:p>
    <w:p>
      <w:pPr>
        <w:autoSpaceDN w:val="0"/>
        <w:autoSpaceDE w:val="0"/>
        <w:widowControl/>
        <w:spacing w:line="230" w:lineRule="auto" w:before="278" w:after="0"/>
        <w:ind w:left="2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[1] H. Rowaihy, W. Enck, P. McDaniel, and T. La Porta. Limiting Sybil attacks in wireless networks. </w:t>
      </w:r>
    </w:p>
    <w:p>
      <w:pPr>
        <w:autoSpaceDN w:val="0"/>
        <w:autoSpaceDE w:val="0"/>
        <w:widowControl/>
        <w:spacing w:line="245" w:lineRule="auto" w:before="8" w:after="0"/>
        <w:ind w:left="51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Technical Report NASTR-0017-2005, Network and Security Research Center, Department of Computer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Science and Engineering, Pennsylvania State University, University Park, PA, USA, July 2005. </w:t>
      </w:r>
    </w:p>
    <w:p>
      <w:pPr>
        <w:autoSpaceDN w:val="0"/>
        <w:autoSpaceDE w:val="0"/>
        <w:widowControl/>
        <w:spacing w:line="245" w:lineRule="auto" w:before="8" w:after="0"/>
        <w:ind w:left="516" w:right="1008" w:hanging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 E. Damiani, S. D. C. di Vimercati, S. Paraboschi, P. Samarati, and F. Violante. A reputation-based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approach for choosing reliable resources in wireless networks. Proceedings of the Ninth ACM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Conference on Computer and Communications Security, pp.207–216, 2002. 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8" w:after="0"/>
        <w:ind w:left="27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 S. Ratnasamy, M. Handley, R. Karp, and S. Shenker. Topologically-Aware sensor network Construction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Server Selection. Proceedings of IEEE INFOCOM, pp. 1190–1199, Jun. 2002. 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8" w:after="0"/>
        <w:ind w:left="27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 Sun, Dong. Study on Anti-Attack Model for Low-Latency Anonymous Communication System,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International Conference on Cloud and Green Computing,1-3 November 2012, Xiangtan, China.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[5] Ping, Sunbin, and Donghong. A Data Security Protection Mechanism based on Transparent Biometric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Authentication for Mobile Intelligent Terminals, 3nd Cybercrime and Trustworthy Computing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Workshop(CTC2012), 29-31 November 2012, Ballarat, Australia. 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8" w:after="0"/>
        <w:ind w:left="27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 S. Ratnasamy, M. Handley, R. Karp, and S. Shenker. Topologically- Aware Overlay Construction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Server Selection. Proceedings of IEEE INFOCOM, pp. 1190-1199, Jun. 2002. 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10" w:after="0"/>
        <w:ind w:left="27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[7] Zhang H, Duan HX, Wu JP. RRM: An incentive reputation model for promoting good behaviors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distributed systems. SCIENCE IN CHINA SERIES F-INFORMATION SCIENCES,vol.51, no. 11, pp. 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8" w:after="0"/>
        <w:ind w:left="276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1871-1882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[8] Chakraborty S, Ray I. TrustBAC-Integrating Trust Relationships into the RBAC Model for Access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Control in Open Systems. Proceedings of ACM Symposium on Access Control Models and Technologies.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Lake Tahoe. ACM Press, 2006. 49-58. </w:t>
      </w:r>
    </w:p>
    <w:p>
      <w:pPr>
        <w:autoSpaceDN w:val="0"/>
        <w:autoSpaceDE w:val="0"/>
        <w:widowControl/>
        <w:spacing w:line="245" w:lineRule="auto" w:before="8" w:after="0"/>
        <w:ind w:left="516" w:right="1008" w:hanging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[9] Sun, Donghong,Xiong and Haibin. Mobile Intelligent Terminal Based Remote Monitoring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Management System, 3nd Cybercrime and Trustworthy Computing Workshop(CTC2012), 29-31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November 2012, Ballarat, Australia. </w:t>
      </w:r>
    </w:p>
    <w:p>
      <w:pPr>
        <w:autoSpaceDN w:val="0"/>
        <w:autoSpaceDE w:val="0"/>
        <w:widowControl/>
        <w:spacing w:line="245" w:lineRule="auto" w:before="8" w:after="0"/>
        <w:ind w:left="628" w:right="432" w:hanging="3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[10] Wu Liu, DuanHaixing, Jianping Wu. Study on Man-In-The-Middle Attack and Defending Techniques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Wireless Networks. 2012 Second International Conference on Electronics,Communications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Control (ICECC 2012), 10-12, September 2012, Zhoushan, China. </w:t>
      </w:r>
    </w:p>
    <w:sectPr w:rsidR="00FC693F" w:rsidRPr="0006063C" w:rsidSect="00034616">
      <w:pgSz w:w="10885" w:h="14854"/>
      <w:pgMar w:top="368" w:right="588" w:bottom="1440" w:left="652" w:header="720" w:footer="720" w:gutter="0"/>
      <w:cols w:space="720" w:num="1" w:equalWidth="0">
        <w:col w:w="9646" w:space="0"/>
        <w:col w:w="9496" w:space="0"/>
        <w:col w:w="9646" w:space="0"/>
        <w:col w:w="9552" w:space="0"/>
        <w:col w:w="972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