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6346190</wp:posOffset>
            </wp:positionH>
            <wp:positionV relativeFrom="page">
              <wp:posOffset>2151380</wp:posOffset>
            </wp:positionV>
            <wp:extent cx="359410" cy="35941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6337300</wp:posOffset>
            </wp:positionH>
            <wp:positionV relativeFrom="page">
              <wp:posOffset>2146300</wp:posOffset>
            </wp:positionV>
            <wp:extent cx="368300" cy="3683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8" w:lineRule="exact" w:before="0" w:after="222"/>
        <w:ind w:left="0" w:right="0" w:firstLine="0"/>
        <w:jc w:val="center"/>
      </w:pP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Artificia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t>l</w:t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Intelligence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in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the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Life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Sciences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3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(2023)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100074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494"/>
        <w:gridCol w:w="3494"/>
        <w:gridCol w:w="3494"/>
      </w:tblGrid>
      <w:tr>
        <w:trPr>
          <w:trHeight w:hRule="exact" w:val="432"/>
        </w:trPr>
        <w:tc>
          <w:tcPr>
            <w:tcW w:type="dxa" w:w="1944"/>
            <w:vMerge w:val="restart"/>
            <w:tcBorders>
              <w:top w:sz="2.0160000324249268" w:val="single" w:color="#000000"/>
              <w:bottom w:sz="23.975999832153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9460" cy="8293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460" cy="829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74"/>
            <w:tcBorders>
              <w:top w:sz="2.01600003242492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4" w:after="0"/>
              <w:ind w:left="0" w:right="2354" w:firstLine="0"/>
              <w:jc w:val="righ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Contents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lists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available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at</w:t>
            </w:r>
            <w:r>
              <w:rPr>
                <w:rFonts w:ascii="CharisSIL" w:hAnsi="CharisSIL" w:eastAsia="CharisSIL"/>
                <w:b w:val="0"/>
                <w:i w:val="0"/>
                <w:color w:val="0080AC"/>
                <w:sz w:val="16"/>
              </w:rPr>
              <w:hyperlink r:id="rId11" w:history="1">
                <w:r>
                  <w:rPr>
                    <w:rStyle w:val="Hyperlink"/>
                  </w:rPr>
                  <w:t>ScienceDirect</w:t>
                </w:r>
              </w:hyperlink>
            </w:r>
          </w:p>
        </w:tc>
        <w:tc>
          <w:tcPr>
            <w:tcW w:type="dxa" w:w="1416"/>
            <w:vMerge w:val="restart"/>
            <w:tcBorders>
              <w:top w:sz="2.0160000324249268" w:val="single" w:color="#000000"/>
              <w:bottom w:sz="23.975999832153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1989" cy="901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89" cy="901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0"/>
        </w:trPr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  <w:tc>
          <w:tcPr>
            <w:tcW w:type="dxa" w:w="70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88" w:after="0"/>
              <w:ind w:left="780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Artificial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Intelligence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in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the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Life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Sciences</w:t>
            </w:r>
          </w:p>
        </w:tc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</w:tr>
      <w:tr>
        <w:trPr>
          <w:trHeight w:hRule="exact" w:val="472"/>
        </w:trPr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  <w:tc>
          <w:tcPr>
            <w:tcW w:type="dxa" w:w="7074"/>
            <w:tcBorders>
              <w:bottom w:sz="23.975999832153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14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000000"/>
                <w:sz w:val="16"/>
              </w:rPr>
              <w:t>journal</w:t>
            </w:r>
            <w:r>
              <w:rPr>
                <w:rFonts w:ascii="UniversLTStd" w:hAnsi="UniversLTStd" w:eastAsia="UniversLTStd"/>
                <w:b w:val="0"/>
                <w:i w:val="0"/>
                <w:color w:val="000000"/>
                <w:sz w:val="16"/>
              </w:rPr>
              <w:t>homepage:</w:t>
            </w:r>
            <w:r>
              <w:rPr>
                <w:rFonts w:ascii="UniversLTStd" w:hAnsi="UniversLTStd" w:eastAsia="UniversLTStd"/>
                <w:b w:val="0"/>
                <w:i w:val="0"/>
                <w:color w:val="0080AC"/>
                <w:sz w:val="16"/>
              </w:rPr>
              <w:hyperlink r:id="rId13" w:history="1">
                <w:r>
                  <w:rPr>
                    <w:rStyle w:val="Hyperlink"/>
                  </w:rPr>
                  <w:t>www.elsevier.com/locate/ailsci</w:t>
                </w:r>
              </w:hyperlink>
            </w:r>
          </w:p>
        </w:tc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346" w:lineRule="exact" w:before="164" w:after="0"/>
        <w:ind w:left="30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9"/>
        </w:rPr>
        <w:t>Corrigendum</w:t>
      </w:r>
    </w:p>
    <w:p>
      <w:pPr>
        <w:autoSpaceDN w:val="0"/>
        <w:autoSpaceDE w:val="0"/>
        <w:widowControl/>
        <w:spacing w:line="346" w:lineRule="exact" w:before="138" w:after="0"/>
        <w:ind w:left="30" w:right="1584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27"/>
        </w:rPr>
        <w:t>Corrigendum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“Optimizing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active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learning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free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energy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Calculations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”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[Artificial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Intelligence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Sciences,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2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(2022)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100050]</w:t>
      </w:r>
    </w:p>
    <w:p>
      <w:pPr>
        <w:autoSpaceDN w:val="0"/>
        <w:autoSpaceDE w:val="0"/>
        <w:widowControl/>
        <w:spacing w:line="260" w:lineRule="exact" w:before="174" w:after="0"/>
        <w:ind w:left="30" w:right="1728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21"/>
        </w:rPr>
        <w:t>James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Thompson</w:t>
      </w:r>
      <w:r>
        <w:rPr>
          <w:w w:val="98.56266657511394"/>
          <w:rFonts w:ascii="CharisSIL" w:hAnsi="CharisSIL" w:eastAsia="CharisSIL"/>
          <w:b w:val="0"/>
          <w:i w:val="0"/>
          <w:color w:val="0080AC"/>
          <w:sz w:val="15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W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Patrick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Walters</w:t>
      </w:r>
      <w:r>
        <w:rPr>
          <w:w w:val="98.56266657511394"/>
          <w:rFonts w:ascii="CharisSIL" w:hAnsi="CharisSIL" w:eastAsia="CharisSIL"/>
          <w:b w:val="0"/>
          <w:i w:val="0"/>
          <w:color w:val="0080AC"/>
          <w:sz w:val="15"/>
        </w:rPr>
        <w:t>b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Jianwen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Feng</w:t>
      </w:r>
      <w:r>
        <w:rPr>
          <w:w w:val="98.56266657511394"/>
          <w:rFonts w:ascii="CharisSIL" w:hAnsi="CharisSIL" w:eastAsia="CharisSIL"/>
          <w:b w:val="0"/>
          <w:i w:val="0"/>
          <w:color w:val="0080AC"/>
          <w:sz w:val="15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Nicolas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Pabon</w:t>
      </w:r>
      <w:r>
        <w:rPr>
          <w:w w:val="98.56266657511394"/>
          <w:rFonts w:ascii="CharisSIL" w:hAnsi="CharisSIL" w:eastAsia="CharisSIL"/>
          <w:b w:val="0"/>
          <w:i w:val="0"/>
          <w:color w:val="0080AC"/>
          <w:sz w:val="15"/>
        </w:rPr>
        <w:t>b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Hongcheng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Xu</w:t>
      </w:r>
      <w:r>
        <w:rPr>
          <w:w w:val="98.56266657511394"/>
          <w:rFonts w:ascii="CharisSIL" w:hAnsi="CharisSIL" w:eastAsia="CharisSIL"/>
          <w:b w:val="0"/>
          <w:i w:val="0"/>
          <w:color w:val="0080AC"/>
          <w:sz w:val="15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 xml:space="preserve">, 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Brian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B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Goldman</w:t>
      </w:r>
      <w:r>
        <w:rPr>
          <w:w w:val="98.56266657511394"/>
          <w:rFonts w:ascii="CharisSIL" w:hAnsi="CharisSIL" w:eastAsia="CharisSIL"/>
          <w:b w:val="0"/>
          <w:i w:val="0"/>
          <w:color w:val="0080AC"/>
          <w:sz w:val="15"/>
        </w:rPr>
        <w:t>b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Demetri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Moustakas</w:t>
      </w:r>
      <w:r>
        <w:rPr>
          <w:w w:val="98.56266657511394"/>
          <w:rFonts w:ascii="CharisSIL" w:hAnsi="CharisSIL" w:eastAsia="CharisSIL"/>
          <w:b w:val="0"/>
          <w:i w:val="0"/>
          <w:color w:val="0080AC"/>
          <w:sz w:val="15"/>
        </w:rPr>
        <w:t>b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Molly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Schmidt</w:t>
      </w:r>
      <w:r>
        <w:rPr>
          <w:w w:val="98.56266657511394"/>
          <w:rFonts w:ascii="CharisSIL" w:hAnsi="CharisSIL" w:eastAsia="CharisSIL"/>
          <w:b w:val="0"/>
          <w:i w:val="0"/>
          <w:color w:val="0080AC"/>
          <w:sz w:val="15"/>
        </w:rPr>
        <w:t>b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Forrest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York</w:t>
      </w:r>
      <w:r>
        <w:rPr>
          <w:w w:val="98.56266657511394"/>
          <w:rFonts w:ascii="CharisSIL" w:hAnsi="CharisSIL" w:eastAsia="CharisSIL"/>
          <w:b w:val="0"/>
          <w:i w:val="0"/>
          <w:color w:val="0080AC"/>
          <w:sz w:val="15"/>
        </w:rPr>
        <w:t>b</w:t>
      </w:r>
    </w:p>
    <w:p>
      <w:pPr>
        <w:autoSpaceDN w:val="0"/>
        <w:autoSpaceDE w:val="0"/>
        <w:widowControl/>
        <w:spacing w:line="170" w:lineRule="exact" w:before="92" w:after="0"/>
        <w:ind w:left="30" w:right="6912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9"/>
        </w:rPr>
        <w:t>a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Google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Research,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Mountain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View,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CA,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United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States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9"/>
        </w:rPr>
        <w:t>b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Computation,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Relay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Therapeutics,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Cambridge,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MA,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United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States</w:t>
      </w:r>
    </w:p>
    <w:p>
      <w:pPr>
        <w:autoSpaceDN w:val="0"/>
        <w:autoSpaceDE w:val="0"/>
        <w:widowControl/>
        <w:spacing w:line="286" w:lineRule="exact" w:before="284" w:after="0"/>
        <w:ind w:left="270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authors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regret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authors,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Michael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Maser,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inadvertently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omitted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author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list.</w:t>
      </w:r>
    </w:p>
    <w:p>
      <w:pPr>
        <w:autoSpaceDN w:val="0"/>
        <w:tabs>
          <w:tab w:pos="270" w:val="left"/>
        </w:tabs>
        <w:autoSpaceDE w:val="0"/>
        <w:widowControl/>
        <w:spacing w:line="210" w:lineRule="exact" w:before="82" w:after="0"/>
        <w:ind w:left="30" w:right="0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authors’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paper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should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read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James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Thompson</w:t>
      </w:r>
      <w:r>
        <w:rPr>
          <w:rFonts w:ascii="CharisSIL" w:hAnsi="CharisSIL" w:eastAsia="CharisSIL"/>
          <w:b w:val="0"/>
          <w:i w:val="0"/>
          <w:color w:val="000000"/>
          <w:sz w:val="12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Patrick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Walters</w:t>
      </w:r>
      <w:r>
        <w:rPr>
          <w:rFonts w:ascii="CharisSIL" w:hAnsi="CharisSIL" w:eastAsia="CharisSIL"/>
          <w:b w:val="0"/>
          <w:i w:val="0"/>
          <w:color w:val="000000"/>
          <w:sz w:val="12"/>
        </w:rPr>
        <w:t>b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Jianwen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Feng</w:t>
      </w:r>
      <w:r>
        <w:rPr>
          <w:rFonts w:ascii="CharisSIL" w:hAnsi="CharisSIL" w:eastAsia="CharisSIL"/>
          <w:b w:val="0"/>
          <w:i w:val="0"/>
          <w:color w:val="000000"/>
          <w:sz w:val="12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Nicolas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Pabon</w:t>
      </w:r>
      <w:r>
        <w:rPr>
          <w:rFonts w:ascii="CharisSIL" w:hAnsi="CharisSIL" w:eastAsia="CharisSIL"/>
          <w:b w:val="0"/>
          <w:i w:val="0"/>
          <w:color w:val="000000"/>
          <w:sz w:val="12"/>
        </w:rPr>
        <w:t>b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Hongcheng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Xu</w:t>
      </w:r>
      <w:r>
        <w:rPr>
          <w:rFonts w:ascii="CharisSIL" w:hAnsi="CharisSIL" w:eastAsia="CharisSIL"/>
          <w:b w:val="0"/>
          <w:i w:val="0"/>
          <w:color w:val="000000"/>
          <w:sz w:val="12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Michael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Maser</w:t>
      </w:r>
      <w:r>
        <w:rPr>
          <w:rFonts w:ascii="CharisSIL" w:hAnsi="CharisSIL" w:eastAsia="CharisSIL"/>
          <w:b w:val="0"/>
          <w:i w:val="0"/>
          <w:color w:val="000000"/>
          <w:sz w:val="12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Brian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Goldman</w:t>
      </w:r>
      <w:r>
        <w:rPr>
          <w:rFonts w:ascii="CharisSIL" w:hAnsi="CharisSIL" w:eastAsia="CharisSIL"/>
          <w:b w:val="0"/>
          <w:i w:val="0"/>
          <w:color w:val="000000"/>
          <w:sz w:val="12"/>
        </w:rPr>
        <w:t>b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Demetri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Moustakas</w:t>
      </w:r>
      <w:r>
        <w:rPr>
          <w:rFonts w:ascii="CharisSIL" w:hAnsi="CharisSIL" w:eastAsia="CharisSIL"/>
          <w:b w:val="0"/>
          <w:i w:val="0"/>
          <w:color w:val="000000"/>
          <w:sz w:val="12"/>
        </w:rPr>
        <w:t>b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Schmidt</w:t>
      </w:r>
      <w:r>
        <w:rPr>
          <w:rFonts w:ascii="CharisSIL" w:hAnsi="CharisSIL" w:eastAsia="CharisSIL"/>
          <w:b w:val="0"/>
          <w:i w:val="0"/>
          <w:color w:val="000000"/>
          <w:sz w:val="12"/>
        </w:rPr>
        <w:t>b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Forrest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York</w:t>
      </w:r>
      <w:r>
        <w:rPr>
          <w:rFonts w:ascii="CharisSIL" w:hAnsi="CharisSIL" w:eastAsia="CharisSIL"/>
          <w:b w:val="0"/>
          <w:i w:val="0"/>
          <w:color w:val="000000"/>
          <w:sz w:val="12"/>
        </w:rPr>
        <w:t xml:space="preserve">b </w:t>
      </w:r>
      <w:r>
        <w:br/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2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Google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Research,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Mountain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View,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United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States </w:t>
      </w:r>
      <w:r>
        <w:br/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2"/>
        </w:rPr>
        <w:t>b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Computation,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Relay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Therapeutics,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Cambridge,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United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States </w:t>
      </w:r>
      <w:r>
        <w:br/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authors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would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like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apologise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inconvenience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caused.</w:t>
      </w:r>
    </w:p>
    <w:p>
      <w:pPr>
        <w:autoSpaceDN w:val="0"/>
        <w:autoSpaceDE w:val="0"/>
        <w:widowControl/>
        <w:spacing w:line="210" w:lineRule="exact" w:before="78" w:after="0"/>
        <w:ind w:left="270" w:right="8064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James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Thompson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16"/>
        </w:rPr>
        <w:t>Google,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Cambridge,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USA</w:t>
      </w:r>
    </w:p>
    <w:p>
      <w:pPr>
        <w:autoSpaceDN w:val="0"/>
        <w:autoSpaceDE w:val="0"/>
        <w:widowControl/>
        <w:spacing w:line="190" w:lineRule="exact" w:before="6506" w:after="0"/>
        <w:ind w:left="270" w:right="6768" w:firstLine="0"/>
        <w:jc w:val="left"/>
      </w:pP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DOI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of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original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4" w:history="1">
          <w:r>
            <w:rPr>
              <w:rStyle w:val="Hyperlink"/>
            </w:rPr>
            <w:t>article: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15" w:history="1">
          <w:r>
            <w:rPr>
              <w:rStyle w:val="Hyperlink"/>
            </w:rPr>
            <w:t>10.1016/j.ai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15" w:history="1">
          <w:r>
            <w:rPr>
              <w:rStyle w:val="Hyperlink"/>
            </w:rPr>
            <w:t xml:space="preserve">lsci.2022.100050 </w:t>
          </w:r>
        </w:hyperlink>
      </w:r>
      <w:r>
        <w:br/>
      </w:r>
      <w:r>
        <w:rPr>
          <w:w w:val="102.4728570665632"/>
          <w:rFonts w:ascii="CharisSIL" w:hAnsi="CharisSIL" w:eastAsia="CharisSIL"/>
          <w:b w:val="0"/>
          <w:i/>
          <w:color w:val="000000"/>
          <w:sz w:val="14"/>
        </w:rPr>
        <w:t>E-mail</w:t>
      </w:r>
      <w:r>
        <w:rPr>
          <w:w w:val="102.4728570665632"/>
          <w:rFonts w:ascii="CharisSIL" w:hAnsi="CharisSIL" w:eastAsia="CharisSIL"/>
          <w:b w:val="0"/>
          <w:i/>
          <w:color w:val="000000"/>
          <w:sz w:val="14"/>
        </w:rPr>
        <w:t>address:</w:t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14" w:history="1">
          <w:r>
            <w:rPr>
              <w:rStyle w:val="Hyperlink"/>
            </w:rPr>
            <w:t>thompj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15" w:history="1">
          <w:r>
            <w:rPr>
              <w:rStyle w:val="Hyperlink"/>
            </w:rPr>
            <w:t>@google.com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(J.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Thompson)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258" w:lineRule="exact" w:before="88" w:after="0"/>
        <w:ind w:left="30" w:right="0" w:firstLine="0"/>
        <w:jc w:val="left"/>
      </w:pP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https://doi.org/10.1016/j.ailsci.2023.100074</w:t>
          </w:r>
        </w:hyperlink>
      </w:r>
    </w:p>
    <w:p>
      <w:pPr>
        <w:autoSpaceDN w:val="0"/>
        <w:autoSpaceDE w:val="0"/>
        <w:widowControl/>
        <w:spacing w:line="192" w:lineRule="exact" w:before="190" w:after="0"/>
        <w:ind w:left="30" w:right="5328" w:firstLine="0"/>
        <w:jc w:val="left"/>
      </w:pP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Available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online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6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May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2023 </w:t>
      </w:r>
      <w:r>
        <w:br/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2667-3185/© 2023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The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Authors.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Published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by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Elsevier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B.V.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All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rights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reserved.</w:t>
      </w:r>
    </w:p>
    <w:sectPr w:rsidR="00FC693F" w:rsidRPr="0006063C" w:rsidSect="00034616">
      <w:pgSz w:w="11905" w:h="15878"/>
      <w:pgMar w:top="332" w:right="694" w:bottom="422" w:left="728" w:header="720" w:footer="720" w:gutter="0"/>
      <w:cols w:space="720" w:num="1" w:equalWidth="0">
        <w:col w:w="1048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ailsci.2023.100074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ScienceDirect.com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www.elsevier.com/locate/ailsci" TargetMode="External"/><Relationship Id="rId14" Type="http://schemas.openxmlformats.org/officeDocument/2006/relationships/hyperlink" Target="mailto:thompj@google.com" TargetMode="External"/><Relationship Id="rId15" Type="http://schemas.openxmlformats.org/officeDocument/2006/relationships/hyperlink" Target="https://doi.org/10.1016/j.ailsci.2022.100050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