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6361430</wp:posOffset>
            </wp:positionH>
            <wp:positionV relativeFrom="page">
              <wp:posOffset>1888489</wp:posOffset>
            </wp:positionV>
            <wp:extent cx="365760" cy="36576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6362700</wp:posOffset>
            </wp:positionH>
            <wp:positionV relativeFrom="page">
              <wp:posOffset>1879600</wp:posOffset>
            </wp:positionV>
            <wp:extent cx="368300" cy="3810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81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2" w:lineRule="auto" w:before="0" w:after="144"/>
        <w:ind w:left="0" w:right="0" w:firstLine="0"/>
        <w:jc w:val="center"/>
      </w:pP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9" w:history="1">
          <w:r>
            <w:rPr>
              <w:rStyle w:val="Hyperlink"/>
            </w:rPr>
            <w:t xml:space="preserve">Artificial Intelligence in the 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t>L</w:t>
      </w: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9" w:history="1">
          <w:r>
            <w:rPr>
              <w:rStyle w:val="Hyperlink"/>
            </w:rPr>
            <w:t>i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9" w:history="1">
          <w:r>
            <w:rPr>
              <w:rStyle w:val="Hyperlink"/>
            </w:rPr>
            <w:t>fe Sciences 4 (2023) 100085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495"/>
        <w:gridCol w:w="3495"/>
        <w:gridCol w:w="3495"/>
      </w:tblGrid>
      <w:tr>
        <w:trPr>
          <w:trHeight w:hRule="exact" w:val="52"/>
        </w:trPr>
        <w:tc>
          <w:tcPr>
            <w:tcW w:type="dxa" w:w="1460"/>
            <w:tcBorders>
              <w:bottom w:sz="2.40000000000003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26"/>
            <w:tcBorders>
              <w:bottom w:sz="2.40000000000003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bottom w:sz="2.40000000000003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1460"/>
            <w:vMerge w:val="restart"/>
            <w:tcBorders>
              <w:top w:sz="2.400000000000034" w:val="single" w:color="#000000"/>
              <w:bottom w:sz="23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6920" cy="828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20" cy="828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26"/>
            <w:tcBorders>
              <w:top w:sz="2.4000000000000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Contents lists available at </w:t>
            </w:r>
            <w:r>
              <w:rPr>
                <w:rFonts w:ascii="Charis SIL" w:hAnsi="Charis SIL" w:eastAsia="Charis SIL"/>
                <w:b w:val="0"/>
                <w:i w:val="0"/>
                <w:color w:val="2196D1"/>
                <w:sz w:val="16"/>
              </w:rPr>
              <w:t xml:space="preserve">ScienceDirect </w:t>
            </w:r>
          </w:p>
        </w:tc>
        <w:tc>
          <w:tcPr>
            <w:tcW w:type="dxa" w:w="1416"/>
            <w:vMerge w:val="restart"/>
            <w:tcBorders>
              <w:top w:sz="2.400000000000034" w:val="single" w:color="#000000"/>
              <w:bottom w:sz="23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18820" cy="90931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820" cy="909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3495"/>
            <w:vMerge/>
            <w:tcBorders>
              <w:top w:sz="2.400000000000034" w:val="single" w:color="#000000"/>
              <w:bottom w:sz="23.200000000000045" w:val="single" w:color="#000000"/>
            </w:tcBorders>
          </w:tcPr>
          <w:p/>
        </w:tc>
        <w:tc>
          <w:tcPr>
            <w:tcW w:type="dxa" w:w="752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02" w:right="0" w:firstLine="0"/>
              <w:jc w:val="left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28"/>
              </w:rPr>
              <w:t xml:space="preserve">Artificial Intelligence in the Life Sciences </w:t>
            </w:r>
          </w:p>
        </w:tc>
        <w:tc>
          <w:tcPr>
            <w:tcW w:type="dxa" w:w="3495"/>
            <w:vMerge/>
            <w:tcBorders>
              <w:top w:sz="2.400000000000034" w:val="single" w:color="#000000"/>
              <w:bottom w:sz="23.200000000000045" w:val="single" w:color="#000000"/>
            </w:tcBorders>
          </w:tcPr>
          <w:p/>
        </w:tc>
      </w:tr>
      <w:tr>
        <w:trPr>
          <w:trHeight w:hRule="exact" w:val="492"/>
        </w:trPr>
        <w:tc>
          <w:tcPr>
            <w:tcW w:type="dxa" w:w="3495"/>
            <w:vMerge/>
            <w:tcBorders>
              <w:top w:sz="2.400000000000034" w:val="single" w:color="#000000"/>
              <w:bottom w:sz="23.200000000000045" w:val="single" w:color="#000000"/>
            </w:tcBorders>
          </w:tcPr>
          <w:p/>
        </w:tc>
        <w:tc>
          <w:tcPr>
            <w:tcW w:type="dxa" w:w="7526"/>
            <w:tcBorders>
              <w:bottom w:sz="23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0" w:right="0" w:firstLine="0"/>
              <w:jc w:val="center"/>
            </w:pPr>
            <w:r>
              <w:rPr>
                <w:rFonts w:ascii="Univers" w:hAnsi="Univers" w:eastAsia="Univers"/>
                <w:b w:val="0"/>
                <w:i w:val="0"/>
                <w:color w:val="000000"/>
                <w:sz w:val="16"/>
              </w:rPr>
              <w:t xml:space="preserve">journal homepage: </w:t>
            </w:r>
            <w:r>
              <w:rPr>
                <w:rFonts w:ascii="Univers" w:hAnsi="Univers" w:eastAsia="Univers"/>
                <w:b w:val="0"/>
                <w:i w:val="0"/>
                <w:color w:val="2196D1"/>
                <w:sz w:val="16"/>
              </w:rPr>
              <w:hyperlink r:id="rId12" w:history="1">
                <w:r>
                  <w:rPr>
                    <w:rStyle w:val="Hyperlink"/>
                  </w:rPr>
                  <w:t>www.elsevier.com/locate/ailsci</w:t>
                </w:r>
              </w:hyperlink>
            </w:r>
            <w:r>
              <w:rPr>
                <w:rFonts w:ascii="Univers" w:hAnsi="Univers" w:eastAsia="Univers"/>
                <w:b w:val="0"/>
                <w:i w:val="0"/>
                <w:color w:val="2196D1"/>
                <w:sz w:val="16"/>
              </w:rPr>
              <w:t xml:space="preserve"> </w:t>
            </w:r>
          </w:p>
        </w:tc>
        <w:tc>
          <w:tcPr>
            <w:tcW w:type="dxa" w:w="3495"/>
            <w:vMerge/>
            <w:tcBorders>
              <w:top w:sz="2.400000000000034" w:val="single" w:color="#000000"/>
              <w:bottom w:sz="23.20000000000004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5" w:lineRule="auto" w:before="182" w:after="442"/>
        <w:ind w:left="16" w:right="2016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9"/>
        </w:rPr>
        <w:t xml:space="preserve">Editorial </w:t>
      </w:r>
      <w:r>
        <w:br/>
      </w:r>
      <w:r>
        <w:rPr>
          <w:rFonts w:ascii="Charis SIL" w:hAnsi="Charis SIL" w:eastAsia="Charis SIL"/>
          <w:b w:val="0"/>
          <w:i w:val="0"/>
          <w:color w:val="000000"/>
          <w:sz w:val="21"/>
        </w:rPr>
        <w:t xml:space="preserve">Data and code availability requirements in open science and consequences for different </w:t>
      </w:r>
      <w:r>
        <w:rPr>
          <w:rFonts w:ascii="Charis SIL" w:hAnsi="Charis SIL" w:eastAsia="Charis SIL"/>
          <w:b w:val="0"/>
          <w:i w:val="0"/>
          <w:color w:val="000000"/>
          <w:sz w:val="21"/>
        </w:rPr>
        <w:t xml:space="preserve">research environments </w:t>
      </w:r>
    </w:p>
    <w:p>
      <w:pPr>
        <w:sectPr>
          <w:pgSz w:w="11906" w:h="15874"/>
          <w:pgMar w:top="334" w:right="686" w:bottom="482" w:left="736" w:header="720" w:footer="720" w:gutter="0"/>
          <w:cols w:space="720" w:num="1" w:equalWidth="0"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6" w:right="254" w:firstLine="238"/>
        <w:jc w:val="both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Artificial Intelligence in the Life Sciences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</w:t>
      </w:r>
      <w:r>
        <w:rPr>
          <w:rFonts w:ascii="Charis SIL" w:hAnsi="Charis SIL" w:eastAsia="Charis SIL"/>
          <w:b w:val="0"/>
          <w:i/>
          <w:color w:val="000000"/>
          <w:sz w:val="16"/>
        </w:rPr>
        <w:t>AILSCI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 strongly supports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code and data sharing as a central part of open science and requires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reproducibility of published work. Therefore, for publication of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Original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Research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AILSCI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including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Articles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</w:t>
      </w:r>
      <w:r>
        <w:rPr>
          <w:rFonts w:ascii="Charis SIL" w:hAnsi="Charis SIL" w:eastAsia="Charis SIL"/>
          <w:b w:val="0"/>
          <w:i/>
          <w:color w:val="000000"/>
          <w:sz w:val="16"/>
        </w:rPr>
        <w:t>Short Communications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data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custom code must be made accessible for review and, upon acceptance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a study, provided in an open access deposition (or as machine-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readable supplementary information, if the size is manageable).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custom code deposition does not necessarily need to include any script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that is used in a study, but must include code that is essential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reproducing the main findings. The use of proprietary data for modeling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is generally discouraged and the data deposition requirements apply if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proprietary materials are used. </w:t>
      </w:r>
    </w:p>
    <w:p>
      <w:pPr>
        <w:autoSpaceDN w:val="0"/>
        <w:autoSpaceDE w:val="0"/>
        <w:widowControl/>
        <w:spacing w:line="245" w:lineRule="auto" w:before="0" w:after="0"/>
        <w:ind w:left="16" w:right="144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 models generated with open source software, sufficient details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must be provided in a paper such that the models can be re-built and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calculations reproduced. Required details include parameter optimiza-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tion protocols and all optimized parameter settings, which may be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provided as supplementary information. Models generated with open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source software can also be made available, but this is not a stringent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requirement as long as sufficient details are reported. </w:t>
      </w:r>
    </w:p>
    <w:p>
      <w:pPr>
        <w:autoSpaceDN w:val="0"/>
        <w:autoSpaceDE w:val="0"/>
        <w:widowControl/>
        <w:spacing w:line="210" w:lineRule="exact" w:before="50" w:after="0"/>
        <w:ind w:left="16" w:right="144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Studies from commercial entities frequently use proprietary data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and/or code, which generally conflicts with </w:t>
      </w:r>
      <w:r>
        <w:rPr>
          <w:rFonts w:ascii="Charis SIL" w:hAnsi="Charis SIL" w:eastAsia="Charis SIL"/>
          <w:b w:val="0"/>
          <w:i/>
          <w:color w:val="000000"/>
          <w:sz w:val="16"/>
        </w:rPr>
        <w:t>AILSCI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 deposition re-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quirements. However, it is also evident that it is often impossible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researchers from companies to carry out or repeat their work using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relevant public data and/or code, if available at all, to meet deposition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requirements for publication. Therefore, while ensuring full reproduc-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ibility of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Original Research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is a must (with a possible exception; </w:t>
      </w:r>
      <w:r>
        <w:rPr>
          <w:rFonts w:ascii="Charis SIL" w:hAnsi="Charis SIL" w:eastAsia="Charis SIL"/>
          <w:b w:val="0"/>
          <w:i/>
          <w:color w:val="000000"/>
          <w:sz w:val="16"/>
        </w:rPr>
        <w:t>vide infra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there are different avenues to publication for investigators from industry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to enable the communication of interesting science and new findings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from their internl research </w:t>
      </w:r>
    </w:p>
    <w:p>
      <w:pPr>
        <w:autoSpaceDN w:val="0"/>
        <w:autoSpaceDE w:val="0"/>
        <w:widowControl/>
        <w:spacing w:line="210" w:lineRule="exact" w:before="208" w:after="0"/>
        <w:ind w:left="494" w:right="144" w:hanging="282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(1)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AILSCI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offers different article types as potential alternatives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publication of </w:t>
      </w:r>
      <w:r>
        <w:rPr>
          <w:rFonts w:ascii="Charis SIL" w:hAnsi="Charis SIL" w:eastAsia="Charis SIL"/>
          <w:b w:val="0"/>
          <w:i/>
          <w:color w:val="000000"/>
          <w:sz w:val="16"/>
        </w:rPr>
        <w:t>Original Research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. Specifically, 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Perspective, </w:t>
      </w:r>
      <w:r>
        <w:rPr>
          <w:rFonts w:ascii="Charis SIL" w:hAnsi="Charis SIL" w:eastAsia="Charis SIL"/>
          <w:b w:val="0"/>
          <w:i/>
          <w:color w:val="000000"/>
          <w:sz w:val="16"/>
        </w:rPr>
        <w:t>Conceptual Analysis, Viewpoint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and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Methods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&amp;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Protocols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article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types provide opportunities for communication of new scientific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developments, concepts, or case studies without the need for full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data disclosure. Hence, a research study might be presented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different ways, for example, more generally describing new ap-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proaches and applications such that reproducibility of specific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results would not be essential. This might be facilitated in a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Perspective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or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Conceptual Analysis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paper. Alternatively, in a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Methods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&amp;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Protocols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article, a new computational approach 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predictive model might be introduced and only a brief exemplary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application presented, for which only a small amount of data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would need to be made available, together with the model. </w:t>
      </w:r>
    </w:p>
    <w:p>
      <w:pPr>
        <w:sectPr>
          <w:type w:val="continuous"/>
          <w:pgSz w:w="11906" w:h="15874"/>
          <w:pgMar w:top="334" w:right="686" w:bottom="482" w:left="736" w:header="720" w:footer="720" w:gutter="0"/>
          <w:cols w:space="720" w:num="2" w:equalWidth="0">
            <w:col w:w="5338" w:space="0"/>
            <w:col w:w="5146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50" w:after="0"/>
        <w:ind w:left="536" w:right="0" w:hanging="282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(2) Reporting new software and its applications generally requires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deposition of the code, and this also applies to commercial soft-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ware. However, a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Methods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&amp;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Protocols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article reporting a new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algorithm or methodology might contain detailed pseudo-code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enable re-coding by others, instead of granting access to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software. Of course, this would not be feasible for large software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packages. However, when reporting a new approach with custom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code in a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Methods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&amp;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Protocols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article, reproducibility does not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generally imply that an implementation must be provided. By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contrast, if a new proprietary/commercial software would be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benchmarked against publicly available programs, claiming su-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perior performance,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AILSCI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would not publish the study without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making the new software available to the public. In this case,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specific results must be fully reproducible. Studies reporting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software with restricted access will be considered by the editors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on a case-by-case basis. This also includes the use of commercial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software by industrial or academic investigators if the main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findings of a study depend on the use of programs with restricted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access. Importantly, predictions must also be reproducible if they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are experimentally confirmed. </w:t>
      </w:r>
    </w:p>
    <w:p>
      <w:pPr>
        <w:autoSpaceDN w:val="0"/>
        <w:autoSpaceDE w:val="0"/>
        <w:widowControl/>
        <w:spacing w:line="245" w:lineRule="auto" w:before="0" w:after="194"/>
        <w:ind w:left="536" w:right="0" w:hanging="282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(3) As an exception for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Original Research, AILSCI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is introducing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possible editorial waiver on deposition requirements for pro-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prietary data. This waiver option can be considered only if a study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reports novel findings that further advance the field and the au-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thors provide convincing evidence that comparable results could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not be obtained on the basis of current public data. In such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exceptional cases, the scientific significance of new findings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would outweigh data deposition requirements. For example, this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might apply to the analysis of or predictive modeling based on in-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house data sets from drug discovery that have evolved over time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such as pharmacological or compound profiling data. Such data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are typically sparse in the public domain and often unique to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pharma company. Knowledge extraction from such data might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yield unprecedented findings of general relevance. However,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such cases, a stringent requirement is the demonstrated novelty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the findings and conclusions drawn from them. For example,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building standard prediction models based on proprietary data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reporting high accuracy for internal test sets would not be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sufficient. Authors who would like to consider the data deposition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waiver option may contact the editor-in-chief to apply for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waiver with supporting evidence. Such requests will be consid-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ered on a case-by-case basis by the editors and are subject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editorial discretion. If a waiver is granted and the manuscript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accepted after review, the published version will need to contain </w:t>
      </w:r>
    </w:p>
    <w:p>
      <w:pPr>
        <w:sectPr>
          <w:type w:val="nextColumn"/>
          <w:pgSz w:w="11906" w:h="15874"/>
          <w:pgMar w:top="334" w:right="686" w:bottom="482" w:left="736" w:header="720" w:footer="720" w:gutter="0"/>
          <w:cols w:space="720" w:num="2" w:equalWidth="0">
            <w:col w:w="5338" w:space="0"/>
            <w:col w:w="5146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" w:right="0" w:firstLine="0"/>
        <w:jc w:val="left"/>
      </w:pPr>
      <w:r>
        <w:rPr>
          <w:w w:val="102.47142655508858"/>
          <w:rFonts w:ascii="Charis SIL" w:hAnsi="Charis SIL" w:eastAsia="Charis SIL"/>
          <w:b w:val="0"/>
          <w:i w:val="0"/>
          <w:color w:val="2196D1"/>
          <w:sz w:val="14"/>
        </w:rPr>
        <w:hyperlink r:id="rId9" w:history="1">
          <w:r>
            <w:rPr>
              <w:rStyle w:val="Hyperlink"/>
            </w:rPr>
            <w:t>https://doi.org/10.1016/j.ailsci.2023.100085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2196D1"/>
          <w:sz w:val="14"/>
        </w:rPr>
        <w:t xml:space="preserve"> </w:t>
      </w:r>
      <w:r>
        <w:br/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Received 18 August 2023; Accepted 18 Augu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 xml:space="preserve">st 2023 </w:t>
      </w:r>
      <w:r>
        <w:br/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 xml:space="preserve">Available online 23 August 2023 </w:t>
      </w:r>
      <w:r>
        <w:br/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hyperlink r:id="rId13" w:history="1">
          <w:r>
            <w:rPr>
              <w:rStyle w:val="Hyperlink"/>
            </w:rPr>
            <w:t>2667-3185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>/© 2023 The Authors. Published by Elsevier B.V. This is an open access article under the CC BY-NC-ND license (</w:t>
      </w: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13" w:history="1">
          <w:r>
            <w:rPr>
              <w:rStyle w:val="Hyperlink"/>
            </w:rPr>
            <w:t>http://creativecommons.org/licenses/by-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13" w:history="1">
          <w:r>
            <w:rPr>
              <w:rStyle w:val="Hyperlink"/>
            </w:rPr>
            <w:t>nc-nd/4.0/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>).</w:t>
      </w:r>
    </w:p>
    <w:p>
      <w:pPr>
        <w:sectPr>
          <w:type w:val="continuous"/>
          <w:pgSz w:w="11906" w:h="15874"/>
          <w:pgMar w:top="334" w:right="686" w:bottom="482" w:left="736" w:header="720" w:footer="720" w:gutter="0"/>
          <w:cols w:space="720" w:num="1" w:equalWidth="0">
            <w:col w:w="10484" w:space="0"/>
            <w:col w:w="5338" w:space="0"/>
            <w:col w:w="5146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270" w:val="left"/>
        </w:tabs>
        <w:autoSpaceDE w:val="0"/>
        <w:widowControl/>
        <w:spacing w:line="242" w:lineRule="auto" w:before="0" w:after="144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Editorial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Artificial Intelligence in the Life Sciences 4 (2023) 100085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10484" w:space="0"/>
            <w:col w:w="5338" w:space="0"/>
            <w:col w:w="5146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78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 acknowledgement that the editors have issued a waiver on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data deposition requirements for this study in light of the sig-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nificance of the reported findings. </w:t>
      </w:r>
    </w:p>
    <w:p>
      <w:pPr>
        <w:autoSpaceDN w:val="0"/>
        <w:autoSpaceDE w:val="0"/>
        <w:widowControl/>
        <w:spacing w:line="208" w:lineRule="exact" w:before="210" w:after="0"/>
        <w:ind w:left="0" w:right="0" w:firstLine="24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Finally, it is noted that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Methods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&amp;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Protocols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articles are also suitable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 reporting practical computational/AI solutions for relevant tasks.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example, these might include calculation workflows, scripts, and note-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books or adaptations and extension of available code for specific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applications. </w:t>
      </w:r>
    </w:p>
    <w:p>
      <w:pPr>
        <w:autoSpaceDN w:val="0"/>
        <w:autoSpaceDE w:val="0"/>
        <w:widowControl/>
        <w:spacing w:line="240" w:lineRule="auto" w:before="158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 xml:space="preserve">Declaration of Competing Interest </w:t>
      </w:r>
    </w:p>
    <w:p>
      <w:pPr>
        <w:autoSpaceDN w:val="0"/>
        <w:autoSpaceDE w:val="0"/>
        <w:widowControl/>
        <w:spacing w:line="245" w:lineRule="auto" w:before="158" w:after="0"/>
        <w:ind w:left="0" w:right="52" w:firstLine="24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author declares that there are no known competing financial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interests or personal relationships that could have appeared to influence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work reported in this paper.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10484" w:space="0"/>
            <w:col w:w="5338" w:space="0"/>
            <w:col w:w="5146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2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2</w:t>
      </w:r>
    </w:p>
    <w:sectPr w:rsidR="00FC693F" w:rsidRPr="0006063C" w:rsidSect="00034616">
      <w:type w:val="nextColumn"/>
      <w:pgSz w:w="11906" w:h="15874"/>
      <w:pgMar w:top="336" w:right="686" w:bottom="288" w:left="752" w:header="720" w:footer="720" w:gutter="0"/>
      <w:cols w:space="720" w:num="2" w:equalWidth="0">
        <w:col w:w="5120" w:space="0"/>
        <w:col w:w="5348" w:space="0"/>
        <w:col w:w="10468" w:space="0"/>
        <w:col w:w="10484" w:space="0"/>
        <w:col w:w="5338" w:space="0"/>
        <w:col w:w="5146" w:space="0"/>
        <w:col w:w="104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ilsci.2023.100085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www.elsevier.com/locate/ailsci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