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2146300</wp:posOffset>
            </wp:positionV>
            <wp:extent cx="368300" cy="368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6346190</wp:posOffset>
            </wp:positionH>
            <wp:positionV relativeFrom="page">
              <wp:posOffset>2151380</wp:posOffset>
            </wp:positionV>
            <wp:extent cx="359410" cy="35941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222"/>
        <w:ind w:left="0" w:right="0" w:firstLine="0"/>
        <w:jc w:val="center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Artificia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t>l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Intelligence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Life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Sciences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3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(2023)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100076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94"/>
        <w:gridCol w:w="3494"/>
        <w:gridCol w:w="3494"/>
      </w:tblGrid>
      <w:tr>
        <w:trPr>
          <w:trHeight w:hRule="exact" w:val="432"/>
        </w:trPr>
        <w:tc>
          <w:tcPr>
            <w:tcW w:type="dxa" w:w="1944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9460" cy="8293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829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74"/>
            <w:tcBorders>
              <w:top w:sz="2.01600003242492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4" w:after="0"/>
              <w:ind w:left="0" w:right="2354" w:firstLine="0"/>
              <w:jc w:val="righ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Contents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lists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available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at</w:t>
            </w:r>
            <w:r>
              <w:rPr>
                <w:rFonts w:ascii="CharisSIL" w:hAnsi="CharisSIL" w:eastAsia="CharisSIL"/>
                <w:b w:val="0"/>
                <w:i w:val="0"/>
                <w:color w:val="0080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6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1989" cy="901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89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88" w:after="0"/>
              <w:ind w:left="78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Artificial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Intelligence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the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Life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Sciences</w:t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>
              <w:bottom w:sz="23.975999832153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4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journal</w:t>
            </w: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homepage:</w:t>
            </w:r>
            <w:r>
              <w:rPr>
                <w:rFonts w:ascii="UniversLTStd" w:hAnsi="UniversLTStd" w:eastAsia="UniversLTStd"/>
                <w:b w:val="0"/>
                <w:i w:val="0"/>
                <w:color w:val="0080AC"/>
                <w:sz w:val="16"/>
              </w:rPr>
              <w:hyperlink r:id="rId13" w:history="1">
                <w:r>
                  <w:rPr>
                    <w:rStyle w:val="Hyperlink"/>
                  </w:rPr>
                  <w:t>www.elsevier.com/locate/ailsci</w:t>
                </w:r>
              </w:hyperlink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46" w:lineRule="exact" w:before="640" w:after="0"/>
        <w:ind w:left="30" w:right="2448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7"/>
        </w:rPr>
        <w:t>Erratum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regarding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missing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Conflict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Interest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Statement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&amp;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Ethical 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Statement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previously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published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articles</w:t>
      </w:r>
    </w:p>
    <w:p>
      <w:pPr>
        <w:autoSpaceDN w:val="0"/>
        <w:tabs>
          <w:tab w:pos="280" w:val="left"/>
        </w:tabs>
        <w:autoSpaceDE w:val="0"/>
        <w:widowControl/>
        <w:spacing w:line="210" w:lineRule="exact" w:before="812" w:after="0"/>
        <w:ind w:left="66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1.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Conflict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Statement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published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version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following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article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appeared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Volume-2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/>
          <w:color w:val="000000"/>
          <w:sz w:val="16"/>
        </w:rPr>
        <w:t>Artificial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Intelligence </w:t>
      </w:r>
      <w:r>
        <w:tab/>
      </w:r>
      <w:r>
        <w:rPr>
          <w:rFonts w:ascii="CharisSIL" w:hAnsi="CharisSIL" w:eastAsia="CharisSIL"/>
          <w:b w:val="0"/>
          <w:i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>the</w:t>
      </w:r>
      <w:r>
        <w:rPr>
          <w:rFonts w:ascii="CharisSIL" w:hAnsi="CharisSIL" w:eastAsia="CharisSIL"/>
          <w:b w:val="0"/>
          <w:i/>
          <w:color w:val="000000"/>
          <w:sz w:val="16"/>
        </w:rPr>
        <w:t>Life</w:t>
      </w:r>
      <w:r>
        <w:rPr>
          <w:rFonts w:ascii="CharisSIL" w:hAnsi="CharisSIL" w:eastAsia="CharisSIL"/>
          <w:b w:val="0"/>
          <w:i/>
          <w:color w:val="000000"/>
          <w:sz w:val="16"/>
        </w:rPr>
        <w:t>Sciences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70" w:val="left"/>
        </w:tabs>
        <w:autoSpaceDE w:val="0"/>
        <w:widowControl/>
        <w:spacing w:line="208" w:lineRule="exact" w:before="160" w:after="0"/>
        <w:ind w:left="3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“AI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for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drug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design: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From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explicit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rules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to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deep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learning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” [Artificia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t>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Intelligence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in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the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Life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Sciences,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2022,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100041]</w:t>
          </w:r>
        </w:hyperlink>
      </w:r>
      <w:r>
        <w:rPr>
          <w:rFonts w:ascii="CharisSIL" w:hAnsi="CharisSIL" w:eastAsia="CharisSIL"/>
          <w:b w:val="0"/>
          <w:i w:val="0"/>
          <w:color w:val="0080AC"/>
          <w:sz w:val="16"/>
        </w:rPr>
        <w:hyperlink r:id="rId14" w:history="1">
          <w:r>
            <w:rPr>
              <w:rStyle w:val="Hyperlink"/>
            </w:rPr>
            <w:t xml:space="preserve">https://doi.org/10.1016/ </w:t>
          </w:r>
        </w:hyperlink>
      </w:r>
      <w:r>
        <w:rPr>
          <w:rFonts w:ascii="CharisSIL" w:hAnsi="CharisSIL" w:eastAsia="CharisSIL"/>
          <w:b w:val="0"/>
          <w:i w:val="0"/>
          <w:color w:val="0080AC"/>
          <w:sz w:val="16"/>
        </w:rPr>
        <w:hyperlink r:id="rId14" w:history="1">
          <w:r>
            <w:rPr>
              <w:rStyle w:val="Hyperlink"/>
            </w:rPr>
            <w:t xml:space="preserve">j.ailsci.2022.100041 </w:t>
          </w:r>
        </w:hyperlink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The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appropriate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Conflic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t>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of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Interest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Statement,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provided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by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the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Author,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is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included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below:</w:t>
          </w:r>
        </w:hyperlink>
      </w:r>
    </w:p>
    <w:p>
      <w:pPr>
        <w:autoSpaceDN w:val="0"/>
        <w:autoSpaceDE w:val="0"/>
        <w:widowControl/>
        <w:spacing w:line="288" w:lineRule="exact" w:before="0" w:after="0"/>
        <w:ind w:left="27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Conflict</w:t>
      </w:r>
      <w:r>
        <w:rPr>
          <w:rFonts w:ascii="CharisSIL" w:hAnsi="CharisSIL" w:eastAsia="CharisSIL"/>
          <w:b/>
          <w:i w:val="0"/>
          <w:color w:val="000000"/>
          <w:sz w:val="16"/>
        </w:rPr>
        <w:t>of</w:t>
      </w:r>
      <w:r>
        <w:rPr>
          <w:rFonts w:ascii="CharisSIL" w:hAnsi="CharisSIL" w:eastAsia="CharisSIL"/>
          <w:b/>
          <w:i w:val="0"/>
          <w:color w:val="000000"/>
          <w:sz w:val="16"/>
        </w:rPr>
        <w:t>Interest</w:t>
      </w:r>
      <w:r>
        <w:rPr>
          <w:rFonts w:ascii="CharisSIL" w:hAnsi="CharisSIL" w:eastAsia="CharisSIL"/>
          <w:b/>
          <w:i w:val="0"/>
          <w:color w:val="000000"/>
          <w:sz w:val="16"/>
        </w:rPr>
        <w:t>Statement:</w:t>
      </w:r>
    </w:p>
    <w:p>
      <w:pPr>
        <w:autoSpaceDN w:val="0"/>
        <w:tabs>
          <w:tab w:pos="270" w:val="left"/>
        </w:tabs>
        <w:autoSpaceDE w:val="0"/>
        <w:widowControl/>
        <w:spacing w:line="208" w:lineRule="exact" w:before="80" w:after="0"/>
        <w:ind w:left="30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declare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competing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financial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relationships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appeared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influence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paper.</w:t>
      </w:r>
    </w:p>
    <w:p>
      <w:pPr>
        <w:autoSpaceDN w:val="0"/>
        <w:tabs>
          <w:tab w:pos="280" w:val="left"/>
        </w:tabs>
        <w:autoSpaceDE w:val="0"/>
        <w:widowControl/>
        <w:spacing w:line="208" w:lineRule="exact" w:before="122" w:after="0"/>
        <w:ind w:left="66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2.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Ethical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Statement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published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version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following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article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appeared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Volume-1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/>
          <w:color w:val="000000"/>
          <w:sz w:val="16"/>
        </w:rPr>
        <w:t>Artificial</w:t>
      </w:r>
      <w:r>
        <w:rPr>
          <w:rFonts w:ascii="CharisSIL" w:hAnsi="CharisSIL" w:eastAsia="CharisSIL"/>
          <w:b w:val="0"/>
          <w:i/>
          <w:color w:val="000000"/>
          <w:sz w:val="16"/>
        </w:rPr>
        <w:t>Intelligence</w:t>
      </w:r>
      <w:r>
        <w:rPr>
          <w:rFonts w:ascii="CharisSIL" w:hAnsi="CharisSIL" w:eastAsia="CharisSIL"/>
          <w:b w:val="0"/>
          <w:i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>the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Life </w:t>
      </w:r>
      <w:r>
        <w:tab/>
      </w:r>
      <w:r>
        <w:rPr>
          <w:rFonts w:ascii="CharisSIL" w:hAnsi="CharisSIL" w:eastAsia="CharisSIL"/>
          <w:b w:val="0"/>
          <w:i/>
          <w:color w:val="000000"/>
          <w:sz w:val="16"/>
        </w:rPr>
        <w:t>Sciences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08" w:val="left"/>
        </w:tabs>
        <w:autoSpaceDE w:val="0"/>
        <w:widowControl/>
        <w:spacing w:line="210" w:lineRule="exact" w:before="198" w:after="0"/>
        <w:ind w:left="27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“BeeToxAI: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>ficia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t>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>intelligence-based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>web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>app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>to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>assess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>acute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t>toxicity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honey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 [Artificial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Intelligence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Sciences,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2021,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100013]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hyperlink r:id="rId15" w:history="1">
          <w:r>
            <w:rPr>
              <w:rStyle w:val="Hyperlink"/>
            </w:rPr>
            <w:t>https://doi.org/10.1016/j.ailsci.2021.100013</w:t>
          </w:r>
        </w:hyperlink>
      </w:r>
    </w:p>
    <w:p>
      <w:pPr>
        <w:autoSpaceDN w:val="0"/>
        <w:autoSpaceDE w:val="0"/>
        <w:widowControl/>
        <w:spacing w:line="286" w:lineRule="exact" w:before="122" w:after="0"/>
        <w:ind w:left="27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appropriate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Ethical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Statement,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below:</w:t>
      </w:r>
    </w:p>
    <w:p>
      <w:pPr>
        <w:autoSpaceDN w:val="0"/>
        <w:autoSpaceDE w:val="0"/>
        <w:widowControl/>
        <w:spacing w:line="288" w:lineRule="exact" w:before="0" w:after="0"/>
        <w:ind w:left="27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Ethical</w:t>
      </w:r>
      <w:r>
        <w:rPr>
          <w:rFonts w:ascii="CharisSIL" w:hAnsi="CharisSIL" w:eastAsia="CharisSIL"/>
          <w:b/>
          <w:i w:val="0"/>
          <w:color w:val="000000"/>
          <w:sz w:val="16"/>
        </w:rPr>
        <w:t>Statement:</w:t>
      </w:r>
    </w:p>
    <w:p>
      <w:pPr>
        <w:autoSpaceDN w:val="0"/>
        <w:autoSpaceDE w:val="0"/>
        <w:widowControl/>
        <w:spacing w:line="210" w:lineRule="exact" w:before="76" w:after="0"/>
        <w:ind w:left="30" w:right="3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material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own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original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previously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published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elsewhere.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currently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considered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elsewhere.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reflects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own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truthful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manner.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credits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meaningful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co-authors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co-researchers.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appropriately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placed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context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prior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existing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sources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disclosed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(correct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citation).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Literally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copying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text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indicated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quotation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marks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proper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reference.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personally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involved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substantial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take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responsibility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content.</w:t>
      </w:r>
    </w:p>
    <w:p>
      <w:pPr>
        <w:autoSpaceDN w:val="0"/>
        <w:autoSpaceDE w:val="0"/>
        <w:widowControl/>
        <w:spacing w:line="258" w:lineRule="exact" w:before="3878" w:after="0"/>
        <w:ind w:left="270" w:right="0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DOIs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of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original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articles: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4" w:history="1">
          <w:r>
            <w:rPr>
              <w:rStyle w:val="Hyperlink"/>
            </w:rPr>
            <w:t>10.1016/j.ailsci.2022.100041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,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5" w:history="1">
          <w:r>
            <w:rPr>
              <w:rStyle w:val="Hyperlink"/>
            </w:rPr>
            <w:t>10.1016/j.ailsci.2021.100013</w:t>
          </w:r>
        </w:hyperlink>
      </w:r>
    </w:p>
    <w:p>
      <w:pPr>
        <w:autoSpaceDN w:val="0"/>
        <w:autoSpaceDE w:val="0"/>
        <w:widowControl/>
        <w:spacing w:line="258" w:lineRule="exact" w:before="88" w:after="0"/>
        <w:ind w:left="30" w:right="0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https://doi.org/10.1016/j.ailsci.2023.100076</w:t>
          </w:r>
        </w:hyperlink>
      </w:r>
    </w:p>
    <w:p>
      <w:pPr>
        <w:autoSpaceDN w:val="0"/>
        <w:autoSpaceDE w:val="0"/>
        <w:widowControl/>
        <w:spacing w:line="192" w:lineRule="exact" w:before="190" w:after="0"/>
        <w:ind w:left="30" w:right="5328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Available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online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11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May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2023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2667-3185/© 2023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Authors.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Published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by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Elsevier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B.V.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All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rights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reserved.</w:t>
      </w:r>
    </w:p>
    <w:sectPr w:rsidR="00FC693F" w:rsidRPr="0006063C" w:rsidSect="00034616">
      <w:pgSz w:w="11905" w:h="15878"/>
      <w:pgMar w:top="332" w:right="694" w:bottom="422" w:left="728" w:header="720" w:footer="720" w:gutter="0"/>
      <w:cols w:space="720" w:num="1" w:equalWidth="0">
        <w:col w:w="104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lsci.2023.100076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elsevier.com/locate/ailsci" TargetMode="External"/><Relationship Id="rId14" Type="http://schemas.openxmlformats.org/officeDocument/2006/relationships/hyperlink" Target="https://doi.org/10.1016/j.ailsci.2022.100041" TargetMode="External"/><Relationship Id="rId15" Type="http://schemas.openxmlformats.org/officeDocument/2006/relationships/hyperlink" Target="https://doi.org/10.1016/j.ailsci.2021.100013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