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162" w:lineRule="exact" w:before="0" w:after="238"/>
        <w:ind w:left="0" w:right="0" w:firstLine="0"/>
        <w:jc w:val="center"/>
      </w:pPr>
      <w:r>
        <w:rPr>
          <w:w w:val="98.09230657724234"/>
          <w:rFonts w:ascii="AdvTT5235d5a9" w:hAnsi="AdvTT5235d5a9" w:eastAsia="AdvTT5235d5a9"/>
          <w:b w:val="0"/>
          <w:i w:val="0"/>
          <w:color w:val="2E3092"/>
          <w:sz w:val="13"/>
        </w:rPr>
        <w:hyperlink r:id="rId9" w:history="1">
          <w:r>
            <w:rPr>
              <w:rStyle w:val="Hyperlink"/>
            </w:rPr>
            <w:t>Arti</w:t>
          </w:r>
        </w:hyperlink>
      </w:r>
      <w:r>
        <w:rPr>
          <w:w w:val="98.09230657724234"/>
          <w:rFonts w:ascii="AdvTT5235d5a9" w:hAnsi="AdvTT5235d5a9" w:eastAsia="AdvTT5235d5a9"/>
          <w:b w:val="0"/>
          <w:i w:val="0"/>
          <w:color w:val="2E3092"/>
          <w:sz w:val="13"/>
        </w:rPr>
        <w:hyperlink r:id="rId9" w:history="1">
          <w:r>
            <w:rPr>
              <w:rStyle w:val="Hyperlink"/>
            </w:rPr>
            <w:t>f</w:t>
          </w:r>
        </w:hyperlink>
      </w:r>
      <w:r>
        <w:rPr>
          <w:w w:val="98.09230657724234"/>
          <w:rFonts w:ascii="AdvTT5235d5a9" w:hAnsi="AdvTT5235d5a9" w:eastAsia="AdvTT5235d5a9"/>
          <w:b w:val="0"/>
          <w:i w:val="0"/>
          <w:color w:val="2E3092"/>
          <w:sz w:val="13"/>
        </w:rPr>
        <w:t>i</w:t>
      </w:r>
      <w:r>
        <w:rPr>
          <w:w w:val="98.09230657724234"/>
          <w:rFonts w:ascii="AdvTT5235d5a9" w:hAnsi="AdvTT5235d5a9" w:eastAsia="AdvTT5235d5a9"/>
          <w:b w:val="0"/>
          <w:i w:val="0"/>
          <w:color w:val="2E3092"/>
          <w:sz w:val="13"/>
        </w:rPr>
        <w:hyperlink r:id="rId9" w:history="1">
          <w:r>
            <w:rPr>
              <w:rStyle w:val="Hyperlink"/>
            </w:rPr>
            <w:t>cial Intelligence in Agriculture 1 (2019) A1</w:t>
          </w:r>
        </w:hyperlink>
      </w:r>
      <w:r>
        <w:rPr>
          <w:w w:val="98.09230657724234"/>
          <w:rFonts w:ascii="AdvTT5235d5a9" w:hAnsi="AdvTT5235d5a9" w:eastAsia="AdvTT5235d5a9"/>
          <w:b w:val="0"/>
          <w:i w:val="0"/>
          <w:color w:val="2E3092"/>
          <w:sz w:val="13"/>
        </w:rPr>
        <w:hyperlink r:id="rId9" w:history="1">
          <w:r>
            <w:rPr>
              <w:rStyle w:val="Hyperlink"/>
            </w:rPr>
            <w:t>–</w:t>
          </w:r>
        </w:hyperlink>
      </w:r>
      <w:r>
        <w:rPr>
          <w:w w:val="98.09230657724234"/>
          <w:rFonts w:ascii="AdvTT5235d5a9" w:hAnsi="AdvTT5235d5a9" w:eastAsia="AdvTT5235d5a9"/>
          <w:b w:val="0"/>
          <w:i w:val="0"/>
          <w:color w:val="2E3092"/>
          <w:sz w:val="13"/>
        </w:rPr>
        <w:hyperlink r:id="rId9" w:history="1">
          <w:r>
            <w:rPr>
              <w:rStyle w:val="Hyperlink"/>
            </w:rPr>
            <w:t>A2</w:t>
          </w:r>
        </w:hyperlink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67"/>
        <w:gridCol w:w="3467"/>
        <w:gridCol w:w="3467"/>
      </w:tblGrid>
      <w:tr>
        <w:trPr>
          <w:trHeight w:hRule="exact" w:val="1584"/>
        </w:trPr>
        <w:tc>
          <w:tcPr>
            <w:tcW w:type="dxa" w:w="1474"/>
            <w:tcBorders>
              <w:top w:sz="2.3999999999999773" w:val="single" w:color="#221F1F"/>
              <w:bottom w:sz="2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2" w:after="0"/>
              <w:ind w:left="3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717550" cy="74803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7550" cy="74803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484"/>
            <w:tcBorders>
              <w:top w:sz="2.3999999999999773" w:val="single" w:color="#221F1F"/>
              <w:bottom w:sz="2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7484"/>
            </w:tblGrid>
            <w:tr>
              <w:trPr>
                <w:trHeight w:hRule="exact" w:val="240"/>
              </w:trPr>
              <w:tc>
                <w:tcPr>
                  <w:tcW w:type="dxa" w:w="7490"/>
                  <w:tcBorders/>
                  <w:shd w:fill="e6e7e8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exact" w:before="0" w:after="0"/>
                    <w:ind w:left="0" w:right="0" w:firstLine="0"/>
                    <w:jc w:val="center"/>
                  </w:pPr>
                  <w:r>
                    <w:rPr>
                      <w:rFonts w:ascii="AdvTTc8c83e50" w:hAnsi="AdvTTc8c83e50" w:eastAsia="AdvTTc8c83e50"/>
                      <w:b w:val="0"/>
                      <w:i w:val="0"/>
                      <w:color w:val="221F1F"/>
                      <w:sz w:val="16"/>
                    </w:rPr>
                    <w:t>Contents lists available at</w:t>
                  </w:r>
                  <w:r>
                    <w:rPr>
                      <w:rFonts w:ascii="AdvTTc8c83e50" w:hAnsi="AdvTTc8c83e50" w:eastAsia="AdvTTc8c83e50"/>
                      <w:b w:val="0"/>
                      <w:i w:val="0"/>
                      <w:color w:val="2E3092"/>
                      <w:sz w:val="16"/>
                    </w:rPr>
                    <w:t xml:space="preserve"> </w:t>
                  </w:r>
                  <w:r>
                    <w:rPr>
                      <w:rFonts w:ascii="AdvTTc8c83e50" w:hAnsi="AdvTTc8c83e50" w:eastAsia="AdvTTc8c83e50"/>
                      <w:b w:val="0"/>
                      <w:i w:val="0"/>
                      <w:color w:val="2E3092"/>
                      <w:sz w:val="16"/>
                    </w:rPr>
                    <w:hyperlink r:id="rId11" w:history="1">
                      <w:r>
                        <w:rPr>
                          <w:rStyle w:val="Hyperlink"/>
                        </w:rPr>
                        <w:t>ScienceDirect</w:t>
                      </w:r>
                    </w:hyperlink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0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756.0" w:type="dxa"/>
            </w:tblPr>
            <w:tblGrid>
              <w:gridCol w:w="7484"/>
            </w:tblGrid>
            <w:tr>
              <w:trPr>
                <w:trHeight w:hRule="exact" w:val="474"/>
              </w:trPr>
              <w:tc>
                <w:tcPr>
                  <w:tcW w:type="dxa" w:w="5960"/>
                  <w:tcBorders/>
                  <w:shd w:fill="e6e7e8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54" w:lineRule="exact" w:before="60" w:after="0"/>
                    <w:ind w:left="0" w:right="0" w:firstLine="0"/>
                    <w:jc w:val="center"/>
                  </w:pPr>
                  <w:r>
                    <w:rPr>
                      <w:rFonts w:ascii="AdvTT5235d5a9" w:hAnsi="AdvTT5235d5a9" w:eastAsia="AdvTT5235d5a9"/>
                      <w:b w:val="0"/>
                      <w:i w:val="0"/>
                      <w:color w:val="221F1F"/>
                      <w:sz w:val="28"/>
                    </w:rPr>
                    <w:t>Arti</w:t>
                  </w:r>
                  <w:r>
                    <w:rPr>
                      <w:rFonts w:ascii="AdvTT5235d5a9" w:hAnsi="AdvTT5235d5a9" w:eastAsia="AdvTT5235d5a9"/>
                      <w:b w:val="0"/>
                      <w:i w:val="0"/>
                      <w:color w:val="221F1F"/>
                      <w:sz w:val="28"/>
                    </w:rPr>
                    <w:t>fi</w:t>
                  </w:r>
                  <w:r>
                    <w:rPr>
                      <w:rFonts w:ascii="AdvTT5235d5a9" w:hAnsi="AdvTT5235d5a9" w:eastAsia="AdvTT5235d5a9"/>
                      <w:b w:val="0"/>
                      <w:i w:val="0"/>
                      <w:color w:val="221F1F"/>
                      <w:sz w:val="28"/>
                    </w:rPr>
                    <w:t>cial Intelligence in Agriculture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15.99999999999994" w:type="dxa"/>
            </w:tblPr>
            <w:tblGrid>
              <w:gridCol w:w="7484"/>
            </w:tblGrid>
            <w:tr>
              <w:trPr>
                <w:trHeight w:hRule="exact" w:val="260"/>
              </w:trPr>
              <w:tc>
                <w:tcPr>
                  <w:tcW w:type="dxa" w:w="7040"/>
                  <w:tcBorders/>
                  <w:shd w:fill="e6e7e8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exact" w:before="60" w:after="0"/>
                    <w:ind w:left="0" w:right="0" w:firstLine="0"/>
                    <w:jc w:val="center"/>
                  </w:pPr>
                  <w:r>
                    <w:rPr>
                      <w:rFonts w:ascii="AdvTTc8c83e50" w:hAnsi="AdvTTc8c83e50" w:eastAsia="AdvTTc8c83e50"/>
                      <w:b w:val="0"/>
                      <w:i w:val="0"/>
                      <w:color w:val="221F1F"/>
                      <w:sz w:val="16"/>
                    </w:rPr>
                    <w:t>journal homepage:</w:t>
                  </w:r>
                  <w:r>
                    <w:rPr>
                      <w:rFonts w:ascii="AdvTTc8c83e50" w:hAnsi="AdvTTc8c83e50" w:eastAsia="AdvTTc8c83e50"/>
                      <w:b w:val="0"/>
                      <w:i w:val="0"/>
                      <w:color w:val="2E3092"/>
                      <w:sz w:val="16"/>
                    </w:rPr>
                    <w:t xml:space="preserve"> </w:t>
                  </w:r>
                  <w:r>
                    <w:rPr>
                      <w:rFonts w:ascii="AdvTTc8c83e50" w:hAnsi="AdvTTc8c83e50" w:eastAsia="AdvTTc8c83e50"/>
                      <w:b w:val="0"/>
                      <w:i w:val="0"/>
                      <w:color w:val="2E3092"/>
                      <w:sz w:val="16"/>
                    </w:rPr>
                    <w:hyperlink r:id="rId12" w:history="1">
                      <w:r>
                        <w:rPr>
                          <w:rStyle w:val="Hyperlink"/>
                        </w:rPr>
                        <w:t>http://www.keaipublishing.com/en/journals/artificial-</w:t>
                      </w:r>
                    </w:hyperlink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82" w:lineRule="exact" w:before="18" w:after="0"/>
              <w:ind w:left="0" w:right="0" w:firstLine="0"/>
              <w:jc w:val="center"/>
            </w:pPr>
            <w:r>
              <w:rPr>
                <w:rFonts w:ascii="AdvTTc8c83e50" w:hAnsi="AdvTTc8c83e50" w:eastAsia="AdvTTc8c83e50"/>
                <w:b w:val="0"/>
                <w:i w:val="0"/>
                <w:color w:val="2E3092"/>
                <w:sz w:val="16"/>
              </w:rPr>
              <w:hyperlink r:id="rId12" w:history="1">
                <w:r>
                  <w:rPr>
                    <w:rStyle w:val="Hyperlink"/>
                  </w:rPr>
                  <w:t>intelligence-in-agriculture/</w:t>
                </w:r>
              </w:hyperlink>
            </w:r>
          </w:p>
        </w:tc>
        <w:tc>
          <w:tcPr>
            <w:tcW w:type="dxa" w:w="1424"/>
            <w:tcBorders>
              <w:top w:sz="2.3999999999999773" w:val="single" w:color="#221F1F"/>
              <w:bottom w:sz="2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296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711200" cy="896619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200" cy="89661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996"/>
        </w:trPr>
        <w:tc>
          <w:tcPr>
            <w:tcW w:type="dxa" w:w="8958"/>
            <w:gridSpan w:val="2"/>
            <w:tcBorders>
              <w:top w:sz="24.0" w:val="single" w:color="#221F1F"/>
              <w:bottom w:sz="2.400000000000091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472" w:after="0"/>
              <w:ind w:left="0" w:right="0" w:firstLine="0"/>
              <w:jc w:val="left"/>
            </w:pPr>
            <w:r>
              <w:rPr>
                <w:rFonts w:ascii="AdvTT5235d5a9" w:hAnsi="AdvTT5235d5a9" w:eastAsia="AdvTT5235d5a9"/>
                <w:b w:val="0"/>
                <w:i w:val="0"/>
                <w:color w:val="221F1F"/>
                <w:sz w:val="27"/>
              </w:rPr>
              <w:t>Inaugural Editorial</w:t>
            </w:r>
          </w:p>
        </w:tc>
        <w:tc>
          <w:tcPr>
            <w:tcW w:type="dxa" w:w="1424"/>
            <w:tcBorders>
              <w:top w:sz="24.0" w:val="single" w:color="#221F1F"/>
              <w:bottom w:sz="2.400000000000091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30" w:after="0"/>
              <w:ind w:left="292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68300" cy="3683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300" cy="368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198"/>
        <w:ind w:left="0" w:right="0"/>
      </w:pPr>
    </w:p>
    <w:p>
      <w:pPr>
        <w:sectPr>
          <w:pgSz w:w="11906" w:h="15874"/>
          <w:pgMar w:top="366" w:right="654" w:bottom="482" w:left="850" w:header="720" w:footer="720" w:gutter="0"/>
          <w:cols w:space="720" w:num="1" w:equalWidth="0">
            <w:col w:w="10402" w:space="0"/>
          </w:cols>
          <w:docGrid w:linePitch="360"/>
        </w:sectPr>
      </w:pPr>
    </w:p>
    <w:p>
      <w:pPr>
        <w:autoSpaceDN w:val="0"/>
        <w:autoSpaceDE w:val="0"/>
        <w:widowControl/>
        <w:spacing w:line="208" w:lineRule="exact" w:before="0" w:after="0"/>
        <w:ind w:left="0" w:right="250" w:firstLine="240"/>
        <w:jc w:val="both"/>
      </w:pPr>
      <w:r>
        <w:rPr>
          <w:rFonts w:ascii="AdvTT5235d5a9" w:hAnsi="AdvTT5235d5a9" w:eastAsia="AdvTT5235d5a9"/>
          <w:b w:val="0"/>
          <w:i w:val="0"/>
          <w:color w:val="221F1F"/>
          <w:sz w:val="16"/>
        </w:rPr>
        <w:t>Welcome to the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 fi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rst issue of</w:t>
      </w:r>
      <w:r>
        <w:rPr>
          <w:rFonts w:ascii="AdvTT94c8263f.I" w:hAnsi="AdvTT94c8263f.I" w:eastAsia="AdvTT94c8263f.I"/>
          <w:b w:val="0"/>
          <w:i w:val="0"/>
          <w:color w:val="221F1F"/>
          <w:sz w:val="16"/>
        </w:rPr>
        <w:t xml:space="preserve"> Arti</w:t>
      </w:r>
      <w:r>
        <w:rPr>
          <w:rFonts w:ascii="fb" w:hAnsi="fb" w:eastAsia="fb"/>
          <w:b w:val="0"/>
          <w:i w:val="0"/>
          <w:color w:val="221F1F"/>
          <w:sz w:val="16"/>
        </w:rPr>
        <w:t>fi</w:t>
      </w:r>
      <w:r>
        <w:rPr>
          <w:rFonts w:ascii="AdvTT94c8263f.I" w:hAnsi="AdvTT94c8263f.I" w:eastAsia="AdvTT94c8263f.I"/>
          <w:b w:val="0"/>
          <w:i w:val="0"/>
          <w:color w:val="221F1F"/>
          <w:sz w:val="16"/>
        </w:rPr>
        <w:t>cial Intelligence in Agriculture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 (AIIA)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the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 fi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rst fully Open Access journal of its kind. We are very pleased to be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able to present these outstanding contributions from diverse re-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searchers. As such this issue well represents AIIA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’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s goal to serve as a plat-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form for high quality work describing science, technologies and practical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applications of arti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fi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cial intelligence (AI) in all branches of agriculture. As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a truly international and fully Open Access journal, AIIA will be publish-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ing original research, reviews, and perspectives on the theory and prac-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tice of AI in agriculture, food, bio-system engineering, and related areas.</w:t>
      </w:r>
    </w:p>
    <w:p>
      <w:pPr>
        <w:autoSpaceDN w:val="0"/>
        <w:autoSpaceDE w:val="0"/>
        <w:widowControl/>
        <w:spacing w:line="196" w:lineRule="exact" w:before="14" w:after="0"/>
        <w:ind w:left="0" w:right="0" w:firstLine="0"/>
        <w:jc w:val="center"/>
      </w:pPr>
      <w:r>
        <w:rPr>
          <w:rFonts w:ascii="AdvTT5235d5a9" w:hAnsi="AdvTT5235d5a9" w:eastAsia="AdvTT5235d5a9"/>
          <w:b w:val="0"/>
          <w:i w:val="0"/>
          <w:color w:val="221F1F"/>
          <w:sz w:val="16"/>
        </w:rPr>
        <w:t>AI, sometimes called machine intelligence, is a branch of computer</w:t>
      </w:r>
    </w:p>
    <w:p>
      <w:pPr>
        <w:sectPr>
          <w:type w:val="continuous"/>
          <w:pgSz w:w="11906" w:h="15874"/>
          <w:pgMar w:top="366" w:right="654" w:bottom="482" w:left="850" w:header="720" w:footer="720" w:gutter="0"/>
          <w:cols w:space="720" w:num="2" w:equalWidth="0">
            <w:col w:w="5272" w:space="0"/>
            <w:col w:w="5130" w:space="0"/>
            <w:col w:w="10402" w:space="0"/>
          </w:cols>
          <w:docGrid w:linePitch="360"/>
        </w:sectPr>
      </w:pPr>
    </w:p>
    <w:p>
      <w:pPr>
        <w:autoSpaceDN w:val="0"/>
        <w:autoSpaceDE w:val="0"/>
        <w:widowControl/>
        <w:spacing w:line="202" w:lineRule="exact" w:before="0" w:after="0"/>
        <w:ind w:left="568" w:right="0" w:firstLine="0"/>
        <w:jc w:val="left"/>
      </w:pPr>
      <w:r>
        <w:rPr>
          <w:rFonts w:ascii="AdvTT5235d5a9" w:hAnsi="AdvTT5235d5a9" w:eastAsia="AdvTT5235d5a9"/>
          <w:b w:val="0"/>
          <w:i w:val="0"/>
          <w:color w:val="221F1F"/>
          <w:sz w:val="16"/>
        </w:rPr>
        <w:t>products as the operating object, combines partial human infor-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mation perception and limb movement ability.</w:t>
      </w:r>
    </w:p>
    <w:p>
      <w:pPr>
        <w:autoSpaceDN w:val="0"/>
        <w:autoSpaceDE w:val="0"/>
        <w:widowControl/>
        <w:spacing w:line="208" w:lineRule="exact" w:before="2" w:after="0"/>
        <w:ind w:left="566" w:right="20" w:hanging="306"/>
        <w:jc w:val="both"/>
      </w:pPr>
      <w:r>
        <w:rPr>
          <w:rFonts w:ascii="AdvTT5235d5a9" w:hAnsi="AdvTT5235d5a9" w:eastAsia="AdvTT5235d5a9"/>
          <w:b w:val="0"/>
          <w:i w:val="0"/>
          <w:color w:val="221F1F"/>
          <w:sz w:val="16"/>
        </w:rPr>
        <w:t>(5)</w:t>
      </w:r>
      <w:r>
        <w:rPr>
          <w:rFonts w:ascii="AdvTT28000ce1.B" w:hAnsi="AdvTT28000ce1.B" w:eastAsia="AdvTT28000ce1.B"/>
          <w:b w:val="0"/>
          <w:i w:val="0"/>
          <w:color w:val="221F1F"/>
          <w:sz w:val="16"/>
        </w:rPr>
        <w:t xml:space="preserve"> Agricultural knowledge-based systems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 adopt modular design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ideas and hierarchical structure systems. A large number of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databases such as agricultural knowledge Q&amp;A and agricul-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tural experts have been constructed and duplicate checking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algorithms have been designed to reduce redundancy.</w:t>
      </w:r>
    </w:p>
    <w:p>
      <w:pPr>
        <w:autoSpaceDN w:val="0"/>
        <w:autoSpaceDE w:val="0"/>
        <w:widowControl/>
        <w:spacing w:line="210" w:lineRule="exact" w:before="0" w:after="14"/>
        <w:ind w:left="576" w:right="20" w:hanging="326"/>
        <w:jc w:val="both"/>
      </w:pPr>
      <w:r>
        <w:rPr>
          <w:rFonts w:ascii="AdvTT5235d5a9" w:hAnsi="AdvTT5235d5a9" w:eastAsia="AdvTT5235d5a9"/>
          <w:b w:val="0"/>
          <w:i w:val="0"/>
          <w:color w:val="221F1F"/>
          <w:sz w:val="16"/>
        </w:rPr>
        <w:t>(6)</w:t>
      </w:r>
      <w:r>
        <w:rPr>
          <w:rFonts w:ascii="AdvTT28000ce1.B" w:hAnsi="AdvTT28000ce1.B" w:eastAsia="AdvTT28000ce1.B"/>
          <w:b w:val="0"/>
          <w:i w:val="0"/>
          <w:color w:val="221F1F"/>
          <w:sz w:val="16"/>
        </w:rPr>
        <w:t xml:space="preserve"> Computational intelligence in agriculture, food and bio-</w:t>
      </w:r>
      <w:r>
        <w:rPr>
          <w:rFonts w:ascii="AdvTT28000ce1.B" w:hAnsi="AdvTT28000ce1.B" w:eastAsia="AdvTT28000ce1.B"/>
          <w:b w:val="0"/>
          <w:i w:val="0"/>
          <w:color w:val="221F1F"/>
          <w:sz w:val="16"/>
        </w:rPr>
        <w:t>systems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 increasingly rely on computer-based systems;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modern agricultural business has superior performance in</w:t>
      </w:r>
    </w:p>
    <w:p>
      <w:pPr>
        <w:sectPr>
          <w:type w:val="nextColumn"/>
          <w:pgSz w:w="11906" w:h="15874"/>
          <w:pgMar w:top="366" w:right="654" w:bottom="482" w:left="850" w:header="720" w:footer="720" w:gutter="0"/>
          <w:cols w:space="720" w:num="2" w:equalWidth="0">
            <w:col w:w="5272" w:space="0"/>
            <w:col w:w="5130" w:space="0"/>
            <w:col w:w="10402" w:space="0"/>
          </w:cols>
          <w:docGrid w:linePitch="360"/>
        </w:sectPr>
      </w:pPr>
    </w:p>
    <w:p>
      <w:pPr>
        <w:autoSpaceDN w:val="0"/>
        <w:tabs>
          <w:tab w:pos="5848" w:val="left"/>
        </w:tabs>
        <w:autoSpaceDE w:val="0"/>
        <w:widowControl/>
        <w:spacing w:line="196" w:lineRule="exact" w:before="0" w:after="12"/>
        <w:ind w:left="0" w:right="0" w:firstLine="0"/>
        <w:jc w:val="left"/>
      </w:pP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science that aims to create intelligent machines that work and react </w:t>
      </w:r>
      <w:r>
        <w:tab/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most cases.</w:t>
      </w:r>
    </w:p>
    <w:p>
      <w:pPr>
        <w:sectPr>
          <w:type w:val="continuous"/>
          <w:pgSz w:w="11906" w:h="15874"/>
          <w:pgMar w:top="366" w:right="654" w:bottom="482" w:left="850" w:header="720" w:footer="720" w:gutter="0"/>
          <w:cols w:space="720" w:num="1" w:equalWidth="0">
            <w:col w:w="10402" w:space="0"/>
            <w:col w:w="5272" w:space="0"/>
            <w:col w:w="5130" w:space="0"/>
            <w:col w:w="10402" w:space="0"/>
          </w:cols>
          <w:docGrid w:linePitch="360"/>
        </w:sectPr>
      </w:pPr>
    </w:p>
    <w:p>
      <w:pPr>
        <w:autoSpaceDN w:val="0"/>
        <w:autoSpaceDE w:val="0"/>
        <w:widowControl/>
        <w:spacing w:line="208" w:lineRule="exact" w:before="0" w:after="0"/>
        <w:ind w:left="0" w:right="248" w:firstLine="0"/>
        <w:jc w:val="both"/>
      </w:pPr>
      <w:r>
        <w:rPr>
          <w:rFonts w:ascii="AdvTT5235d5a9" w:hAnsi="AdvTT5235d5a9" w:eastAsia="AdvTT5235d5a9"/>
          <w:b w:val="0"/>
          <w:i w:val="0"/>
          <w:color w:val="221F1F"/>
          <w:sz w:val="16"/>
        </w:rPr>
        <w:t>like humans and other animals. Traditional aspects of AI research in-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clude planning, learning, natural language processing and perception,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to name a few. AI techniques are also being studied by the practicing en-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gineer who is looking to solve a whole range of hitherto intractable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problems in the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 fi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eld of computer science, education, healthcare, agri-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culture, transportation, and more.</w:t>
      </w:r>
    </w:p>
    <w:p>
      <w:pPr>
        <w:autoSpaceDN w:val="0"/>
        <w:autoSpaceDE w:val="0"/>
        <w:widowControl/>
        <w:spacing w:line="208" w:lineRule="exact" w:before="0" w:after="0"/>
        <w:ind w:left="0" w:right="250" w:firstLine="240"/>
        <w:jc w:val="both"/>
      </w:pPr>
      <w:r>
        <w:rPr>
          <w:rFonts w:ascii="AdvTT5235d5a9" w:hAnsi="AdvTT5235d5a9" w:eastAsia="AdvTT5235d5a9"/>
          <w:b w:val="0"/>
          <w:i w:val="0"/>
          <w:color w:val="221F1F"/>
          <w:sz w:val="16"/>
        </w:rPr>
        <w:t>In the area of agriculture, AI is playing an irreplaceable role in agri-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cultural optimization management, smart agriculture, agricultural ro-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botics, agricultural automation, decision support systems, agricultural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expert systems, and other agricultural knowledge-based systems. In re-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cent decades, AI advancements show improvements in gaining yield</w:t>
      </w:r>
    </w:p>
    <w:p>
      <w:pPr>
        <w:sectPr>
          <w:type w:val="continuous"/>
          <w:pgSz w:w="11906" w:h="15874"/>
          <w:pgMar w:top="366" w:right="654" w:bottom="482" w:left="850" w:header="720" w:footer="720" w:gutter="0"/>
          <w:cols w:space="720" w:num="2" w:equalWidth="0">
            <w:col w:w="5272" w:space="0"/>
            <w:col w:w="5130" w:space="0"/>
            <w:col w:w="10402" w:space="0"/>
            <w:col w:w="5272" w:space="0"/>
            <w:col w:w="5130" w:space="0"/>
            <w:col w:w="10402" w:space="0"/>
          </w:cols>
          <w:docGrid w:linePitch="360"/>
        </w:sectPr>
      </w:pPr>
    </w:p>
    <w:p>
      <w:pPr>
        <w:autoSpaceDN w:val="0"/>
        <w:autoSpaceDE w:val="0"/>
        <w:widowControl/>
        <w:spacing w:line="206" w:lineRule="exact" w:before="0" w:after="0"/>
        <w:ind w:left="566" w:right="20" w:hanging="316"/>
        <w:jc w:val="both"/>
      </w:pPr>
      <w:r>
        <w:rPr>
          <w:rFonts w:ascii="AdvTT5235d5a9" w:hAnsi="AdvTT5235d5a9" w:eastAsia="AdvTT5235d5a9"/>
          <w:b w:val="0"/>
          <w:i w:val="0"/>
          <w:color w:val="221F1F"/>
          <w:sz w:val="16"/>
        </w:rPr>
        <w:t>(7)</w:t>
      </w:r>
      <w:r>
        <w:rPr>
          <w:rFonts w:ascii="AdvTT28000ce1.B" w:hAnsi="AdvTT28000ce1.B" w:eastAsia="AdvTT28000ce1.B"/>
          <w:b w:val="0"/>
          <w:i w:val="0"/>
          <w:color w:val="221F1F"/>
          <w:sz w:val="16"/>
        </w:rPr>
        <w:t xml:space="preserve"> AI in agricultural optimization management: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 with the rapid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development of AI and the comprehensive popularization of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the agricultural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 fi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eld, a speci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fi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c mode is developed to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 fi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nd an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optimal combination of control techniques and to optimize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the production and operation processes.</w:t>
      </w:r>
    </w:p>
    <w:p>
      <w:pPr>
        <w:autoSpaceDN w:val="0"/>
        <w:autoSpaceDE w:val="0"/>
        <w:widowControl/>
        <w:spacing w:line="208" w:lineRule="exact" w:before="2" w:after="0"/>
        <w:ind w:left="576" w:right="20" w:hanging="326"/>
        <w:jc w:val="both"/>
      </w:pPr>
      <w:r>
        <w:rPr>
          <w:rFonts w:ascii="AdvTT5235d5a9" w:hAnsi="AdvTT5235d5a9" w:eastAsia="AdvTT5235d5a9"/>
          <w:b w:val="0"/>
          <w:i w:val="0"/>
          <w:color w:val="221F1F"/>
          <w:sz w:val="16"/>
        </w:rPr>
        <w:t>(8)</w:t>
      </w:r>
      <w:r>
        <w:rPr>
          <w:rFonts w:ascii="AdvTT28000ce1.B" w:hAnsi="AdvTT28000ce1.B" w:eastAsia="AdvTT28000ce1.B"/>
          <w:b w:val="0"/>
          <w:i w:val="0"/>
          <w:color w:val="221F1F"/>
          <w:sz w:val="16"/>
        </w:rPr>
        <w:t xml:space="preserve"> Intelligent interfaces and human-machine interactions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working and reacting like humans can help to solve agricul-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tural problems including planning, learning, natural language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processing, perception, and so on.</w:t>
      </w:r>
    </w:p>
    <w:p>
      <w:pPr>
        <w:autoSpaceDN w:val="0"/>
        <w:autoSpaceDE w:val="0"/>
        <w:widowControl/>
        <w:spacing w:line="208" w:lineRule="exact" w:before="2" w:after="14"/>
        <w:ind w:left="576" w:right="0" w:hanging="326"/>
        <w:jc w:val="left"/>
      </w:pPr>
      <w:r>
        <w:rPr>
          <w:rFonts w:ascii="AdvTT5235d5a9" w:hAnsi="AdvTT5235d5a9" w:eastAsia="AdvTT5235d5a9"/>
          <w:b w:val="0"/>
          <w:i w:val="0"/>
          <w:color w:val="221F1F"/>
          <w:sz w:val="16"/>
        </w:rPr>
        <w:t>(9)</w:t>
      </w:r>
      <w:r>
        <w:rPr>
          <w:rFonts w:ascii="AdvTT28000ce1.B" w:hAnsi="AdvTT28000ce1.B" w:eastAsia="AdvTT28000ce1.B"/>
          <w:b w:val="0"/>
          <w:i w:val="0"/>
          <w:color w:val="221F1F"/>
          <w:sz w:val="16"/>
        </w:rPr>
        <w:t xml:space="preserve"> Machine vision and image/signal processing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 have sought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their task in serving agricultural engineering by providing in-</w:t>
      </w:r>
    </w:p>
    <w:p>
      <w:pPr>
        <w:sectPr>
          <w:type w:val="nextColumn"/>
          <w:pgSz w:w="11906" w:h="15874"/>
          <w:pgMar w:top="366" w:right="654" w:bottom="482" w:left="850" w:header="720" w:footer="720" w:gutter="0"/>
          <w:cols w:space="720" w:num="2" w:equalWidth="0">
            <w:col w:w="5272" w:space="0"/>
            <w:col w:w="5130" w:space="0"/>
            <w:col w:w="10402" w:space="0"/>
            <w:col w:w="5272" w:space="0"/>
            <w:col w:w="5130" w:space="0"/>
            <w:col w:w="10402" w:space="0"/>
          </w:cols>
          <w:docGrid w:linePitch="360"/>
        </w:sectPr>
      </w:pPr>
    </w:p>
    <w:p>
      <w:pPr>
        <w:autoSpaceDN w:val="0"/>
        <w:tabs>
          <w:tab w:pos="5848" w:val="left"/>
        </w:tabs>
        <w:autoSpaceDE w:val="0"/>
        <w:widowControl/>
        <w:spacing w:line="196" w:lineRule="exact" w:before="0" w:after="14"/>
        <w:ind w:left="0" w:right="0" w:firstLine="0"/>
        <w:jc w:val="left"/>
      </w:pP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and to optimize the production and operation processes of growing </w:t>
      </w:r>
      <w:r>
        <w:tab/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telligent solutions.</w:t>
      </w:r>
    </w:p>
    <w:p>
      <w:pPr>
        <w:sectPr>
          <w:type w:val="continuous"/>
          <w:pgSz w:w="11906" w:h="15874"/>
          <w:pgMar w:top="366" w:right="654" w:bottom="482" w:left="850" w:header="720" w:footer="720" w:gutter="0"/>
          <w:cols w:space="720" w:num="1" w:equalWidth="0">
            <w:col w:w="10402" w:space="0"/>
            <w:col w:w="5272" w:space="0"/>
            <w:col w:w="5130" w:space="0"/>
            <w:col w:w="10402" w:space="0"/>
            <w:col w:w="5272" w:space="0"/>
            <w:col w:w="5130" w:space="0"/>
            <w:col w:w="10402" w:space="0"/>
          </w:cols>
          <w:docGrid w:linePitch="360"/>
        </w:sectPr>
      </w:pPr>
    </w:p>
    <w:p>
      <w:pPr>
        <w:autoSpaceDN w:val="0"/>
        <w:autoSpaceDE w:val="0"/>
        <w:widowControl/>
        <w:spacing w:line="206" w:lineRule="exact" w:before="0" w:after="0"/>
        <w:ind w:left="0" w:right="204" w:firstLine="0"/>
        <w:jc w:val="both"/>
      </w:pP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crops. The launch of AIIA responds to the need to effectively address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critical, often complex tasks in agriculture. The journal also serves as a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medium for discussion of such strategically vital scienti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fi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c topics.</w:t>
      </w:r>
    </w:p>
    <w:p>
      <w:pPr>
        <w:autoSpaceDN w:val="0"/>
        <w:autoSpaceDE w:val="0"/>
        <w:widowControl/>
        <w:spacing w:line="196" w:lineRule="exact" w:before="8" w:after="0"/>
        <w:ind w:left="0" w:right="0" w:firstLine="0"/>
        <w:jc w:val="center"/>
      </w:pPr>
      <w:r>
        <w:rPr>
          <w:rFonts w:ascii="AdvTT5235d5a9" w:hAnsi="AdvTT5235d5a9" w:eastAsia="AdvTT5235d5a9"/>
          <w:b w:val="0"/>
          <w:i w:val="0"/>
          <w:color w:val="221F1F"/>
          <w:sz w:val="16"/>
        </w:rPr>
        <w:t>To achieve these aims of the journal, AIIA will publish rigorously</w:t>
      </w:r>
    </w:p>
    <w:p>
      <w:pPr>
        <w:sectPr>
          <w:type w:val="continuous"/>
          <w:pgSz w:w="11906" w:h="15874"/>
          <w:pgMar w:top="366" w:right="654" w:bottom="482" w:left="850" w:header="720" w:footer="720" w:gutter="0"/>
          <w:cols w:space="720" w:num="2" w:equalWidth="0">
            <w:col w:w="5226" w:space="0"/>
            <w:col w:w="5176" w:space="0"/>
            <w:col w:w="10402" w:space="0"/>
            <w:col w:w="5272" w:space="0"/>
            <w:col w:w="5130" w:space="0"/>
            <w:col w:w="10402" w:space="0"/>
            <w:col w:w="5272" w:space="0"/>
            <w:col w:w="5130" w:space="0"/>
            <w:col w:w="10402" w:space="0"/>
          </w:cols>
          <w:docGrid w:linePitch="360"/>
        </w:sectPr>
      </w:pPr>
    </w:p>
    <w:p>
      <w:pPr>
        <w:autoSpaceDN w:val="0"/>
        <w:autoSpaceDE w:val="0"/>
        <w:widowControl/>
        <w:spacing w:line="206" w:lineRule="exact" w:before="0" w:after="12"/>
        <w:ind w:left="626" w:right="20" w:hanging="424"/>
        <w:jc w:val="both"/>
      </w:pPr>
      <w:r>
        <w:rPr>
          <w:rFonts w:ascii="AdvTT5235d5a9" w:hAnsi="AdvTT5235d5a9" w:eastAsia="AdvTT5235d5a9"/>
          <w:b w:val="0"/>
          <w:i w:val="0"/>
          <w:color w:val="221F1F"/>
          <w:sz w:val="16"/>
        </w:rPr>
        <w:t>(10)</w:t>
      </w:r>
      <w:r>
        <w:rPr>
          <w:rFonts w:ascii="AdvTT28000ce1.B" w:hAnsi="AdvTT28000ce1.B" w:eastAsia="AdvTT28000ce1.B"/>
          <w:b w:val="0"/>
          <w:i w:val="0"/>
          <w:color w:val="221F1F"/>
          <w:sz w:val="16"/>
        </w:rPr>
        <w:t xml:space="preserve"> Machine learning and pattern recognition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 with modern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communication, sensing, and actuator technologies, machine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learning and pattern recognition are increasingly applied in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agriculture, putting the vision of a sustainable agriculture for</w:t>
      </w:r>
    </w:p>
    <w:p>
      <w:pPr>
        <w:sectPr>
          <w:type w:val="nextColumn"/>
          <w:pgSz w:w="11906" w:h="15874"/>
          <w:pgMar w:top="366" w:right="654" w:bottom="482" w:left="850" w:header="720" w:footer="720" w:gutter="0"/>
          <w:cols w:space="720" w:num="2" w:equalWidth="0">
            <w:col w:w="5226" w:space="0"/>
            <w:col w:w="5176" w:space="0"/>
            <w:col w:w="10402" w:space="0"/>
            <w:col w:w="5272" w:space="0"/>
            <w:col w:w="5130" w:space="0"/>
            <w:col w:w="10402" w:space="0"/>
            <w:col w:w="5272" w:space="0"/>
            <w:col w:w="5130" w:space="0"/>
            <w:col w:w="10402" w:space="0"/>
          </w:cols>
          <w:docGrid w:linePitch="360"/>
        </w:sectPr>
      </w:pPr>
    </w:p>
    <w:p>
      <w:pPr>
        <w:autoSpaceDN w:val="0"/>
        <w:tabs>
          <w:tab w:pos="5852" w:val="left"/>
        </w:tabs>
        <w:autoSpaceDE w:val="0"/>
        <w:widowControl/>
        <w:spacing w:line="202" w:lineRule="exact" w:before="0" w:after="8"/>
        <w:ind w:left="0" w:right="0" w:firstLine="0"/>
        <w:jc w:val="left"/>
      </w:pPr>
      <w:r>
        <w:rPr>
          <w:rFonts w:ascii="AdvTT5235d5a9" w:hAnsi="AdvTT5235d5a9" w:eastAsia="AdvTT5235d5a9"/>
          <w:b w:val="0"/>
          <w:i w:val="0"/>
          <w:color w:val="221F1F"/>
          <w:sz w:val="16"/>
        </w:rPr>
        <w:t>peer reviewed scienti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fi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c studies and technical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 fi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ndings within the fol-</w:t>
      </w:r>
      <w:r>
        <w:tab/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anyone within reach.</w:t>
      </w:r>
    </w:p>
    <w:p>
      <w:pPr>
        <w:sectPr>
          <w:type w:val="continuous"/>
          <w:pgSz w:w="11906" w:h="15874"/>
          <w:pgMar w:top="366" w:right="654" w:bottom="482" w:left="850" w:header="720" w:footer="720" w:gutter="0"/>
          <w:cols w:space="720" w:num="1" w:equalWidth="0">
            <w:col w:w="10402" w:space="0"/>
            <w:col w:w="5226" w:space="0"/>
            <w:col w:w="5176" w:space="0"/>
            <w:col w:w="10402" w:space="0"/>
            <w:col w:w="5272" w:space="0"/>
            <w:col w:w="5130" w:space="0"/>
            <w:col w:w="10402" w:space="0"/>
            <w:col w:w="5272" w:space="0"/>
            <w:col w:w="5130" w:space="0"/>
            <w:col w:w="10402" w:space="0"/>
          </w:cols>
          <w:docGrid w:linePitch="360"/>
        </w:sectPr>
      </w:pPr>
    </w:p>
    <w:p>
      <w:pPr>
        <w:autoSpaceDN w:val="0"/>
        <w:autoSpaceDE w:val="0"/>
        <w:widowControl/>
        <w:spacing w:line="196" w:lineRule="exact" w:before="0" w:after="0"/>
        <w:ind w:left="0" w:right="0" w:firstLine="0"/>
        <w:jc w:val="left"/>
      </w:pPr>
      <w:r>
        <w:rPr>
          <w:rFonts w:ascii="AdvTT5235d5a9" w:hAnsi="AdvTT5235d5a9" w:eastAsia="AdvTT5235d5a9"/>
          <w:b w:val="0"/>
          <w:i w:val="0"/>
          <w:color w:val="221F1F"/>
          <w:sz w:val="16"/>
        </w:rPr>
        <w:t>lowing research areas:</w:t>
      </w:r>
    </w:p>
    <w:p>
      <w:pPr>
        <w:autoSpaceDN w:val="0"/>
        <w:autoSpaceDE w:val="0"/>
        <w:widowControl/>
        <w:spacing w:line="208" w:lineRule="exact" w:before="208" w:after="0"/>
        <w:ind w:left="482" w:right="202" w:hanging="310"/>
        <w:jc w:val="both"/>
      </w:pPr>
      <w:r>
        <w:rPr>
          <w:rFonts w:ascii="AdvTT5235d5a9" w:hAnsi="AdvTT5235d5a9" w:eastAsia="AdvTT5235d5a9"/>
          <w:b w:val="0"/>
          <w:i w:val="0"/>
          <w:color w:val="221F1F"/>
          <w:sz w:val="16"/>
        </w:rPr>
        <w:t>(1)</w:t>
      </w:r>
      <w:r>
        <w:rPr>
          <w:rFonts w:ascii="AdvTT28000ce1.B" w:hAnsi="AdvTT28000ce1.B" w:eastAsia="AdvTT28000ce1.B"/>
          <w:b w:val="0"/>
          <w:i w:val="0"/>
          <w:color w:val="221F1F"/>
          <w:sz w:val="16"/>
        </w:rPr>
        <w:t xml:space="preserve"> Al-based decision support systems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 which collect, sort out and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provide various data related to agricultural decision-making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problems, store various models related to decision-making prob-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lems and generate intelligent solutions, combined with AI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’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s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knowledge reasoning technology.</w:t>
      </w:r>
    </w:p>
    <w:p>
      <w:pPr>
        <w:autoSpaceDN w:val="0"/>
        <w:autoSpaceDE w:val="0"/>
        <w:widowControl/>
        <w:spacing w:line="198" w:lineRule="exact" w:before="12" w:after="0"/>
        <w:ind w:left="0" w:right="0" w:firstLine="0"/>
        <w:jc w:val="center"/>
      </w:pPr>
      <w:r>
        <w:rPr>
          <w:rFonts w:ascii="AdvTT5235d5a9" w:hAnsi="AdvTT5235d5a9" w:eastAsia="AdvTT5235d5a9"/>
          <w:b w:val="0"/>
          <w:i w:val="0"/>
          <w:color w:val="221F1F"/>
          <w:sz w:val="16"/>
        </w:rPr>
        <w:t>(2)</w:t>
      </w:r>
      <w:r>
        <w:rPr>
          <w:rFonts w:ascii="AdvTT28000ce1.B" w:hAnsi="AdvTT28000ce1.B" w:eastAsia="AdvTT28000ce1.B"/>
          <w:b w:val="0"/>
          <w:i w:val="0"/>
          <w:color w:val="221F1F"/>
          <w:sz w:val="16"/>
        </w:rPr>
        <w:t xml:space="preserve"> Al-based precision agriculture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 using bp-level data, deep learn-</w:t>
      </w:r>
    </w:p>
    <w:p>
      <w:pPr>
        <w:sectPr>
          <w:type w:val="continuous"/>
          <w:pgSz w:w="11906" w:h="15874"/>
          <w:pgMar w:top="366" w:right="654" w:bottom="482" w:left="850" w:header="720" w:footer="720" w:gutter="0"/>
          <w:cols w:space="720" w:num="2" w:equalWidth="0">
            <w:col w:w="5226" w:space="0"/>
            <w:col w:w="5176" w:space="0"/>
            <w:col w:w="10402" w:space="0"/>
            <w:col w:w="5226" w:space="0"/>
            <w:col w:w="5176" w:space="0"/>
            <w:col w:w="10402" w:space="0"/>
            <w:col w:w="5272" w:space="0"/>
            <w:col w:w="5130" w:space="0"/>
            <w:col w:w="10402" w:space="0"/>
            <w:col w:w="5272" w:space="0"/>
            <w:col w:w="5130" w:space="0"/>
            <w:col w:w="10402" w:space="0"/>
          </w:cols>
          <w:docGrid w:linePitch="360"/>
        </w:sectPr>
      </w:pPr>
    </w:p>
    <w:p>
      <w:pPr>
        <w:autoSpaceDN w:val="0"/>
        <w:autoSpaceDE w:val="0"/>
        <w:widowControl/>
        <w:spacing w:line="206" w:lineRule="exact" w:before="0" w:after="0"/>
        <w:ind w:left="612" w:right="22" w:hanging="410"/>
        <w:jc w:val="both"/>
      </w:pPr>
      <w:r>
        <w:rPr>
          <w:rFonts w:ascii="AdvTT5235d5a9" w:hAnsi="AdvTT5235d5a9" w:eastAsia="AdvTT5235d5a9"/>
          <w:b w:val="0"/>
          <w:i w:val="0"/>
          <w:color w:val="221F1F"/>
          <w:sz w:val="16"/>
        </w:rPr>
        <w:t>(11)</w:t>
      </w:r>
      <w:r>
        <w:rPr>
          <w:rFonts w:ascii="AdvTT28000ce1.B" w:hAnsi="AdvTT28000ce1.B" w:eastAsia="AdvTT28000ce1.B"/>
          <w:b w:val="0"/>
          <w:i w:val="0"/>
          <w:color w:val="221F1F"/>
          <w:sz w:val="16"/>
        </w:rPr>
        <w:t xml:space="preserve"> Neural networks, fuzzy systems, neuro-fuzzy systems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 moti-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vated by their great potential for knowledge expression, allow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for the application of arti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fi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cial neural networks to solve a vari-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ety of serious problems in agriculture.</w:t>
      </w:r>
    </w:p>
    <w:p>
      <w:pPr>
        <w:autoSpaceDN w:val="0"/>
        <w:autoSpaceDE w:val="0"/>
        <w:widowControl/>
        <w:spacing w:line="210" w:lineRule="exact" w:before="0" w:after="14"/>
        <w:ind w:left="612" w:right="20" w:hanging="410"/>
        <w:jc w:val="both"/>
      </w:pPr>
      <w:r>
        <w:rPr>
          <w:rFonts w:ascii="AdvTT5235d5a9" w:hAnsi="AdvTT5235d5a9" w:eastAsia="AdvTT5235d5a9"/>
          <w:b w:val="0"/>
          <w:i w:val="0"/>
          <w:color w:val="221F1F"/>
          <w:sz w:val="16"/>
        </w:rPr>
        <w:t>(12)</w:t>
      </w:r>
      <w:r>
        <w:rPr>
          <w:rFonts w:ascii="AdvTT28000ce1.B" w:hAnsi="AdvTT28000ce1.B" w:eastAsia="AdvTT28000ce1.B"/>
          <w:b w:val="0"/>
          <w:i w:val="0"/>
          <w:color w:val="221F1F"/>
          <w:sz w:val="16"/>
        </w:rPr>
        <w:t xml:space="preserve"> Systems modeling and analysis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 express the internal laws and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external relations of various agricultural processes to help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achieve higher ef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fi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ciency in agriculture, higher quality of agri-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cultural products and protect the agricultural environment</w:t>
      </w:r>
    </w:p>
    <w:p>
      <w:pPr>
        <w:sectPr>
          <w:type w:val="nextColumn"/>
          <w:pgSz w:w="11906" w:h="15874"/>
          <w:pgMar w:top="366" w:right="654" w:bottom="482" w:left="850" w:header="720" w:footer="720" w:gutter="0"/>
          <w:cols w:space="720" w:num="2" w:equalWidth="0">
            <w:col w:w="5226" w:space="0"/>
            <w:col w:w="5176" w:space="0"/>
            <w:col w:w="10402" w:space="0"/>
            <w:col w:w="5226" w:space="0"/>
            <w:col w:w="5176" w:space="0"/>
            <w:col w:w="10402" w:space="0"/>
            <w:col w:w="5272" w:space="0"/>
            <w:col w:w="5130" w:space="0"/>
            <w:col w:w="10402" w:space="0"/>
            <w:col w:w="5272" w:space="0"/>
            <w:col w:w="5130" w:space="0"/>
            <w:col w:w="10402" w:space="0"/>
          </w:cols>
          <w:docGrid w:linePitch="360"/>
        </w:sectPr>
      </w:pPr>
    </w:p>
    <w:p>
      <w:pPr>
        <w:autoSpaceDN w:val="0"/>
        <w:tabs>
          <w:tab w:pos="5838" w:val="left"/>
        </w:tabs>
        <w:autoSpaceDE w:val="0"/>
        <w:widowControl/>
        <w:spacing w:line="196" w:lineRule="exact" w:before="0" w:after="12"/>
        <w:ind w:left="478" w:right="0" w:firstLine="0"/>
        <w:jc w:val="left"/>
      </w:pP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ing algorithms that help to gain insight into (or make) planting </w:t>
      </w:r>
      <w:r>
        <w:tab/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more effectively.</w:t>
      </w:r>
    </w:p>
    <w:p>
      <w:pPr>
        <w:sectPr>
          <w:type w:val="continuous"/>
          <w:pgSz w:w="11906" w:h="15874"/>
          <w:pgMar w:top="366" w:right="654" w:bottom="482" w:left="850" w:header="720" w:footer="720" w:gutter="0"/>
          <w:cols w:space="720" w:num="1" w:equalWidth="0">
            <w:col w:w="10402" w:space="0"/>
            <w:col w:w="5226" w:space="0"/>
            <w:col w:w="5176" w:space="0"/>
            <w:col w:w="10402" w:space="0"/>
            <w:col w:w="5226" w:space="0"/>
            <w:col w:w="5176" w:space="0"/>
            <w:col w:w="10402" w:space="0"/>
            <w:col w:w="5272" w:space="0"/>
            <w:col w:w="5130" w:space="0"/>
            <w:col w:w="10402" w:space="0"/>
            <w:col w:w="5272" w:space="0"/>
            <w:col w:w="5130" w:space="0"/>
            <w:col w:w="10402" w:space="0"/>
          </w:cols>
          <w:docGrid w:linePitch="360"/>
        </w:sectPr>
      </w:pPr>
    </w:p>
    <w:p>
      <w:pPr>
        <w:autoSpaceDN w:val="0"/>
        <w:autoSpaceDE w:val="0"/>
        <w:widowControl/>
        <w:spacing w:line="204" w:lineRule="exact" w:before="0" w:after="0"/>
        <w:ind w:left="478" w:right="204" w:firstLine="0"/>
        <w:jc w:val="both"/>
      </w:pP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time, irrigation, fertilization, and pastural-related decisions that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ultimately increase the productivity of land, equipment, and peo-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ple in agriculture.</w:t>
      </w:r>
    </w:p>
    <w:p>
      <w:pPr>
        <w:autoSpaceDN w:val="0"/>
        <w:autoSpaceDE w:val="0"/>
        <w:widowControl/>
        <w:spacing w:line="210" w:lineRule="exact" w:before="0" w:after="0"/>
        <w:ind w:left="480" w:right="204" w:hanging="308"/>
        <w:jc w:val="both"/>
      </w:pPr>
      <w:r>
        <w:rPr>
          <w:rFonts w:ascii="AdvTT5235d5a9" w:hAnsi="AdvTT5235d5a9" w:eastAsia="AdvTT5235d5a9"/>
          <w:b w:val="0"/>
          <w:i w:val="0"/>
          <w:color w:val="221F1F"/>
          <w:sz w:val="16"/>
        </w:rPr>
        <w:t>(3)</w:t>
      </w:r>
      <w:r>
        <w:rPr>
          <w:rFonts w:ascii="AdvTT28000ce1.B" w:hAnsi="AdvTT28000ce1.B" w:eastAsia="AdvTT28000ce1.B"/>
          <w:b w:val="0"/>
          <w:i w:val="0"/>
          <w:color w:val="221F1F"/>
          <w:sz w:val="16"/>
        </w:rPr>
        <w:t xml:space="preserve"> Smart sensors and Internet of Things: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 sensors are the founda-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tion of the agricultural Internet of Things (IoT). In the process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of agricultural production sensors collect parameters including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soil temperature, humidity, air temperature and humidity, etc.</w:t>
      </w:r>
    </w:p>
    <w:p>
      <w:pPr>
        <w:autoSpaceDN w:val="0"/>
        <w:autoSpaceDE w:val="0"/>
        <w:widowControl/>
        <w:spacing w:line="202" w:lineRule="exact" w:before="14" w:after="0"/>
        <w:ind w:left="480" w:right="144" w:firstLine="0"/>
        <w:jc w:val="left"/>
      </w:pPr>
      <w:r>
        <w:rPr>
          <w:rFonts w:ascii="AdvTT5235d5a9" w:hAnsi="AdvTT5235d5a9" w:eastAsia="AdvTT5235d5a9"/>
          <w:b w:val="0"/>
          <w:i w:val="0"/>
          <w:color w:val="221F1F"/>
          <w:sz w:val="16"/>
        </w:rPr>
        <w:t>and in combination with arti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fi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cial intelligence technology im-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prove the utilization rate of data.</w:t>
      </w:r>
    </w:p>
    <w:p>
      <w:pPr>
        <w:autoSpaceDN w:val="0"/>
        <w:autoSpaceDE w:val="0"/>
        <w:widowControl/>
        <w:spacing w:line="208" w:lineRule="exact" w:before="2" w:after="0"/>
        <w:ind w:left="480" w:right="204" w:hanging="308"/>
        <w:jc w:val="both"/>
      </w:pPr>
      <w:r>
        <w:rPr>
          <w:rFonts w:ascii="AdvTT5235d5a9" w:hAnsi="AdvTT5235d5a9" w:eastAsia="AdvTT5235d5a9"/>
          <w:b w:val="0"/>
          <w:i w:val="0"/>
          <w:color w:val="221F1F"/>
          <w:sz w:val="16"/>
        </w:rPr>
        <w:t>(4)</w:t>
      </w:r>
      <w:r>
        <w:rPr>
          <w:rFonts w:ascii="AdvTT28000ce1.B" w:hAnsi="AdvTT28000ce1.B" w:eastAsia="AdvTT28000ce1.B"/>
          <w:b w:val="0"/>
          <w:i w:val="0"/>
          <w:color w:val="221F1F"/>
          <w:sz w:val="16"/>
        </w:rPr>
        <w:t xml:space="preserve"> Agricultural robotics and automation equipment: an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 agricul-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tural robot is a kind of automatic or semi-automatic equipment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that can be programmed repeatedly, which takes agricultural</w:t>
      </w:r>
    </w:p>
    <w:p>
      <w:pPr>
        <w:autoSpaceDN w:val="0"/>
        <w:autoSpaceDE w:val="0"/>
        <w:widowControl/>
        <w:spacing w:line="156" w:lineRule="exact" w:before="234" w:after="0"/>
        <w:ind w:left="0" w:right="0" w:firstLine="0"/>
        <w:jc w:val="left"/>
      </w:pPr>
      <w:r>
        <w:rPr>
          <w:w w:val="98.09230657724234"/>
          <w:rFonts w:ascii="AdvTT5235d5a9" w:hAnsi="AdvTT5235d5a9" w:eastAsia="AdvTT5235d5a9"/>
          <w:b w:val="0"/>
          <w:i w:val="0"/>
          <w:color w:val="2E3092"/>
          <w:sz w:val="13"/>
        </w:rPr>
        <w:hyperlink r:id="rId9" w:history="1">
          <w:r>
            <w:rPr>
              <w:rStyle w:val="Hyperlink"/>
            </w:rPr>
            <w:t>https://doi.org/10.1016/j.aiia.2019.05.003</w:t>
          </w:r>
        </w:hyperlink>
      </w:r>
    </w:p>
    <w:p>
      <w:pPr>
        <w:sectPr>
          <w:type w:val="continuous"/>
          <w:pgSz w:w="11906" w:h="15874"/>
          <w:pgMar w:top="366" w:right="654" w:bottom="482" w:left="850" w:header="720" w:footer="720" w:gutter="0"/>
          <w:cols w:space="720" w:num="2" w:equalWidth="0">
            <w:col w:w="5226" w:space="0"/>
            <w:col w:w="5176" w:space="0"/>
            <w:col w:w="10402" w:space="0"/>
            <w:col w:w="5226" w:space="0"/>
            <w:col w:w="5176" w:space="0"/>
            <w:col w:w="10402" w:space="0"/>
            <w:col w:w="5226" w:space="0"/>
            <w:col w:w="5176" w:space="0"/>
            <w:col w:w="10402" w:space="0"/>
            <w:col w:w="5272" w:space="0"/>
            <w:col w:w="5130" w:space="0"/>
            <w:col w:w="10402" w:space="0"/>
            <w:col w:w="5272" w:space="0"/>
            <w:col w:w="5130" w:space="0"/>
            <w:col w:w="10402" w:space="0"/>
          </w:cols>
          <w:docGrid w:linePitch="360"/>
        </w:sectPr>
      </w:pPr>
    </w:p>
    <w:p>
      <w:pPr>
        <w:autoSpaceDN w:val="0"/>
        <w:autoSpaceDE w:val="0"/>
        <w:widowControl/>
        <w:spacing w:line="206" w:lineRule="exact" w:before="0" w:after="0"/>
        <w:ind w:left="620" w:right="22" w:hanging="418"/>
        <w:jc w:val="both"/>
      </w:pPr>
      <w:r>
        <w:rPr>
          <w:rFonts w:ascii="AdvTT5235d5a9" w:hAnsi="AdvTT5235d5a9" w:eastAsia="AdvTT5235d5a9"/>
          <w:b w:val="0"/>
          <w:i w:val="0"/>
          <w:color w:val="221F1F"/>
          <w:sz w:val="16"/>
        </w:rPr>
        <w:t>(13)</w:t>
      </w:r>
      <w:r>
        <w:rPr>
          <w:rFonts w:ascii="AdvTT28000ce1.B" w:hAnsi="AdvTT28000ce1.B" w:eastAsia="AdvTT28000ce1.B"/>
          <w:b w:val="0"/>
          <w:i w:val="0"/>
          <w:color w:val="221F1F"/>
          <w:sz w:val="16"/>
        </w:rPr>
        <w:t xml:space="preserve"> Intelligent systems for animal feeding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 cover technological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means like sensor detection, data processing and remote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monitoring to control the feeding quantity accurately and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monitor the feed intake in real time.</w:t>
      </w:r>
    </w:p>
    <w:p>
      <w:pPr>
        <w:autoSpaceDN w:val="0"/>
        <w:autoSpaceDE w:val="0"/>
        <w:widowControl/>
        <w:spacing w:line="210" w:lineRule="exact" w:before="0" w:after="0"/>
        <w:ind w:left="618" w:right="20" w:hanging="416"/>
        <w:jc w:val="both"/>
      </w:pPr>
      <w:r>
        <w:rPr>
          <w:rFonts w:ascii="AdvTT5235d5a9" w:hAnsi="AdvTT5235d5a9" w:eastAsia="AdvTT5235d5a9"/>
          <w:b w:val="0"/>
          <w:i w:val="0"/>
          <w:color w:val="221F1F"/>
          <w:sz w:val="16"/>
        </w:rPr>
        <w:t>(14)</w:t>
      </w:r>
      <w:r>
        <w:rPr>
          <w:rFonts w:ascii="AdvTT28000ce1.B" w:hAnsi="AdvTT28000ce1.B" w:eastAsia="AdvTT28000ce1.B"/>
          <w:b w:val="0"/>
          <w:i w:val="0"/>
          <w:color w:val="221F1F"/>
          <w:sz w:val="16"/>
        </w:rPr>
        <w:t xml:space="preserve"> Expert systems in agriculture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 effectively leverage manage-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ment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’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s input into agricultural production systems by allowing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for the assimilation of all available knowledge pertinent to the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task at hand. Its applications include Crop Management Advi-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sors, Livestock Management Advisors, Planning Systems, Pest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Management Systems, Diagnostic Systems.</w:t>
      </w:r>
    </w:p>
    <w:p>
      <w:pPr>
        <w:autoSpaceDN w:val="0"/>
        <w:autoSpaceDE w:val="0"/>
        <w:widowControl/>
        <w:spacing w:line="208" w:lineRule="exact" w:before="0" w:after="406"/>
        <w:ind w:left="612" w:right="0" w:hanging="410"/>
        <w:jc w:val="left"/>
      </w:pPr>
      <w:r>
        <w:rPr>
          <w:rFonts w:ascii="AdvTT5235d5a9" w:hAnsi="AdvTT5235d5a9" w:eastAsia="AdvTT5235d5a9"/>
          <w:b w:val="0"/>
          <w:i w:val="0"/>
          <w:color w:val="221F1F"/>
          <w:sz w:val="16"/>
        </w:rPr>
        <w:t>(15)</w:t>
      </w:r>
      <w:r>
        <w:rPr>
          <w:rFonts w:ascii="AdvTT28000ce1.B" w:hAnsi="AdvTT28000ce1.B" w:eastAsia="AdvTT28000ce1.B"/>
          <w:b w:val="0"/>
          <w:i w:val="0"/>
          <w:color w:val="221F1F"/>
          <w:sz w:val="16"/>
        </w:rPr>
        <w:t xml:space="preserve"> Crop Phenotyping and analysis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 is the most direct way in the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research of crop breeding by studying the relationship</w:t>
      </w:r>
    </w:p>
    <w:p>
      <w:pPr>
        <w:sectPr>
          <w:type w:val="nextColumn"/>
          <w:pgSz w:w="11906" w:h="15874"/>
          <w:pgMar w:top="366" w:right="654" w:bottom="482" w:left="850" w:header="720" w:footer="720" w:gutter="0"/>
          <w:cols w:space="720" w:num="2" w:equalWidth="0">
            <w:col w:w="5226" w:space="0"/>
            <w:col w:w="5176" w:space="0"/>
            <w:col w:w="10402" w:space="0"/>
            <w:col w:w="5226" w:space="0"/>
            <w:col w:w="5176" w:space="0"/>
            <w:col w:w="10402" w:space="0"/>
            <w:col w:w="5226" w:space="0"/>
            <w:col w:w="5176" w:space="0"/>
            <w:col w:w="10402" w:space="0"/>
            <w:col w:w="5272" w:space="0"/>
            <w:col w:w="5130" w:space="0"/>
            <w:col w:w="10402" w:space="0"/>
            <w:col w:w="5272" w:space="0"/>
            <w:col w:w="5130" w:space="0"/>
            <w:col w:w="10402" w:space="0"/>
          </w:cols>
          <w:docGrid w:linePitch="360"/>
        </w:sectPr>
      </w:pPr>
    </w:p>
    <w:p>
      <w:pPr>
        <w:autoSpaceDN w:val="0"/>
        <w:autoSpaceDE w:val="0"/>
        <w:widowControl/>
        <w:spacing w:line="164" w:lineRule="exact" w:before="0" w:after="0"/>
        <w:ind w:left="0" w:right="0" w:firstLine="0"/>
        <w:jc w:val="left"/>
      </w:pPr>
      <w:r>
        <w:rPr>
          <w:w w:val="98.09230657724234"/>
          <w:rFonts w:ascii="AdvTT5235d5a9" w:hAnsi="AdvTT5235d5a9" w:eastAsia="AdvTT5235d5a9"/>
          <w:b w:val="0"/>
          <w:i w:val="0"/>
          <w:color w:val="221F1F"/>
          <w:sz w:val="13"/>
        </w:rPr>
        <w:t>2589-7217/© 2019 The Author. Publishing services by Elsevier B.V. on behalf of KeAi Communications Co. Ltd. This is an open access article under the CC BY-NC-ND license (</w:t>
      </w:r>
      <w:r>
        <w:rPr>
          <w:w w:val="98.09230657724234"/>
          <w:rFonts w:ascii="AdvTT5235d5a9" w:hAnsi="AdvTT5235d5a9" w:eastAsia="AdvTT5235d5a9"/>
          <w:b w:val="0"/>
          <w:i w:val="0"/>
          <w:color w:val="2E3092"/>
          <w:sz w:val="13"/>
        </w:rPr>
        <w:hyperlink r:id="rId15" w:history="1">
          <w:r>
            <w:rPr>
              <w:rStyle w:val="Hyperlink"/>
            </w:rPr>
            <w:t xml:space="preserve">http:// </w:t>
          </w:r>
        </w:hyperlink>
      </w:r>
      <w:r>
        <w:rPr>
          <w:w w:val="98.09230657724234"/>
          <w:rFonts w:ascii="AdvTT5235d5a9" w:hAnsi="AdvTT5235d5a9" w:eastAsia="AdvTT5235d5a9"/>
          <w:b w:val="0"/>
          <w:i w:val="0"/>
          <w:color w:val="2E3092"/>
          <w:sz w:val="13"/>
        </w:rPr>
        <w:hyperlink r:id="rId15" w:history="1">
          <w:r>
            <w:rPr>
              <w:rStyle w:val="Hyperlink"/>
            </w:rPr>
            <w:t>creativecommons.org/licenses/by-nc-nd/4.0/</w:t>
          </w:r>
        </w:hyperlink>
      </w:r>
      <w:r>
        <w:rPr>
          <w:w w:val="98.09230657724234"/>
          <w:rFonts w:ascii="AdvTT5235d5a9" w:hAnsi="AdvTT5235d5a9" w:eastAsia="AdvTT5235d5a9"/>
          <w:b w:val="0"/>
          <w:i w:val="0"/>
          <w:color w:val="221F1F"/>
          <w:sz w:val="13"/>
        </w:rPr>
        <w:t>).</w:t>
      </w:r>
    </w:p>
    <w:p>
      <w:pPr>
        <w:sectPr>
          <w:type w:val="continuous"/>
          <w:pgSz w:w="11906" w:h="15874"/>
          <w:pgMar w:top="366" w:right="654" w:bottom="482" w:left="850" w:header="720" w:footer="720" w:gutter="0"/>
          <w:cols w:space="720" w:num="1" w:equalWidth="0">
            <w:col w:w="10402" w:space="0"/>
            <w:col w:w="5226" w:space="0"/>
            <w:col w:w="5176" w:space="0"/>
            <w:col w:w="10402" w:space="0"/>
            <w:col w:w="5226" w:space="0"/>
            <w:col w:w="5176" w:space="0"/>
            <w:col w:w="10402" w:space="0"/>
            <w:col w:w="5226" w:space="0"/>
            <w:col w:w="5176" w:space="0"/>
            <w:col w:w="10402" w:space="0"/>
            <w:col w:w="5272" w:space="0"/>
            <w:col w:w="5130" w:space="0"/>
            <w:col w:w="10402" w:space="0"/>
            <w:col w:w="5272" w:space="0"/>
            <w:col w:w="5130" w:space="0"/>
            <w:col w:w="1040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156" w:lineRule="exact" w:before="0" w:after="230"/>
        <w:ind w:left="0" w:right="0" w:firstLine="0"/>
        <w:jc w:val="left"/>
      </w:pPr>
      <w:r>
        <w:rPr>
          <w:w w:val="98.09230657724234"/>
          <w:rFonts w:ascii="AdvTT5235d5a9" w:hAnsi="AdvTT5235d5a9" w:eastAsia="AdvTT5235d5a9"/>
          <w:b w:val="0"/>
          <w:i w:val="0"/>
          <w:color w:val="221F1F"/>
          <w:sz w:val="13"/>
        </w:rPr>
        <w:t>A2</w:t>
      </w:r>
    </w:p>
    <w:p>
      <w:pPr>
        <w:sectPr>
          <w:pgSz w:w="11906" w:h="15874"/>
          <w:pgMar w:top="366" w:right="828" w:bottom="1440" w:left="674" w:header="720" w:footer="720" w:gutter="0"/>
          <w:cols w:space="720" w:num="1" w:equalWidth="0">
            <w:col w:w="10403" w:space="0"/>
            <w:col w:w="10402" w:space="0"/>
            <w:col w:w="5226" w:space="0"/>
            <w:col w:w="5176" w:space="0"/>
            <w:col w:w="10402" w:space="0"/>
            <w:col w:w="5226" w:space="0"/>
            <w:col w:w="5176" w:space="0"/>
            <w:col w:w="10402" w:space="0"/>
            <w:col w:w="5226" w:space="0"/>
            <w:col w:w="5176" w:space="0"/>
            <w:col w:w="10402" w:space="0"/>
            <w:col w:w="5272" w:space="0"/>
            <w:col w:w="5130" w:space="0"/>
            <w:col w:w="10402" w:space="0"/>
            <w:col w:w="5272" w:space="0"/>
            <w:col w:w="5130" w:space="0"/>
            <w:col w:w="10402" w:space="0"/>
          </w:cols>
          <w:docGrid w:linePitch="360"/>
        </w:sectPr>
      </w:pPr>
    </w:p>
    <w:p>
      <w:pPr>
        <w:autoSpaceDN w:val="0"/>
        <w:autoSpaceDE w:val="0"/>
        <w:widowControl/>
        <w:spacing w:line="204" w:lineRule="exact" w:before="0" w:after="0"/>
        <w:ind w:left="480" w:right="170" w:firstLine="0"/>
        <w:jc w:val="both"/>
      </w:pPr>
      <w:r>
        <w:rPr>
          <w:rFonts w:ascii="AdvTT5235d5a9" w:hAnsi="AdvTT5235d5a9" w:eastAsia="AdvTT5235d5a9"/>
          <w:b w:val="0"/>
          <w:i w:val="0"/>
          <w:color w:val="221F1F"/>
          <w:sz w:val="16"/>
        </w:rPr>
        <w:t>between phenotypes and genes and the environment. It in-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cludes high-throughput data acquisition, data management,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data interpretation, modeling, integration and applications.</w:t>
      </w:r>
    </w:p>
    <w:p>
      <w:pPr>
        <w:autoSpaceDN w:val="0"/>
        <w:autoSpaceDE w:val="0"/>
        <w:widowControl/>
        <w:spacing w:line="210" w:lineRule="exact" w:before="0" w:after="0"/>
        <w:ind w:left="480" w:right="170" w:hanging="412"/>
        <w:jc w:val="both"/>
      </w:pPr>
      <w:r>
        <w:rPr>
          <w:rFonts w:ascii="AdvTT5235d5a9" w:hAnsi="AdvTT5235d5a9" w:eastAsia="AdvTT5235d5a9"/>
          <w:b w:val="0"/>
          <w:i w:val="0"/>
          <w:color w:val="221F1F"/>
          <w:sz w:val="16"/>
        </w:rPr>
        <w:t>(16)</w:t>
      </w:r>
      <w:r>
        <w:rPr>
          <w:rFonts w:ascii="AdvTT28000ce1.B" w:hAnsi="AdvTT28000ce1.B" w:eastAsia="AdvTT28000ce1.B"/>
          <w:b w:val="0"/>
          <w:i w:val="0"/>
          <w:color w:val="221F1F"/>
          <w:sz w:val="16"/>
        </w:rPr>
        <w:t xml:space="preserve"> Remote sensing in agriculture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 is very important for resource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feature space analysis, providing positioning qualitative and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quantitative data. It is currently used in estimating the yield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of crops, crop growth monitoring, land survey, agricultural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ecological environment monitoring and natural disasters and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pest monitoring.</w:t>
      </w:r>
    </w:p>
    <w:p>
      <w:pPr>
        <w:autoSpaceDN w:val="0"/>
        <w:autoSpaceDE w:val="0"/>
        <w:widowControl/>
        <w:spacing w:line="210" w:lineRule="exact" w:before="0" w:after="0"/>
        <w:ind w:left="488" w:right="170" w:hanging="420"/>
        <w:jc w:val="both"/>
      </w:pPr>
      <w:r>
        <w:rPr>
          <w:rFonts w:ascii="AdvTT5235d5a9" w:hAnsi="AdvTT5235d5a9" w:eastAsia="AdvTT5235d5a9"/>
          <w:b w:val="0"/>
          <w:i w:val="0"/>
          <w:color w:val="221F1F"/>
          <w:sz w:val="16"/>
        </w:rPr>
        <w:t>(17)</w:t>
      </w:r>
      <w:r>
        <w:rPr>
          <w:rFonts w:ascii="AdvTT28000ce1.B" w:hAnsi="AdvTT28000ce1.B" w:eastAsia="AdvTT28000ce1.B"/>
          <w:b w:val="0"/>
          <w:i w:val="0"/>
          <w:color w:val="221F1F"/>
          <w:sz w:val="16"/>
        </w:rPr>
        <w:t xml:space="preserve"> AI technology in aquaculture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 optimizes commercial aqua-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culture facilities ef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fi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ciency by reducing labor and utility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costs. Anticipated bene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fi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ts for aquaculture process control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and arti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fi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cial intelligence systems are increased process ef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fi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-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ciency, reduced energy and water losses, reduced labor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costs, reduced stress and disease, improved accounting and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improved understanding of the process.</w:t>
      </w:r>
    </w:p>
    <w:p>
      <w:pPr>
        <w:autoSpaceDN w:val="0"/>
        <w:autoSpaceDE w:val="0"/>
        <w:widowControl/>
        <w:spacing w:line="208" w:lineRule="exact" w:before="0" w:after="0"/>
        <w:ind w:left="480" w:right="170" w:hanging="412"/>
        <w:jc w:val="both"/>
      </w:pPr>
      <w:r>
        <w:rPr>
          <w:rFonts w:ascii="AdvTT5235d5a9" w:hAnsi="AdvTT5235d5a9" w:eastAsia="AdvTT5235d5a9"/>
          <w:b w:val="0"/>
          <w:i w:val="0"/>
          <w:color w:val="221F1F"/>
          <w:sz w:val="16"/>
        </w:rPr>
        <w:t>(18)</w:t>
      </w:r>
      <w:r>
        <w:rPr>
          <w:rFonts w:ascii="AdvTT28000ce1.B" w:hAnsi="AdvTT28000ce1.B" w:eastAsia="AdvTT28000ce1.B"/>
          <w:b w:val="0"/>
          <w:i w:val="0"/>
          <w:color w:val="221F1F"/>
          <w:sz w:val="16"/>
        </w:rPr>
        <w:t xml:space="preserve"> AI in food engineering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 gives a sense of the many possible ap-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plications in the food industry, from sorting products and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packages to food safety compliance and from improved clean-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liness to product development and marketing.</w:t>
      </w:r>
    </w:p>
    <w:p>
      <w:pPr>
        <w:autoSpaceDN w:val="0"/>
        <w:autoSpaceDE w:val="0"/>
        <w:widowControl/>
        <w:spacing w:line="208" w:lineRule="exact" w:before="2" w:after="0"/>
        <w:ind w:left="490" w:right="144" w:hanging="422"/>
        <w:jc w:val="left"/>
      </w:pPr>
      <w:r>
        <w:rPr>
          <w:rFonts w:ascii="AdvTT5235d5a9" w:hAnsi="AdvTT5235d5a9" w:eastAsia="AdvTT5235d5a9"/>
          <w:b w:val="0"/>
          <w:i w:val="0"/>
          <w:color w:val="221F1F"/>
          <w:sz w:val="16"/>
        </w:rPr>
        <w:t>(19)</w:t>
      </w:r>
      <w:r>
        <w:rPr>
          <w:rFonts w:ascii="AdvTT28000ce1.B" w:hAnsi="AdvTT28000ce1.B" w:eastAsia="AdvTT28000ce1.B"/>
          <w:b w:val="0"/>
          <w:i w:val="0"/>
          <w:color w:val="221F1F"/>
          <w:sz w:val="16"/>
        </w:rPr>
        <w:t xml:space="preserve"> Big Data and Cloud Computing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 is a new computing model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based on distributed computing and service computing.</w:t>
      </w:r>
    </w:p>
    <w:p>
      <w:pPr>
        <w:autoSpaceDN w:val="0"/>
        <w:autoSpaceDE w:val="0"/>
        <w:widowControl/>
        <w:spacing w:line="208" w:lineRule="exact" w:before="2" w:after="0"/>
        <w:ind w:left="490" w:right="168" w:firstLine="0"/>
        <w:jc w:val="both"/>
      </w:pPr>
      <w:r>
        <w:rPr>
          <w:rFonts w:ascii="AdvTT5235d5a9" w:hAnsi="AdvTT5235d5a9" w:eastAsia="AdvTT5235d5a9"/>
          <w:b w:val="0"/>
          <w:i w:val="0"/>
          <w:color w:val="221F1F"/>
          <w:sz w:val="16"/>
        </w:rPr>
        <w:t>Transferring modern agriculture to cloud computing plat-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forms will greatly improve the storage and processing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modes of agricultural data.</w:t>
      </w:r>
    </w:p>
    <w:p>
      <w:pPr>
        <w:autoSpaceDN w:val="0"/>
        <w:autoSpaceDE w:val="0"/>
        <w:widowControl/>
        <w:spacing w:line="210" w:lineRule="exact" w:before="0" w:after="0"/>
        <w:ind w:left="484" w:right="170" w:hanging="416"/>
        <w:jc w:val="both"/>
      </w:pPr>
      <w:r>
        <w:rPr>
          <w:rFonts w:ascii="AdvTT5235d5a9" w:hAnsi="AdvTT5235d5a9" w:eastAsia="AdvTT5235d5a9"/>
          <w:b w:val="0"/>
          <w:i w:val="0"/>
          <w:color w:val="221F1F"/>
          <w:sz w:val="16"/>
        </w:rPr>
        <w:t>(20)</w:t>
      </w:r>
      <w:r>
        <w:rPr>
          <w:rFonts w:ascii="AdvTT28000ce1.B" w:hAnsi="AdvTT28000ce1.B" w:eastAsia="AdvTT28000ce1.B"/>
          <w:b w:val="0"/>
          <w:i w:val="0"/>
          <w:color w:val="221F1F"/>
          <w:sz w:val="16"/>
        </w:rPr>
        <w:t xml:space="preserve"> Automatic navigation and self-driving technology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 in agri-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culture are the automated future of - for example - China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’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s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mammoth agricultural sector. Automatic navigation is a part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of the automobile control used to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 fi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nd direction in an automo-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bile. It typically uses a satellite navigation device to get its po-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sition data which is then correlated to a position on a road. In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China, autonomous vehicles are also trialed in rice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 fi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elds.</w:t>
      </w:r>
    </w:p>
    <w:p>
      <w:pPr>
        <w:autoSpaceDN w:val="0"/>
        <w:autoSpaceDE w:val="0"/>
        <w:widowControl/>
        <w:spacing w:line="206" w:lineRule="exact" w:before="0" w:after="0"/>
        <w:ind w:left="492" w:right="144" w:hanging="424"/>
        <w:jc w:val="left"/>
      </w:pPr>
      <w:r>
        <w:rPr>
          <w:rFonts w:ascii="AdvTT5235d5a9" w:hAnsi="AdvTT5235d5a9" w:eastAsia="AdvTT5235d5a9"/>
          <w:b w:val="0"/>
          <w:i w:val="0"/>
          <w:color w:val="221F1F"/>
          <w:sz w:val="16"/>
        </w:rPr>
        <w:t>(21)</w:t>
      </w:r>
      <w:r>
        <w:rPr>
          <w:rFonts w:ascii="AdvTT28000ce1.B" w:hAnsi="AdvTT28000ce1.B" w:eastAsia="AdvTT28000ce1.B"/>
          <w:b w:val="0"/>
          <w:i w:val="0"/>
          <w:color w:val="221F1F"/>
          <w:sz w:val="16"/>
        </w:rPr>
        <w:t xml:space="preserve"> Precision agricultural aviation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 is a farming management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concept based on observing, measuring and responding to</w:t>
      </w:r>
    </w:p>
    <w:p>
      <w:pPr>
        <w:sectPr>
          <w:type w:val="continuous"/>
          <w:pgSz w:w="11906" w:h="15874"/>
          <w:pgMar w:top="366" w:right="828" w:bottom="1440" w:left="674" w:header="720" w:footer="720" w:gutter="0"/>
          <w:cols w:space="720" w:num="2" w:equalWidth="0">
            <w:col w:w="5192" w:space="0"/>
            <w:col w:w="5211" w:space="0"/>
            <w:col w:w="10403" w:space="0"/>
            <w:col w:w="10402" w:space="0"/>
            <w:col w:w="5226" w:space="0"/>
            <w:col w:w="5176" w:space="0"/>
            <w:col w:w="10402" w:space="0"/>
            <w:col w:w="5226" w:space="0"/>
            <w:col w:w="5176" w:space="0"/>
            <w:col w:w="10402" w:space="0"/>
            <w:col w:w="5226" w:space="0"/>
            <w:col w:w="5176" w:space="0"/>
            <w:col w:w="10402" w:space="0"/>
            <w:col w:w="5272" w:space="0"/>
            <w:col w:w="5130" w:space="0"/>
            <w:col w:w="10402" w:space="0"/>
            <w:col w:w="5272" w:space="0"/>
            <w:col w:w="5130" w:space="0"/>
            <w:col w:w="10402" w:space="0"/>
          </w:cols>
          <w:docGrid w:linePitch="360"/>
        </w:sectPr>
      </w:pPr>
    </w:p>
    <w:p>
      <w:pPr>
        <w:autoSpaceDN w:val="0"/>
        <w:autoSpaceDE w:val="0"/>
        <w:widowControl/>
        <w:spacing w:line="206" w:lineRule="exact" w:before="0" w:after="0"/>
        <w:ind w:left="660" w:right="22" w:firstLine="0"/>
        <w:jc w:val="both"/>
      </w:pPr>
      <w:r>
        <w:rPr>
          <w:rFonts w:ascii="AdvTT5235d5a9" w:hAnsi="AdvTT5235d5a9" w:eastAsia="AdvTT5235d5a9"/>
          <w:b w:val="0"/>
          <w:i w:val="0"/>
          <w:color w:val="221F1F"/>
          <w:sz w:val="16"/>
        </w:rPr>
        <w:t>inter and intra-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fi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eld variability in crops. Growers demand air-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craft that have comparable precision application capabilities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to that as a ground rig. Applications must be made with ex-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actly the right amount of material in the right location and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have all the data logging capabilities to feed into a grower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’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s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crop management system.</w:t>
      </w:r>
    </w:p>
    <w:p>
      <w:pPr>
        <w:autoSpaceDN w:val="0"/>
        <w:autoSpaceDE w:val="0"/>
        <w:widowControl/>
        <w:spacing w:line="208" w:lineRule="exact" w:before="456" w:after="0"/>
        <w:ind w:left="168" w:right="20" w:firstLine="240"/>
        <w:jc w:val="both"/>
      </w:pPr>
      <w:r>
        <w:rPr>
          <w:rFonts w:ascii="AdvTT5235d5a9" w:hAnsi="AdvTT5235d5a9" w:eastAsia="AdvTT5235d5a9"/>
          <w:b w:val="0"/>
          <w:i w:val="0"/>
          <w:color w:val="221F1F"/>
          <w:sz w:val="16"/>
        </w:rPr>
        <w:t>Arti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fi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cial Intelligence in Agriculture is a trans-disciplinary domain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encompassing computer science, machine learning, information sci-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ence, crops breeding, biology, genetics, statistics, physics, chemical,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and other related disciplines. The journal aims to bring together experts,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industrialists and students to share ideas, problems, and suggestions re-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lated to AI and its applications with its convergence strategies, and to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disseminate innovative research. The journal welcomes original re-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search articles, review articles, perspective papers and short communi-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cations from a wide variety of perspectives concerning the theory and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practical application of AI methods.</w:t>
      </w:r>
    </w:p>
    <w:p>
      <w:pPr>
        <w:autoSpaceDN w:val="0"/>
        <w:autoSpaceDE w:val="0"/>
        <w:widowControl/>
        <w:spacing w:line="210" w:lineRule="exact" w:before="6" w:after="0"/>
        <w:ind w:left="168" w:right="20" w:firstLine="240"/>
        <w:jc w:val="both"/>
      </w:pPr>
      <w:r>
        <w:rPr>
          <w:rFonts w:ascii="AdvTT5235d5a9" w:hAnsi="AdvTT5235d5a9" w:eastAsia="AdvTT5235d5a9"/>
          <w:b w:val="0"/>
          <w:i w:val="0"/>
          <w:color w:val="221F1F"/>
          <w:sz w:val="16"/>
        </w:rPr>
        <w:t>A dedicated, diverse and highly quali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fi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ed Editorial Board and the en-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thusiastic publishing team at KeAi will devote themselves to the ambi-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tions of the journal. We will work closely together to make AIIA the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journal of choice for the relevant communities. We believe that in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close collaboration with these communities of researchers, scientists,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engineers and practitioners AIIA has the potential to rapidly grow into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an internationally impactful journal which provides multiple values to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the bene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fi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t of the research communities and society at large.</w:t>
      </w:r>
    </w:p>
    <w:p>
      <w:pPr>
        <w:autoSpaceDN w:val="0"/>
        <w:autoSpaceDE w:val="0"/>
        <w:widowControl/>
        <w:spacing w:line="208" w:lineRule="exact" w:before="0" w:after="0"/>
        <w:ind w:left="168" w:right="22" w:firstLine="240"/>
        <w:jc w:val="both"/>
      </w:pP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Finally, all the members of the complete AIIA team cordially thank all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the authors for their continuous contributions and cooperation to the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prospective growth and success of the journal.</w:t>
      </w:r>
    </w:p>
    <w:p>
      <w:pPr>
        <w:autoSpaceDN w:val="0"/>
        <w:autoSpaceDE w:val="0"/>
        <w:widowControl/>
        <w:spacing w:line="208" w:lineRule="exact" w:before="0" w:after="0"/>
        <w:ind w:left="288" w:right="3600" w:firstLine="0"/>
        <w:jc w:val="center"/>
      </w:pP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Chunjiang Zhao </w:t>
      </w:r>
      <w:r>
        <w:br/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Editor-in-Chief</w:t>
      </w:r>
    </w:p>
    <w:sectPr w:rsidR="00FC693F" w:rsidRPr="0006063C" w:rsidSect="00034616">
      <w:type w:val="nextColumn"/>
      <w:pgSz w:w="11906" w:h="15874"/>
      <w:pgMar w:top="366" w:right="828" w:bottom="1440" w:left="674" w:header="720" w:footer="720" w:gutter="0"/>
      <w:cols w:space="720" w:num="2" w:equalWidth="0">
        <w:col w:w="5192" w:space="0"/>
        <w:col w:w="5211" w:space="0"/>
        <w:col w:w="10403" w:space="0"/>
        <w:col w:w="10402" w:space="0"/>
        <w:col w:w="5226" w:space="0"/>
        <w:col w:w="5176" w:space="0"/>
        <w:col w:w="10402" w:space="0"/>
        <w:col w:w="5226" w:space="0"/>
        <w:col w:w="5176" w:space="0"/>
        <w:col w:w="10402" w:space="0"/>
        <w:col w:w="5226" w:space="0"/>
        <w:col w:w="5176" w:space="0"/>
        <w:col w:w="10402" w:space="0"/>
        <w:col w:w="5272" w:space="0"/>
        <w:col w:w="5130" w:space="0"/>
        <w:col w:w="10402" w:space="0"/>
        <w:col w:w="5272" w:space="0"/>
        <w:col w:w="5130" w:space="0"/>
        <w:col w:w="10402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doi.org/10.1016/j.aiia.2019.05.003" TargetMode="External"/><Relationship Id="rId10" Type="http://schemas.openxmlformats.org/officeDocument/2006/relationships/image" Target="media/image1.png"/><Relationship Id="rId11" Type="http://schemas.openxmlformats.org/officeDocument/2006/relationships/hyperlink" Target="http://www.sciencedirect.com/science/journal/" TargetMode="External"/><Relationship Id="rId12" Type="http://schemas.openxmlformats.org/officeDocument/2006/relationships/hyperlink" Target="http://www.keaipublishing.com/en/journals/artificial-intelligence-in-agriculture/" TargetMode="External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hyperlink" Target="http://creativecommons.org/licenses/by-nc-nd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