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42"/>
        <w:gridCol w:w="3242"/>
        <w:gridCol w:w="3242"/>
      </w:tblGrid>
      <w:tr>
        <w:trPr>
          <w:trHeight w:hRule="exact" w:val="26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5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42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42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553 – 558 </w:t>
            </w:r>
          </w:p>
        </w:tc>
        <w:tc>
          <w:tcPr>
            <w:tcW w:type="dxa" w:w="32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128" w:after="0"/>
        <w:ind w:left="15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2012 AASRI Conference on Modeling, Identification and Control </w:t>
      </w:r>
    </w:p>
    <w:p>
      <w:pPr>
        <w:autoSpaceDN w:val="0"/>
        <w:autoSpaceDE w:val="0"/>
        <w:widowControl/>
        <w:spacing w:line="245" w:lineRule="auto" w:before="260" w:after="0"/>
        <w:ind w:left="288" w:right="57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Long-distance Electrochemical Interactions and Anomalous Ion </w:t>
      </w: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Exchange Phenomenon </w:t>
      </w:r>
    </w:p>
    <w:p>
      <w:pPr>
        <w:autoSpaceDN w:val="0"/>
        <w:autoSpaceDE w:val="0"/>
        <w:widowControl/>
        <w:spacing w:line="264" w:lineRule="auto" w:before="214" w:after="0"/>
        <w:ind w:left="10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T.Jumadilov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, B.Yermukhambetova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b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*, S.Panchenko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b,c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, I.Suleimenov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c</w:t>
      </w:r>
    </w:p>
    <w:p>
      <w:pPr>
        <w:autoSpaceDN w:val="0"/>
        <w:autoSpaceDE w:val="0"/>
        <w:widowControl/>
        <w:spacing w:line="259" w:lineRule="auto" w:before="164" w:after="0"/>
        <w:ind w:left="864" w:right="1296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10"/>
        </w:rPr>
        <w:t>a</w:t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 xml:space="preserve">Institute of Chemical Sciences, 106 Valikhanova, Almaty 050100, Kazakhstan </w:t>
      </w:r>
      <w:r>
        <w:br/>
      </w:r>
      <w:r>
        <w:rPr>
          <w:rFonts w:ascii="TimesNewRomanPS" w:hAnsi="TimesNewRomanPS" w:eastAsia="TimesNewRomanPS"/>
          <w:b w:val="0"/>
          <w:i/>
          <w:color w:val="221F1F"/>
          <w:sz w:val="10"/>
        </w:rPr>
        <w:t>b</w:t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 xml:space="preserve">Kazakh National University, 71 Al-Farabi, Almaty 050038, Kazakhstan </w:t>
      </w:r>
      <w:r>
        <w:br/>
      </w:r>
      <w:r>
        <w:rPr>
          <w:rFonts w:ascii="TimesNewRomanPS" w:hAnsi="TimesNewRomanPS" w:eastAsia="TimesNewRomanPS"/>
          <w:b w:val="0"/>
          <w:i/>
          <w:color w:val="221F1F"/>
          <w:sz w:val="10"/>
        </w:rPr>
        <w:t>c</w:t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 xml:space="preserve">Almaty University of Power Engineering and Telecommunications, 126 Baitursynova, Almaty 050013, Kazakhstan </w:t>
      </w:r>
    </w:p>
    <w:p>
      <w:pPr>
        <w:autoSpaceDN w:val="0"/>
        <w:autoSpaceDE w:val="0"/>
        <w:widowControl/>
        <w:spacing w:line="230" w:lineRule="auto" w:before="462" w:after="0"/>
        <w:ind w:left="25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33" w:lineRule="auto" w:before="240" w:after="0"/>
        <w:ind w:left="2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Click here and insert your abstract text. </w:t>
      </w:r>
    </w:p>
    <w:p>
      <w:pPr>
        <w:autoSpaceDN w:val="0"/>
        <w:autoSpaceDE w:val="0"/>
        <w:widowControl/>
        <w:spacing w:line="222" w:lineRule="exact" w:before="240" w:after="0"/>
        <w:ind w:left="25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© 2012 Published by Elsevier B.V. Selection and/or peer rev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hyperlink r:id="rId12" w:history="1">
          <w:r>
            <w:rPr>
              <w:rStyle w:val="Hyperlink"/>
            </w:rPr>
            <w:t>iew under responsi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bility of American Applied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br/>
      </w:r>
      <w:r>
        <w:rPr>
          <w:rFonts w:ascii="Times" w:hAnsi="Times" w:eastAsia="Times"/>
          <w:b w:val="0"/>
          <w:i w:val="0"/>
          <w:color w:val="221F1F"/>
          <w:sz w:val="18"/>
        </w:rPr>
        <w:t>Selection and/or peer review under responsibility of American Applied Science Research Institute</w:t>
      </w:r>
    </w:p>
    <w:p>
      <w:pPr>
        <w:autoSpaceDN w:val="0"/>
        <w:autoSpaceDE w:val="0"/>
        <w:widowControl/>
        <w:spacing w:line="233" w:lineRule="auto" w:before="258" w:after="0"/>
        <w:ind w:left="250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6"/>
        </w:rPr>
        <w:t>Keywords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: proton donor, proton acceptor, distance interaction </w:t>
      </w:r>
    </w:p>
    <w:p>
      <w:pPr>
        <w:autoSpaceDN w:val="0"/>
        <w:autoSpaceDE w:val="0"/>
        <w:widowControl/>
        <w:spacing w:line="230" w:lineRule="auto" w:before="468" w:after="0"/>
        <w:ind w:left="25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1.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Introduction </w:t>
      </w:r>
    </w:p>
    <w:p>
      <w:pPr>
        <w:autoSpaceDN w:val="0"/>
        <w:autoSpaceDE w:val="0"/>
        <w:widowControl/>
        <w:spacing w:line="245" w:lineRule="auto" w:before="258" w:after="0"/>
        <w:ind w:left="250" w:right="552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Electrochemical processes usually occur under condition of electric neutrality of a system as whole and its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macroscopic parts separately. A set of electrochemical reactions may be quite complicated, but the deviations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from neutrality usually have scale determined by Debye length only, i.e. known types of chemical processes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cannot result in appearance of macroscopic electric charge and electric currents. </w:t>
      </w:r>
    </w:p>
    <w:p>
      <w:pPr>
        <w:autoSpaceDN w:val="0"/>
        <w:autoSpaceDE w:val="0"/>
        <w:widowControl/>
        <w:spacing w:line="245" w:lineRule="auto" w:before="18" w:after="0"/>
        <w:ind w:left="250" w:right="55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At the same time, appearance of macroscopic electric charge (as well as electric current of pronounceable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magnitude) in biological systems is a result of chemical reactions. The most important example is electric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activity of biological neuron networks. </w:t>
      </w:r>
    </w:p>
    <w:p>
      <w:pPr>
        <w:autoSpaceDN w:val="0"/>
        <w:autoSpaceDE w:val="0"/>
        <w:widowControl/>
        <w:spacing w:line="245" w:lineRule="auto" w:before="18" w:after="0"/>
        <w:ind w:left="250" w:right="432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Now we report that organic chemical reaction directly resulting in charging of a macroscopic specimen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observed. Non-zero macroscopic charge appears during long-distance interactions between two polymer </w:t>
      </w:r>
    </w:p>
    <w:p>
      <w:pPr>
        <w:autoSpaceDN w:val="0"/>
        <w:autoSpaceDE w:val="0"/>
        <w:widowControl/>
        <w:spacing w:line="245" w:lineRule="auto" w:before="840" w:after="0"/>
        <w:ind w:left="490" w:right="59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* Corresponding author. Tel.: +7-701-720-97-67; </w:t>
      </w:r>
      <w:r>
        <w:br/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 Baya_Yerm@mail.ru. </w:t>
      </w:r>
    </w:p>
    <w:p>
      <w:pPr>
        <w:autoSpaceDN w:val="0"/>
        <w:autoSpaceDE w:val="0"/>
        <w:widowControl/>
        <w:spacing w:line="200" w:lineRule="exact" w:before="1268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10.1016/j.aasri.2012.11.087 </w:t>
      </w:r>
    </w:p>
    <w:p>
      <w:pPr>
        <w:sectPr>
          <w:pgSz w:w="10885" w:h="14854"/>
          <w:pgMar w:top="438" w:right="534" w:bottom="218" w:left="624" w:header="720" w:footer="720" w:gutter="0"/>
          <w:cols w:space="720" w:num="1" w:equalWidth="0"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64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554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T.Jumadilov et al. /  AASRI Procedia  3 ( 2012 )  553 – 558 </w:t>
      </w:r>
    </w:p>
    <w:p>
      <w:pPr>
        <w:autoSpaceDN w:val="0"/>
        <w:autoSpaceDE w:val="0"/>
        <w:widowControl/>
        <w:spacing w:line="245" w:lineRule="auto" w:before="396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hydrogels, when one network is a cross-linked polyacid, which generates moveable hydrogen ions,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another cationic hydrogel can take part in a chemical reaction of bonding of mentioned ions. </w:t>
      </w:r>
    </w:p>
    <w:p>
      <w:pPr>
        <w:autoSpaceDN w:val="0"/>
        <w:autoSpaceDE w:val="0"/>
        <w:widowControl/>
        <w:spacing w:line="247" w:lineRule="auto" w:before="18" w:after="0"/>
        <w:ind w:left="190" w:right="44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One should underline that hydrogels (polymer networks) were investigated intensively during last few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decades [1-3]. This polymer material is of great interest mainly due to its pronounceable reaction on slight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variation of external conditions. Hydrogels initially swelled in water up to very high degrees (1000 g/g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more) may change their volume sharply due to variation of temperature, ionic strengths of surrounding media,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influence of electric current, etc. </w:t>
      </w:r>
    </w:p>
    <w:p>
      <w:pPr>
        <w:autoSpaceDN w:val="0"/>
        <w:autoSpaceDE w:val="0"/>
        <w:widowControl/>
        <w:spacing w:line="245" w:lineRule="auto" w:before="20" w:after="0"/>
        <w:ind w:left="190" w:right="44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Nowadays polymer hydrogels usually are considered as intelligent materials, and their advanced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applications are developing in this way. In particular, different biomimetics and biomodeling applications are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discussing widely in current literature [1-3]. </w:t>
      </w:r>
    </w:p>
    <w:p>
      <w:pPr>
        <w:autoSpaceDN w:val="0"/>
        <w:autoSpaceDE w:val="0"/>
        <w:widowControl/>
        <w:spacing w:line="247" w:lineRule="auto" w:before="18" w:after="0"/>
        <w:ind w:left="190" w:right="44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Interactions between different types of hydrogels are much less investigated that hydrogels themselves; one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can found only separate reports on this subject in current literature [4,5]. Besides, cited articles [4,5] are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devoted to contact interactions of hydrogels. Now we report about sufficiently new phenomena, which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demonstrate possibility of electrochemical interactions between specimens placed at quite long distance from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each other. </w:t>
      </w:r>
    </w:p>
    <w:p>
      <w:pPr>
        <w:autoSpaceDN w:val="0"/>
        <w:autoSpaceDE w:val="0"/>
        <w:widowControl/>
        <w:spacing w:line="230" w:lineRule="auto" w:before="258" w:after="0"/>
        <w:ind w:left="19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2.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Experimental </w:t>
      </w:r>
    </w:p>
    <w:p>
      <w:pPr>
        <w:autoSpaceDN w:val="0"/>
        <w:autoSpaceDE w:val="0"/>
        <w:widowControl/>
        <w:spacing w:line="245" w:lineRule="auto" w:before="258" w:after="0"/>
        <w:ind w:left="192" w:right="448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polyethyleneymine (PEI) gel having =NH groups (gel-1) was placed at the bottom of cylindrical tube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filled by distillated water (Fig.1) and cross-linked polyacrylic acid (PAA) was placed on the glass filter just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above the first specimen under the upper level of water (gel-2). Gels were synthesized in the same manner 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described in ref. [6]. </w:t>
      </w:r>
    </w:p>
    <w:p>
      <w:pPr>
        <w:autoSpaceDN w:val="0"/>
        <w:autoSpaceDE w:val="0"/>
        <w:widowControl/>
        <w:spacing w:line="240" w:lineRule="auto" w:before="4" w:after="0"/>
        <w:ind w:left="0" w:right="28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4300" cy="15455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545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18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1 experimental scheme </w:t>
      </w:r>
    </w:p>
    <w:p>
      <w:pPr>
        <w:autoSpaceDN w:val="0"/>
        <w:autoSpaceDE w:val="0"/>
        <w:widowControl/>
        <w:spacing w:line="247" w:lineRule="auto" w:before="260" w:after="0"/>
        <w:ind w:left="190" w:right="432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Initially both gels were swollen in distillated water up to equilibrium state. (Equilibrium swelling ratio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distilled water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K</w:t>
      </w:r>
      <w:r>
        <w:rPr>
          <w:rFonts w:ascii="TimesNewRomanPS" w:hAnsi="TimesNewRomanPS" w:eastAsia="TimesNewRomanPS"/>
          <w:b w:val="0"/>
          <w:i/>
          <w:color w:val="221F1F"/>
          <w:sz w:val="13"/>
        </w:rPr>
        <w:t>0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without interaction directly depends on the density of cross-linking; this parameter we will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use to characterize different samples of polymer networks having the same chemical composition.)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Swelling ratio K was calculated as ratio of volume of swelled specimen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its volume in dry state. Volume was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measured with the help of cathetometer (B-630, Russia, accuracy ±0.01 mm). </w:t>
      </w:r>
    </w:p>
    <w:p>
      <w:pPr>
        <w:autoSpaceDN w:val="0"/>
        <w:autoSpaceDE w:val="0"/>
        <w:widowControl/>
        <w:spacing w:line="230" w:lineRule="auto" w:before="258" w:after="0"/>
        <w:ind w:left="19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3.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Results </w:t>
      </w:r>
    </w:p>
    <w:p>
      <w:pPr>
        <w:autoSpaceDN w:val="0"/>
        <w:autoSpaceDE w:val="0"/>
        <w:widowControl/>
        <w:spacing w:line="250" w:lineRule="auto" w:before="258" w:after="0"/>
        <w:ind w:left="192" w:right="448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main visible result of long-distance interactions between gel-1 and gel-2 is an additional swelling, i.e.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resulting swelling ratio of PAA gel is about 1.2-1.5 times higher than in pure water. The dependence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swelling ratio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of PAA gel on distance between specimens (from 1.0 up to 20.0 cm) is shown at Fig.2.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Different curves correspond to different values of initial swelling ratio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K</w:t>
      </w:r>
      <w:r>
        <w:rPr>
          <w:rFonts w:ascii="TimesNewRomanPS" w:hAnsi="TimesNewRomanPS" w:eastAsia="TimesNewRomanPS"/>
          <w:b w:val="0"/>
          <w:i/>
          <w:color w:val="221F1F"/>
          <w:sz w:val="13"/>
        </w:rPr>
        <w:t>0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</w:t>
      </w:r>
    </w:p>
    <w:p>
      <w:pPr>
        <w:sectPr>
          <w:pgSz w:w="10885" w:h="14854"/>
          <w:pgMar w:top="368" w:right="698" w:bottom="1134" w:left="624" w:header="720" w:footer="720" w:gutter="0"/>
          <w:cols w:space="720" w:num="1" w:equalWidth="0">
            <w:col w:w="9564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2679700</wp:posOffset>
            </wp:positionH>
            <wp:positionV relativeFrom="page">
              <wp:posOffset>1968500</wp:posOffset>
            </wp:positionV>
            <wp:extent cx="38100" cy="508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1917700</wp:posOffset>
            </wp:positionV>
            <wp:extent cx="38100" cy="635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2705100</wp:posOffset>
            </wp:positionH>
            <wp:positionV relativeFrom="page">
              <wp:posOffset>1866900</wp:posOffset>
            </wp:positionV>
            <wp:extent cx="38100" cy="381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2705100</wp:posOffset>
            </wp:positionH>
            <wp:positionV relativeFrom="page">
              <wp:posOffset>1803400</wp:posOffset>
            </wp:positionV>
            <wp:extent cx="38100" cy="381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1397000</wp:posOffset>
            </wp:positionV>
            <wp:extent cx="50800" cy="1143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2146300</wp:posOffset>
            </wp:positionH>
            <wp:positionV relativeFrom="page">
              <wp:posOffset>787400</wp:posOffset>
            </wp:positionV>
            <wp:extent cx="2430779" cy="2508522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0779" cy="25085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2616200</wp:posOffset>
            </wp:positionH>
            <wp:positionV relativeFrom="page">
              <wp:posOffset>2171700</wp:posOffset>
            </wp:positionV>
            <wp:extent cx="38100" cy="381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836"/>
        <w:gridCol w:w="4836"/>
      </w:tblGrid>
      <w:tr>
        <w:trPr>
          <w:trHeight w:hRule="exact" w:val="4866"/>
        </w:trPr>
        <w:tc>
          <w:tcPr>
            <w:tcW w:type="dxa" w:w="9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T.Jumadilov et al. /  AASRI Procedia  3 ( 2012 )  553 – 558 </w:t>
            </w:r>
          </w:p>
          <w:p>
            <w:pPr>
              <w:autoSpaceDN w:val="0"/>
              <w:autoSpaceDE w:val="0"/>
              <w:widowControl/>
              <w:spacing w:line="240" w:lineRule="auto" w:before="4496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Fig. 2. Dependencies of swelling ratio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of PAA gel on distance between PEI (gel 1) and PAA (gel 2) specimens; </w:t>
            </w: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 xml:space="preserve">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(PAA) = 68,2 (1); </w:t>
            </w:r>
          </w:p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555</w:t>
            </w:r>
          </w:p>
        </w:tc>
      </w:tr>
    </w:tbl>
    <w:p>
      <w:pPr>
        <w:autoSpaceDN w:val="0"/>
        <w:autoSpaceDE w:val="0"/>
        <w:widowControl/>
        <w:spacing w:line="240" w:lineRule="auto" w:before="8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45,5 (2); 32,4 (3); </w:t>
      </w:r>
      <w:r>
        <w:drawing>
          <wp:inline xmlns:a="http://schemas.openxmlformats.org/drawingml/2006/main" xmlns:pic="http://schemas.openxmlformats.org/drawingml/2006/picture">
            <wp:extent cx="76200" cy="76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 xml:space="preserve">0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(PEI) = 3,1 </w:t>
      </w:r>
    </w:p>
    <w:p>
      <w:pPr>
        <w:autoSpaceDN w:val="0"/>
        <w:autoSpaceDE w:val="0"/>
        <w:widowControl/>
        <w:spacing w:line="247" w:lineRule="auto" w:before="252" w:after="0"/>
        <w:ind w:left="192" w:right="55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It is easy to see that obtained curve is non-monotonic one: additional swelling of PAA gel sufficiently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depends on the distance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Here we should underline that typically swelling ratio has maximum just in pure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water (in comparison with other solvents). In particular, adding of salt or organic compounds leads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contraction of the specimen with releasing of water in surrounding solution. In other words, obtaining much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higher swelling ratio is surprising fact as it is. </w:t>
      </w:r>
    </w:p>
    <w:p>
      <w:pPr>
        <w:autoSpaceDN w:val="0"/>
        <w:autoSpaceDE w:val="0"/>
        <w:widowControl/>
        <w:spacing w:line="245" w:lineRule="auto" w:before="18" w:after="0"/>
        <w:ind w:left="192" w:right="556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Long-distance interaction between polymer networks results in anomalous behavior of swelling ratio with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increasing of salt concentration too (Fig.3). Normally the adding of salt leads to decreasing of swelling ratio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[7-9]. Nevertheless, in our experiments swelling ratio increase in salt solution of relatively low concentration. </w:t>
      </w:r>
    </w:p>
    <w:p>
      <w:pPr>
        <w:autoSpaceDN w:val="0"/>
        <w:tabs>
          <w:tab w:pos="430" w:val="left"/>
        </w:tabs>
        <w:autoSpaceDE w:val="0"/>
        <w:widowControl/>
        <w:spacing w:line="245" w:lineRule="auto" w:before="18" w:after="0"/>
        <w:ind w:left="192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Thus, long-distance interactions between two polymer networks express itself in a number of surprising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facts, which cannot be explained without consideration of electrochemical factors in details. </w:t>
      </w:r>
    </w:p>
    <w:p>
      <w:pPr>
        <w:autoSpaceDN w:val="0"/>
        <w:autoSpaceDE w:val="0"/>
        <w:widowControl/>
        <w:spacing w:line="230" w:lineRule="auto" w:before="258" w:after="0"/>
        <w:ind w:left="192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4.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Discussion </w:t>
      </w:r>
    </w:p>
    <w:p>
      <w:pPr>
        <w:autoSpaceDN w:val="0"/>
        <w:autoSpaceDE w:val="0"/>
        <w:widowControl/>
        <w:spacing w:line="230" w:lineRule="auto" w:before="258" w:after="0"/>
        <w:ind w:left="192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4.1.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Long-distance interactions mechanism </w:t>
      </w:r>
    </w:p>
    <w:p>
      <w:pPr>
        <w:autoSpaceDN w:val="0"/>
        <w:autoSpaceDE w:val="0"/>
        <w:widowControl/>
        <w:spacing w:line="230" w:lineRule="auto" w:before="258" w:after="0"/>
        <w:ind w:left="4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Pair of next reactions may explain long-distance interactions between two hydrogel specimens: </w:t>
      </w:r>
    </w:p>
    <w:p>
      <w:pPr>
        <w:autoSpaceDN w:val="0"/>
        <w:autoSpaceDE w:val="0"/>
        <w:widowControl/>
        <w:spacing w:line="240" w:lineRule="auto" w:before="114" w:after="0"/>
        <w:ind w:left="0" w:right="63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R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-COOH </w:t>
      </w:r>
      <w:r>
        <w:drawing>
          <wp:inline xmlns:a="http://schemas.openxmlformats.org/drawingml/2006/main" xmlns:pic="http://schemas.openxmlformats.org/drawingml/2006/picture">
            <wp:extent cx="127000" cy="76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R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-COO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>-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+ H</w:t>
      </w:r>
      <w:r>
        <w:rPr>
          <w:rFonts w:ascii="TimesNewRomanPS" w:hAnsi="TimesNewRomanPS" w:eastAsia="TimesNewRomanPS"/>
          <w:b/>
          <w:i w:val="0"/>
          <w:color w:val="221F1F"/>
          <w:sz w:val="12"/>
        </w:rPr>
        <w:t xml:space="preserve">+                                                                                               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(1)</w:t>
      </w:r>
    </w:p>
    <w:p>
      <w:pPr>
        <w:autoSpaceDN w:val="0"/>
        <w:autoSpaceDE w:val="0"/>
        <w:widowControl/>
        <w:spacing w:line="240" w:lineRule="auto" w:before="96" w:after="0"/>
        <w:ind w:left="0" w:right="63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R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=NH + H</w:t>
      </w:r>
      <w:r>
        <w:rPr>
          <w:rFonts w:ascii="TimesNewRomanPS" w:hAnsi="TimesNewRomanPS" w:eastAsia="TimesNewRomanPS"/>
          <w:b/>
          <w:i w:val="0"/>
          <w:color w:val="221F1F"/>
          <w:sz w:val="12"/>
        </w:rPr>
        <w:t>+</w:t>
      </w:r>
      <w:r>
        <w:drawing>
          <wp:inline xmlns:a="http://schemas.openxmlformats.org/drawingml/2006/main" xmlns:pic="http://schemas.openxmlformats.org/drawingml/2006/picture">
            <wp:extent cx="127000" cy="76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R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=NH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 xml:space="preserve">2 </w:t>
      </w:r>
      <w:r>
        <w:rPr>
          <w:rFonts w:ascii="TimesNewRomanPS" w:hAnsi="TimesNewRomanPS" w:eastAsia="TimesNewRomanPS"/>
          <w:b/>
          <w:i w:val="0"/>
          <w:color w:val="221F1F"/>
          <w:sz w:val="12"/>
        </w:rPr>
        <w:t xml:space="preserve">+                                                                                                     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(2)</w:t>
      </w:r>
    </w:p>
    <w:p>
      <w:pPr>
        <w:autoSpaceDN w:val="0"/>
        <w:autoSpaceDE w:val="0"/>
        <w:widowControl/>
        <w:spacing w:line="247" w:lineRule="auto" w:before="122" w:after="0"/>
        <w:ind w:left="192" w:right="58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Normally reactions (1) and (2) do not break up the electric neutrality of a system, but in our case the first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reaction takes place in volume of one specimen, and the other occurs in volume of specimen which is placed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at relatively long distance. Hydrogen ions generated in volume of the first sample are chemically bonding by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neighboring specimen. In other words, polyacrylic acid gel (reaction 1) may be considered as a donor, and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gel-2 as an acceptor of protons (reaction 2). Consequently, both gels obtain non-zero electrostatic charge (Fig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4), and behavior of the system now is determined by macroscopic charge distribution. </w:t>
      </w:r>
    </w:p>
    <w:p>
      <w:pPr>
        <w:sectPr>
          <w:pgSz w:w="10885" w:h="14854"/>
          <w:pgMar w:top="368" w:right="532" w:bottom="1344" w:left="680" w:header="720" w:footer="720" w:gutter="0"/>
          <w:cols w:space="720" w:num="1" w:equalWidth="0">
            <w:col w:w="9674" w:space="0"/>
            <w:col w:w="9564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1907539</wp:posOffset>
            </wp:positionH>
            <wp:positionV relativeFrom="page">
              <wp:posOffset>2042160</wp:posOffset>
            </wp:positionV>
            <wp:extent cx="2837180" cy="2820258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282025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2501900</wp:posOffset>
            </wp:positionH>
            <wp:positionV relativeFrom="page">
              <wp:posOffset>3098800</wp:posOffset>
            </wp:positionV>
            <wp:extent cx="38100" cy="381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2413000</wp:posOffset>
            </wp:positionH>
            <wp:positionV relativeFrom="page">
              <wp:posOffset>3060700</wp:posOffset>
            </wp:positionV>
            <wp:extent cx="38100" cy="381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3302000</wp:posOffset>
            </wp:positionH>
            <wp:positionV relativeFrom="page">
              <wp:posOffset>6057900</wp:posOffset>
            </wp:positionV>
            <wp:extent cx="38100" cy="381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3048000</wp:posOffset>
            </wp:positionH>
            <wp:positionV relativeFrom="page">
              <wp:posOffset>5880100</wp:posOffset>
            </wp:positionV>
            <wp:extent cx="152400" cy="1524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1738630</wp:posOffset>
            </wp:positionH>
            <wp:positionV relativeFrom="page">
              <wp:posOffset>5394960</wp:posOffset>
            </wp:positionV>
            <wp:extent cx="3176270" cy="1472079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14720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364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556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T.Jumadilov et al. /  AASRI Procedia  3 ( 2012 )  553 – 558 </w:t>
      </w:r>
    </w:p>
    <w:p>
      <w:pPr>
        <w:autoSpaceDN w:val="0"/>
        <w:autoSpaceDE w:val="0"/>
        <w:widowControl/>
        <w:spacing w:line="247" w:lineRule="auto" w:before="396" w:after="0"/>
        <w:ind w:left="190" w:right="44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First, non-zero charge of each specimen leads to repulsion of charged functional groups of each gel from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each other. It is necessary to underline, that charges of functional groups inside each gel actually is moveable.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Their motion has the same mechanism as holes conductivity in semiconductors. A proton may disconnect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from a –COOH group and join to neighbor dissociated –COO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group. Totally, such process may be considered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motion of –COO- charged “particle”. Repulsion of such negative particles leads to formation of a thin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charged layer at surface of a specimen, which take part in long-distance interaction with acceptor of protons,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while the degree of dissociation of weak carbon acid is low. </w:t>
      </w:r>
    </w:p>
    <w:p>
      <w:pPr>
        <w:autoSpaceDN w:val="0"/>
        <w:autoSpaceDE w:val="0"/>
        <w:widowControl/>
        <w:spacing w:line="240" w:lineRule="auto" w:before="4902" w:after="8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3. The influence of ionic strength on swelling ratio </w:t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>K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 of PAA gel at long-distance interaction between PAA mad PEI networks; </w:t>
      </w:r>
      <w:r>
        <w:drawing>
          <wp:inline xmlns:a="http://schemas.openxmlformats.org/drawingml/2006/main" xmlns:pic="http://schemas.openxmlformats.org/drawingml/2006/picture">
            <wp:extent cx="76200" cy="76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 xml:space="preserve">0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4767"/>
        <w:gridCol w:w="4767"/>
      </w:tblGrid>
      <w:tr>
        <w:trPr>
          <w:trHeight w:hRule="exact" w:val="252"/>
        </w:trPr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(PAA) = 45; </w:t>
            </w: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 xml:space="preserve">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(PEI) = 3; =0,001 (1); 0 (2); 0,01 (3); 0,1 (4); 0,5 (5) </w:t>
            </w:r>
          </w:p>
        </w:tc>
      </w:tr>
    </w:tbl>
    <w:p>
      <w:pPr>
        <w:autoSpaceDN w:val="0"/>
        <w:autoSpaceDE w:val="0"/>
        <w:widowControl/>
        <w:spacing w:line="230" w:lineRule="auto" w:before="2700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4. Formation of macroscopic charge at long-distance interaction between acceptor and donor networks </w:t>
      </w:r>
    </w:p>
    <w:p>
      <w:pPr>
        <w:autoSpaceDN w:val="0"/>
        <w:autoSpaceDE w:val="0"/>
        <w:widowControl/>
        <w:spacing w:line="245" w:lineRule="auto" w:before="260" w:after="0"/>
        <w:ind w:left="190" w:right="44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Thin charged layer is forming at surface of gel-acceptor in the same way; surface electric layers of charged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specimens form together a kind of capacitor. These oppositely charged layers attract to each other resulting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appearance of additional force stretched the network, which gives an additional swelling of the specimen 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whole in accordance with the theory [10], previously developed for the case uniformly charged networks. </w:t>
      </w:r>
    </w:p>
    <w:p>
      <w:pPr>
        <w:sectPr>
          <w:pgSz w:w="10885" w:h="14854"/>
          <w:pgMar w:top="368" w:right="726" w:bottom="1200" w:left="624" w:header="720" w:footer="720" w:gutter="0"/>
          <w:cols w:space="720" w:num="1" w:equalWidth="0">
            <w:col w:w="9536" w:space="0"/>
            <w:col w:w="9674" w:space="0"/>
            <w:col w:w="9564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06" w:val="left"/>
        </w:tabs>
        <w:autoSpaceDE w:val="0"/>
        <w:widowControl/>
        <w:spacing w:line="176" w:lineRule="exact" w:before="0" w:after="0"/>
        <w:ind w:left="27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T.Jumadilov et al. /  AASRI Procedia  3 ( 2012 )  553 – 558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557</w:t>
      </w:r>
    </w:p>
    <w:p>
      <w:pPr>
        <w:autoSpaceDN w:val="0"/>
        <w:autoSpaceDE w:val="0"/>
        <w:widowControl/>
        <w:spacing w:line="247" w:lineRule="auto" w:before="342" w:after="0"/>
        <w:ind w:left="0" w:right="46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This additional force is relatively strong when the distance between specimens is short, and this force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obviously negligible when one specimen is placed quite far from another. Consequently, the dependence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additional swelling of hydrogel on distance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may be explained by peculiarity of non-compensated charge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distribution only. Moreover, magnitude of electric field, which appears at the surface of a specimen involved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long-distance interaction is limiting factor of charging. Indeed, vector of electric field cross the surface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any case (when the specimen is fixed quite close to oppositely charged one, and when they are placed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sufficiently far from each other too). </w:t>
      </w:r>
    </w:p>
    <w:p>
      <w:pPr>
        <w:autoSpaceDN w:val="0"/>
        <w:autoSpaceDE w:val="0"/>
        <w:widowControl/>
        <w:spacing w:line="247" w:lineRule="auto" w:before="18" w:after="0"/>
        <w:ind w:left="0" w:right="288" w:firstLine="236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well as in the case of classic swelling of polyelectrolyte hydrogel [11], this field plays a double role.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First, it acts on charged particles concentrated near the surface of the specimen resulting in additional swelling.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Second, the same action promote decomposing of =NH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 xml:space="preserve">+ 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groups and may tear out hydrogen ions, i.e.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magnitude of the field restrict electric charge of both specimens. Obviously, this factor restrict total amount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ions involved in reaction (2) also. 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18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Thus, a hydrogel pair of considered type obtains 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in idealized case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non-zero macroscopic electric charge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pure water, which is restricting by its own surface density. </w:t>
      </w:r>
    </w:p>
    <w:p>
      <w:pPr>
        <w:autoSpaceDN w:val="0"/>
        <w:autoSpaceDE w:val="0"/>
        <w:widowControl/>
        <w:spacing w:line="230" w:lineRule="auto" w:before="258" w:after="0"/>
        <w:ind w:left="0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4.2.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Anomalous ion exchange phenomenon </w:t>
      </w:r>
    </w:p>
    <w:p>
      <w:pPr>
        <w:autoSpaceDN w:val="0"/>
        <w:autoSpaceDE w:val="0"/>
        <w:widowControl/>
        <w:spacing w:line="245" w:lineRule="auto" w:before="258" w:after="0"/>
        <w:ind w:left="0" w:right="47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 will consider the case when low-molecular electrolyte, potassium chloride, for example, is added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solution surrounding both gels. Obviously, negative ions will be attracted to positively charged gel,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positive ones – to PAA gel. </w:t>
      </w:r>
    </w:p>
    <w:p>
      <w:pPr>
        <w:autoSpaceDN w:val="0"/>
        <w:autoSpaceDE w:val="0"/>
        <w:widowControl/>
        <w:spacing w:line="230" w:lineRule="auto" w:before="18" w:after="0"/>
        <w:ind w:left="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Next reaction may present such process schematically: </w:t>
      </w:r>
    </w:p>
    <w:p>
      <w:pPr>
        <w:autoSpaceDN w:val="0"/>
        <w:autoSpaceDE w:val="0"/>
        <w:widowControl/>
        <w:spacing w:line="240" w:lineRule="auto" w:before="114" w:after="0"/>
        <w:ind w:left="0" w:right="52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R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-COO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>-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+ R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=NH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 xml:space="preserve">2 </w:t>
      </w:r>
      <w:r>
        <w:rPr>
          <w:rFonts w:ascii="TimesNewRomanPS" w:hAnsi="TimesNewRomanPS" w:eastAsia="TimesNewRomanPS"/>
          <w:b/>
          <w:i w:val="0"/>
          <w:color w:val="221F1F"/>
          <w:sz w:val="12"/>
        </w:rPr>
        <w:t>+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+ NaCl </w:t>
      </w:r>
      <w:r>
        <w:drawing>
          <wp:inline xmlns:a="http://schemas.openxmlformats.org/drawingml/2006/main" xmlns:pic="http://schemas.openxmlformats.org/drawingml/2006/picture">
            <wp:extent cx="114300" cy="635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R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-COONa + R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=NH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Cl                                        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 (3)</w:t>
      </w:r>
    </w:p>
    <w:p>
      <w:pPr>
        <w:autoSpaceDN w:val="0"/>
        <w:autoSpaceDE w:val="0"/>
        <w:widowControl/>
        <w:spacing w:line="247" w:lineRule="auto" w:before="122" w:after="0"/>
        <w:ind w:left="0" w:right="47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Low-molecular ions are separated between hydrogel pair in this reaction (3); besides, low-molecular salt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removed from solution into gel pair volume, i.e. anomalous ion exchange actually takes place. Normally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reaction (3)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cannot take place at all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but in the case of long-distance interactions between hydrogels it became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quite understandable. Indeed, reaction (3) is a total of two different processes, which take place in different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specimens. 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18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 should underline that such ion exchange is namely anomalous one, while during reactions gathered by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scheme (3) in PAA gel volume takes place the process correspond to next ion exchange reaction: </w:t>
      </w:r>
    </w:p>
    <w:p>
      <w:pPr>
        <w:autoSpaceDN w:val="0"/>
        <w:autoSpaceDE w:val="0"/>
        <w:widowControl/>
        <w:spacing w:line="240" w:lineRule="auto" w:before="114" w:after="0"/>
        <w:ind w:left="0" w:right="5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R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-COOH + Na</w:t>
      </w:r>
      <w:r>
        <w:rPr>
          <w:rFonts w:ascii="TimesNewRomanPS" w:hAnsi="TimesNewRomanPS" w:eastAsia="TimesNewRomanPS"/>
          <w:b/>
          <w:i w:val="0"/>
          <w:color w:val="221F1F"/>
          <w:sz w:val="12"/>
        </w:rPr>
        <w:t>+</w:t>
      </w:r>
      <w:r>
        <w:drawing>
          <wp:inline xmlns:a="http://schemas.openxmlformats.org/drawingml/2006/main" xmlns:pic="http://schemas.openxmlformats.org/drawingml/2006/picture">
            <wp:extent cx="114300" cy="635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R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-COONa +H</w:t>
      </w:r>
      <w:r>
        <w:rPr>
          <w:rFonts w:ascii="TimesNewRomanPS" w:hAnsi="TimesNewRomanPS" w:eastAsia="TimesNewRomanPS"/>
          <w:b/>
          <w:i w:val="0"/>
          <w:color w:val="221F1F"/>
          <w:sz w:val="12"/>
        </w:rPr>
        <w:t xml:space="preserve">+                                      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 xml:space="preserve">                            (4)</w:t>
      </w:r>
    </w:p>
    <w:p>
      <w:pPr>
        <w:autoSpaceDN w:val="0"/>
        <w:tabs>
          <w:tab w:pos="238" w:val="left"/>
        </w:tabs>
        <w:autoSpaceDE w:val="0"/>
        <w:widowControl/>
        <w:spacing w:line="247" w:lineRule="auto" w:before="120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Normally such ion exchange reaction occurs in opposite direction, while degree of dissociation of R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COOH groups is much less than degree of dissociation of R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-COONa groups. </w:t>
      </w:r>
    </w:p>
    <w:p>
      <w:pPr>
        <w:autoSpaceDN w:val="0"/>
        <w:autoSpaceDE w:val="0"/>
        <w:widowControl/>
        <w:spacing w:line="247" w:lineRule="auto" w:before="4" w:after="0"/>
        <w:ind w:left="0" w:right="46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Macroscopic electric charge of both samples after process (3) is likely to be compensated if total amount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low-molecular ions in solution is enough, and electric field will be close to zero. Nevertheless one should take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into account, that decreasing of eclectic field moves off the factor, which restricted total amount of protons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involved in reaction (2). Consequently, an additional portion of hydrogen ions may be bonded by R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=NH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groups. This ions give new charge to =NH-gel, which, obviously may be compensated by low-molecular ions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if their total amount in solution is enough, etc. Thus, the reaction (4) may take place until all hydrogen ions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will be changed by potassium ions. </w:t>
      </w:r>
    </w:p>
    <w:p>
      <w:pPr>
        <w:autoSpaceDN w:val="0"/>
        <w:autoSpaceDE w:val="0"/>
        <w:widowControl/>
        <w:spacing w:line="247" w:lineRule="auto" w:before="18" w:after="0"/>
        <w:ind w:left="0" w:right="46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Fig. 2 represents direct experimental evidence of anomalous ion exchange phenomenon. Namely, it is well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known [11], that polymer networks based on carbon acids may demonstrate respectively low swelling ratio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due to low degree of dissociation of weak polyacid (30-80 g/g for typical specimens). On the contrary, degree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of dissociation of the same gel in the salt form (R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-COONa) is much higher (100-900 g/g, [1,2,11, 12]). Curve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 at Fig. 2 corresponds to product of reaction of anomalous ion exchange, while swelling ratio reach values,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which are normal for gel in salt form and never can be obtained for acid gel of used type. </w:t>
      </w:r>
    </w:p>
    <w:p>
      <w:pPr>
        <w:sectPr>
          <w:pgSz w:w="10885" w:h="14854"/>
          <w:pgMar w:top="368" w:right="648" w:bottom="1188" w:left="872" w:header="720" w:footer="720" w:gutter="0"/>
          <w:cols w:space="720" w:num="1" w:equalWidth="0">
            <w:col w:w="9366" w:space="0"/>
            <w:col w:w="9536" w:space="0"/>
            <w:col w:w="9674" w:space="0"/>
            <w:col w:w="9564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3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558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T.Jumadilov et al. /  AASRI Procedia  3 ( 2012 )  553 – 558 </w:t>
      </w:r>
    </w:p>
    <w:p>
      <w:pPr>
        <w:autoSpaceDN w:val="0"/>
        <w:autoSpaceDE w:val="0"/>
        <w:widowControl/>
        <w:spacing w:line="245" w:lineRule="auto" w:before="396" w:after="0"/>
        <w:ind w:left="162" w:right="7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Further increasing of salt concentration in surrounding solution leads to decreasing of swelling ratio, 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well as this effect takes place for any polyelectrolyte gel is salt form usually. Such decreasing of swelling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ratio corresponds to curves 4-5 at Fig.2. </w:t>
      </w:r>
    </w:p>
    <w:p>
      <w:pPr>
        <w:autoSpaceDN w:val="0"/>
        <w:autoSpaceDE w:val="0"/>
        <w:widowControl/>
        <w:spacing w:line="247" w:lineRule="auto" w:before="18" w:after="0"/>
        <w:ind w:left="164" w:right="70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most obvious applications of observed phenomenon lie practically in the same field that for 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exchange (water purification, enrichment technologies, etc). Nevertheless, anomalous ion exchange has some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sufficient preferences. First, the ionic exchange system based on phenomenon of long-distance interactions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between hydrogels is easy renewable. Indeed, it is enough to apply mechanical stress for releasing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concentrated salt solution. Second, anomalous ion exchanging gives possibility to get out arbitrary salt from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solution, etc. </w:t>
      </w:r>
    </w:p>
    <w:p>
      <w:pPr>
        <w:autoSpaceDN w:val="0"/>
        <w:autoSpaceDE w:val="0"/>
        <w:widowControl/>
        <w:spacing w:line="245" w:lineRule="auto" w:before="18" w:after="0"/>
        <w:ind w:left="164" w:right="68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Besides, described phenomenon allows understanding the mechanism of ion transport in opposite direction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respect to sign of chemical potential gradient. It is well known, that such transportation often takes place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biological systems. </w:t>
      </w:r>
    </w:p>
    <w:p>
      <w:pPr>
        <w:autoSpaceDN w:val="0"/>
        <w:autoSpaceDE w:val="0"/>
        <w:widowControl/>
        <w:spacing w:line="230" w:lineRule="auto" w:before="258" w:after="0"/>
        <w:ind w:left="16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5.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Conclusions </w:t>
      </w:r>
    </w:p>
    <w:p>
      <w:pPr>
        <w:autoSpaceDN w:val="0"/>
        <w:autoSpaceDE w:val="0"/>
        <w:widowControl/>
        <w:spacing w:line="247" w:lineRule="auto" w:before="258" w:after="0"/>
        <w:ind w:left="164" w:right="68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Thus, one can say that interactions between acid and protonized polymer hydrogels demonstrate 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example of chemical process, which results in appearance of macroscopic electric charge. Generally, this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charge may be considered as a chemical signal, which can propagate for a quite long distance and used for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artificial neuron networks development in future. Other applications of observed phenomena are connected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with anomalous ion exchange, for example for deep purification of water solutions from low-molecular salts. </w:t>
      </w:r>
    </w:p>
    <w:p>
      <w:pPr>
        <w:autoSpaceDN w:val="0"/>
        <w:autoSpaceDE w:val="0"/>
        <w:widowControl/>
        <w:spacing w:line="230" w:lineRule="auto" w:before="482" w:after="0"/>
        <w:ind w:left="16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30" w:lineRule="auto" w:before="206" w:after="0"/>
        <w:ind w:left="1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[1] Radeva T. Physical chemistry of polyelectrolytes. NY, Marcel Dekker, Inc. 2001. 211 p. </w:t>
      </w:r>
    </w:p>
    <w:p>
      <w:pPr>
        <w:autoSpaceDN w:val="0"/>
        <w:autoSpaceDE w:val="0"/>
        <w:widowControl/>
        <w:spacing w:line="245" w:lineRule="auto" w:before="8" w:after="0"/>
        <w:ind w:left="164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[2] Osada Y., Gong J. P., Sawahata K. Synthesis, Mechanism, and Application of Electro-Driven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Chemomechanical System Using Polymer Gels, J. Macromol. Sci.-Chem., 1991, A28, 1189. </w:t>
      </w:r>
    </w:p>
    <w:p>
      <w:pPr>
        <w:autoSpaceDN w:val="0"/>
        <w:autoSpaceDE w:val="0"/>
        <w:widowControl/>
        <w:spacing w:line="230" w:lineRule="auto" w:before="8" w:after="0"/>
        <w:ind w:left="1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[3] Phillipova O. Responsive polymer gels. Polymer Science, 2000, 42, #2, 208. </w:t>
      </w:r>
    </w:p>
    <w:p>
      <w:pPr>
        <w:autoSpaceDN w:val="0"/>
        <w:autoSpaceDE w:val="0"/>
        <w:widowControl/>
        <w:spacing w:line="245" w:lineRule="auto" w:before="8" w:after="0"/>
        <w:ind w:left="164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[4] Kokufuta E., Ogawa K., Miyake M. Polyelectrolyte complex formation between anionic and cationic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nanogels in salt-free aqueous solution // Abstr. 6th Int. Symp. “Polyelectrolytes”, Dresden, 2006. </w:t>
      </w:r>
    </w:p>
    <w:p>
      <w:pPr>
        <w:autoSpaceDN w:val="0"/>
        <w:autoSpaceDE w:val="0"/>
        <w:widowControl/>
        <w:spacing w:line="245" w:lineRule="auto" w:before="8" w:after="0"/>
        <w:ind w:left="1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[5] Karpushkin E.A., Kechek’yan A.S., Zezin A.B. Interpolyelectrolyte reaction between the particles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oppositely charged microgels, Polymer Science, 2006. B48, 301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[6] Ismailova Sh., Jumadilov T., Bekturov E. Peculiarities of complex formation between polyacrylic acid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polyethyleneimine. Reports of National Academy of Sci. of Kazakhstan (in Russian), 2004, #4, P.80.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[7] Khokhlov .R., Kramarenko E.Yu. Weakly charged polyelectrolytes: collapse induced by extra ionization,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Macromolecules, 1996, 29, 681. </w:t>
      </w:r>
    </w:p>
    <w:p>
      <w:pPr>
        <w:autoSpaceDN w:val="0"/>
        <w:autoSpaceDE w:val="0"/>
        <w:widowControl/>
        <w:spacing w:line="245" w:lineRule="auto" w:before="8" w:after="0"/>
        <w:ind w:left="1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[8] Ferapontov N., Parbuzina L., Gorshkov V. et.al. Interaction of cross-linked polyelectrolytes with solutions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low-molecular weight electrolytes, Reactive &amp; functional polymers, 2000, 45, 145. </w:t>
      </w:r>
    </w:p>
    <w:p>
      <w:pPr>
        <w:autoSpaceDN w:val="0"/>
        <w:autoSpaceDE w:val="0"/>
        <w:widowControl/>
        <w:spacing w:line="245" w:lineRule="auto" w:before="8" w:after="0"/>
        <w:ind w:left="1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[9] Budtova T.V., Bel'nikevich N.G., Suleimenov I.E., Frenkel S.Ya. Concentration redistribution of low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molecular weight salt of metals in presence of strongly swelling polyelectrolyte hydrogels, Polymer, 1993, 34,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5154. </w:t>
      </w:r>
    </w:p>
    <w:p>
      <w:pPr>
        <w:autoSpaceDN w:val="0"/>
        <w:autoSpaceDE w:val="0"/>
        <w:widowControl/>
        <w:spacing w:line="245" w:lineRule="auto" w:before="8" w:after="0"/>
        <w:ind w:left="16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[10] Budtova T.V., Suleimenov I.E., Frenkel S.Ya. A diffusion approach to the description of swelling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polyelectrolyte hydrogel, Polymer Science, 1995, A37, 10. </w:t>
      </w:r>
    </w:p>
    <w:p>
      <w:pPr>
        <w:autoSpaceDN w:val="0"/>
        <w:autoSpaceDE w:val="0"/>
        <w:widowControl/>
        <w:spacing w:line="245" w:lineRule="auto" w:before="8" w:after="0"/>
        <w:ind w:left="16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[11] Xinxing Liu, Zhen Tong, and Ou Hu. Swelling Equilibria of Hydrogels with Sulfonate Groups in Water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in Aqueous Salt Solutions, Macromolecules, 1995, 28, 3813. </w:t>
      </w:r>
    </w:p>
    <w:p>
      <w:pPr>
        <w:autoSpaceDN w:val="0"/>
        <w:autoSpaceDE w:val="0"/>
        <w:widowControl/>
        <w:spacing w:line="245" w:lineRule="auto" w:before="8" w:after="0"/>
        <w:ind w:left="1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[12] Okay O., Sariisik S., Zor S. Swelling Behavior of Anionic Acrylamide-Based Hydrogels in Aqueous Salt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Solutions, J. Applied Polym. Sci., 1998, 70, 567. </w:t>
      </w:r>
    </w:p>
    <w:sectPr w:rsidR="00FC693F" w:rsidRPr="0006063C" w:rsidSect="00034616">
      <w:pgSz w:w="10885" w:h="14854"/>
      <w:pgMar w:top="368" w:right="1104" w:bottom="1284" w:left="652" w:header="720" w:footer="720" w:gutter="0"/>
      <w:cols w:space="720" w:num="1" w:equalWidth="0">
        <w:col w:w="9130" w:space="0"/>
        <w:col w:w="9366" w:space="0"/>
        <w:col w:w="9536" w:space="0"/>
        <w:col w:w="9674" w:space="0"/>
        <w:col w:w="9564" w:space="0"/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