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2405"/>
        <w:gridCol w:w="2405"/>
        <w:gridCol w:w="2405"/>
        <w:gridCol w:w="2405"/>
      </w:tblGrid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6400" cy="419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3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2405"/>
            <w:vMerge/>
            <w:tcBorders/>
          </w:tcPr>
          <w:p/>
        </w:tc>
        <w:tc>
          <w:tcPr>
            <w:tcW w:type="dxa" w:w="2405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954" w:right="0" w:firstLine="0"/>
              <w:jc w:val="left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2405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2405"/>
            <w:vMerge/>
            <w:tcBorders/>
          </w:tcPr>
          <w:p/>
        </w:tc>
        <w:tc>
          <w:tcPr>
            <w:tcW w:type="dxa" w:w="2405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8 ( 2014 )  57 – 62 </w:t>
            </w:r>
          </w:p>
        </w:tc>
        <w:tc>
          <w:tcPr>
            <w:tcW w:type="dxa" w:w="240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480" w:after="0"/>
        <w:ind w:left="7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2014 AASRI Conference on Sports Engineering and Computer Science (SECS 2014) </w:t>
      </w:r>
    </w:p>
    <w:p>
      <w:pPr>
        <w:autoSpaceDN w:val="0"/>
        <w:autoSpaceDE w:val="0"/>
        <w:widowControl/>
        <w:spacing w:line="382" w:lineRule="exact" w:before="258" w:after="0"/>
        <w:ind w:left="0" w:right="257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Modeling in E-learning System </w:t>
      </w:r>
    </w:p>
    <w:p>
      <w:pPr>
        <w:autoSpaceDN w:val="0"/>
        <w:autoSpaceDE w:val="0"/>
        <w:widowControl/>
        <w:spacing w:line="300" w:lineRule="exact" w:before="240" w:after="0"/>
        <w:ind w:left="432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Rogelio Ramos Carranza*, Armando Aguilar Márquez, Frida M. León Rodríguez, 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Omar García León </w:t>
      </w:r>
    </w:p>
    <w:p>
      <w:pPr>
        <w:autoSpaceDN w:val="0"/>
        <w:autoSpaceDE w:val="0"/>
        <w:widowControl/>
        <w:spacing w:line="178" w:lineRule="exact" w:before="176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Universidad Nacional Autónoma de México,Cuautitlán Izcalli 54720, México </w:t>
      </w:r>
    </w:p>
    <w:p>
      <w:pPr>
        <w:autoSpaceDN w:val="0"/>
        <w:autoSpaceDE w:val="0"/>
        <w:widowControl/>
        <w:spacing w:line="206" w:lineRule="exact" w:before="948" w:after="0"/>
        <w:ind w:left="40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18" w:after="0"/>
        <w:ind w:left="404" w:right="3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An old idea was to stage a school situation in university by the face to face system , a new idea is to stage as the school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situation in college , but in an online system designed in terms of didactic engineering , to practices through numerical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methods in MOODLE ( Module object- Oriented Dynamic Learning Environment) platform , the theoretical aspect that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will support the mathematical object , are the basic ideas of the theory of e- learning [1] (from the English phrase we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understand as learning). </w:t>
      </w:r>
    </w:p>
    <w:p>
      <w:pPr>
        <w:autoSpaceDN w:val="0"/>
        <w:autoSpaceDE w:val="0"/>
        <w:widowControl/>
        <w:spacing w:line="220" w:lineRule="exact" w:before="206" w:after="0"/>
        <w:ind w:left="40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>The central proposal of this investigation is to highlight that in the teaching-learning process traditionally used in the in-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person system ( face to face) , radically changed from the delivered content and necessary practice for learning a system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online by MOODLE platform. </w:t>
      </w:r>
    </w:p>
    <w:p>
      <w:pPr>
        <w:autoSpaceDN w:val="0"/>
        <w:autoSpaceDE w:val="0"/>
        <w:widowControl/>
        <w:spacing w:line="220" w:lineRule="exact" w:before="206" w:after="0"/>
        <w:ind w:left="40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Then aims in this paper the design activities, according to the theory and practice of online learning and testing every one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of the methods that make up a university course on Numerical Methods . </w:t>
      </w:r>
    </w:p>
    <w:p>
      <w:pPr>
        <w:autoSpaceDN w:val="0"/>
        <w:autoSpaceDE w:val="0"/>
        <w:widowControl/>
        <w:spacing w:line="220" w:lineRule="exact" w:before="208" w:after="0"/>
        <w:ind w:left="40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In particular consider the case of the gridding of a randomized data set; the mathematical object considered in this report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will approach by the method of segmental cubic spline fit [2]. </w:t>
      </w:r>
    </w:p>
    <w:p>
      <w:pPr>
        <w:autoSpaceDN w:val="0"/>
        <w:autoSpaceDE w:val="0"/>
        <w:widowControl/>
        <w:spacing w:line="220" w:lineRule="exact" w:before="206" w:after="0"/>
        <w:ind w:left="40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So we intend to prove that the staging of content and practices (activities) of numerical methods , appropriate to the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learning styles proposed in the theory and practice of online learning [1 ], which can achieve significant learning.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The design strategy practices numerical modeling will support the concepts of the three (or four) basic schools of learning,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ie, in the Behavioral Schools , Cognitivist , Constructivist and Humanist . </w:t>
      </w:r>
    </w:p>
    <w:p>
      <w:pPr>
        <w:autoSpaceDN w:val="0"/>
        <w:autoSpaceDE w:val="0"/>
        <w:widowControl/>
        <w:spacing w:line="200" w:lineRule="exact" w:before="908" w:after="0"/>
        <w:ind w:left="642" w:right="44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+55-5518740522; fax: +55-56231886.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egorrc@gmail.com. </w:t>
      </w:r>
    </w:p>
    <w:p>
      <w:pPr>
        <w:autoSpaceDN w:val="0"/>
        <w:autoSpaceDE w:val="0"/>
        <w:widowControl/>
        <w:spacing w:line="200" w:lineRule="exact" w:before="1914" w:after="0"/>
        <w:ind w:left="0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The Authors. Published by Elsevier B. V. This is an open access article under the CC BY-NC-ND license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0" w:lineRule="exact" w:before="0" w:after="0"/>
        <w:ind w:left="0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10.1016/j.aasri.2014.08.010 </w:t>
      </w:r>
    </w:p>
    <w:p>
      <w:pPr>
        <w:sectPr>
          <w:pgSz w:w="10885" w:h="14854"/>
          <w:pgMar w:top="438" w:right="640" w:bottom="1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97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58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Rogelio Ramos Carranza et al.  /  AASRI Procedia  8 ( 2014 )  57 – 62 </w:t>
      </w:r>
    </w:p>
    <w:p>
      <w:pPr>
        <w:autoSpaceDN w:val="0"/>
        <w:autoSpaceDE w:val="0"/>
        <w:widowControl/>
        <w:spacing w:line="220" w:lineRule="exact" w:before="352" w:after="0"/>
        <w:ind w:left="270" w:right="28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The content in conjunction with practices that correspond to numeric object considered in this work consist of a good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description of the mathematical development of splines available in a document, other content element is a presentation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where an example of the application of the method is used a case study, a third element is an interactive program that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solves numerically, all integrated on the platform and practices are defined by the activities that are available on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MOODLE , which may consist of questionnaires , crosswords, letters, memory games, problems involving a process,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creating solutions for computer and other activities and resources. </w:t>
      </w:r>
    </w:p>
    <w:p>
      <w:pPr>
        <w:autoSpaceDN w:val="0"/>
        <w:autoSpaceDE w:val="0"/>
        <w:widowControl/>
        <w:spacing w:line="218" w:lineRule="exact" w:before="224" w:after="170"/>
        <w:ind w:left="27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The experiment was conducted with students from a public university in the state of Jalisco, Mexico. The test results of a </w:t>
      </w:r>
      <w:r>
        <w:rPr>
          <w:rFonts w:ascii="TimesNewRomanPSMT" w:hAnsi="TimesNewRomanPSMT" w:eastAsia="TimesNewRomanPSMT"/>
          <w:b w:val="0"/>
          <w:i w:val="0"/>
          <w:color w:val="2D2D2D"/>
          <w:sz w:val="18"/>
        </w:rPr>
        <w:t xml:space="preserve">functioning online material will be published in a later article to this ongoing investigation.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9443"/>
      </w:tblGrid>
      <w:tr>
        <w:trPr>
          <w:trHeight w:hRule="exact" w:val="786"/>
        </w:trPr>
        <w:tc>
          <w:tcPr>
            <w:tcW w:type="dxa" w:w="9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" w:after="0"/>
              <w:ind w:left="128" w:right="144" w:firstLine="14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© 2014 Rogelio Ramos Carranza, Armando Aguilar Márquez, Frida M. León Rodríguez, Omar García León,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363393"/>
                <w:sz w:val="17"/>
              </w:rPr>
              <w:t>http://creativecommons.org/licenses/by-nc-nd/3.0/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 xml:space="preserve">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Published by Elsevier B.V.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1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Selection and/or peer review under responsibility of American Applied Science Research Institute </w:t>
            </w:r>
          </w:p>
        </w:tc>
      </w:tr>
    </w:tbl>
    <w:p>
      <w:pPr>
        <w:autoSpaceDN w:val="0"/>
        <w:autoSpaceDE w:val="0"/>
        <w:widowControl/>
        <w:spacing w:line="180" w:lineRule="exact" w:before="184" w:after="0"/>
        <w:ind w:left="27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Keywords: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e-learning; MOODLE; spline </w:t>
      </w:r>
    </w:p>
    <w:p>
      <w:pPr>
        <w:autoSpaceDN w:val="0"/>
        <w:autoSpaceDE w:val="0"/>
        <w:widowControl/>
        <w:spacing w:line="228" w:lineRule="exact" w:before="462" w:after="0"/>
        <w:ind w:left="2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40" w:after="0"/>
        <w:ind w:left="270" w:right="27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In this investigation is considered, for a good description, some of the aspects that make any scientific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communication, so the body of this paper begins with the statement of the problem that we have considered,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this approach is accompanied by the corresponding hypothesis. Below is a brief but clear enough description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of the mathematical object hereof. </w:t>
      </w:r>
    </w:p>
    <w:p>
      <w:pPr>
        <w:autoSpaceDN w:val="0"/>
        <w:autoSpaceDE w:val="0"/>
        <w:widowControl/>
        <w:spacing w:line="240" w:lineRule="exact" w:before="0" w:after="0"/>
        <w:ind w:left="270" w:right="27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Having defined these two aspects, described in a particular way, but the most explicit possible theoretical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aspects surrounding the investigation, beginning with a very brief description of the learning schools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recognized by the international scientific community . </w:t>
      </w:r>
    </w:p>
    <w:p>
      <w:pPr>
        <w:autoSpaceDN w:val="0"/>
        <w:tabs>
          <w:tab w:pos="508" w:val="left"/>
        </w:tabs>
        <w:autoSpaceDE w:val="0"/>
        <w:widowControl/>
        <w:spacing w:line="240" w:lineRule="exact" w:before="0" w:after="0"/>
        <w:ind w:left="27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After discussing the fundamental components of effective online learning: preparation, activities,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interaction and transfer student, likewise, the role of interaction in online learning is described . </w:t>
      </w:r>
    </w:p>
    <w:p>
      <w:pPr>
        <w:autoSpaceDN w:val="0"/>
        <w:autoSpaceDE w:val="0"/>
        <w:widowControl/>
        <w:spacing w:line="240" w:lineRule="exact" w:before="0" w:after="0"/>
        <w:ind w:left="270" w:right="27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Also considered theoretical aspects related to the attributes of learning, the role of interaction in online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learning, a learning model on the Internet, and the section of the methodological framework concludes with a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framework of how people learn the current possibilities of the web and the semantic web called [3]. </w:t>
      </w:r>
    </w:p>
    <w:p>
      <w:pPr>
        <w:autoSpaceDN w:val="0"/>
        <w:autoSpaceDE w:val="0"/>
        <w:widowControl/>
        <w:spacing w:line="240" w:lineRule="exact" w:before="0" w:after="0"/>
        <w:ind w:left="270" w:right="27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At the end of this document briefly describes the experiment conducted with students from the University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of Guadalajara, in the state of Jalisco, Mexico, which corresponds to a public, university other than the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National Autonomous University of Mexico, in which the authors of this work teach mathematics. </w:t>
      </w:r>
    </w:p>
    <w:p>
      <w:pPr>
        <w:autoSpaceDN w:val="0"/>
        <w:autoSpaceDE w:val="0"/>
        <w:widowControl/>
        <w:spacing w:line="228" w:lineRule="exact" w:before="252" w:after="0"/>
        <w:ind w:left="27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2. Description of mathematical object </w:t>
      </w:r>
    </w:p>
    <w:p>
      <w:pPr>
        <w:autoSpaceDN w:val="0"/>
        <w:autoSpaceDE w:val="0"/>
        <w:widowControl/>
        <w:spacing w:line="240" w:lineRule="exact" w:before="240" w:after="112"/>
        <w:ind w:left="270" w:right="27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is considerable variety of methods of numerical modelling of spline, which is considered here is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segmental cubic spline applied to a set of discrete data obtained from an experiment. The specific type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spline is called the natural spline. The mathematical model of the object is expressed by the equation: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8.0" w:type="dxa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>
        <w:trPr>
          <w:trHeight w:hRule="exact" w:val="508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68" w:after="0"/>
              <w:ind w:left="0" w:right="1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y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" w:val="left"/>
                <w:tab w:pos="390" w:val="left"/>
                <w:tab w:pos="622" w:val="left"/>
              </w:tabs>
              <w:autoSpaceDE w:val="0"/>
              <w:widowControl/>
              <w:spacing w:line="306" w:lineRule="exact" w:before="80" w:after="0"/>
              <w:ind w:left="38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a x x </w:t>
            </w:r>
            <w:r>
              <w:rPr>
                <w:w w:val="97.9399974529559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w w:val="97.9399974529559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) </w:t>
            </w:r>
            <w:r>
              <w:rPr>
                <w:w w:val="97.9399974529559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" w:val="left"/>
                <w:tab w:pos="390" w:val="left"/>
                <w:tab w:pos="620" w:val="left"/>
              </w:tabs>
              <w:autoSpaceDE w:val="0"/>
              <w:widowControl/>
              <w:spacing w:line="306" w:lineRule="exact" w:before="80" w:after="0"/>
              <w:ind w:left="4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b x x </w:t>
            </w:r>
            <w:r>
              <w:rPr>
                <w:w w:val="97.9399974529559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w w:val="97.9399974529559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2" w:after="0"/>
              <w:ind w:left="0" w:right="0" w:firstLine="0"/>
              <w:jc w:val="center"/>
            </w:pPr>
            <w:r>
              <w:rPr>
                <w:w w:val="97.9399974529559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376" w:val="left"/>
                <w:tab w:pos="606" w:val="left"/>
              </w:tabs>
              <w:autoSpaceDE w:val="0"/>
              <w:widowControl/>
              <w:spacing w:line="306" w:lineRule="exact" w:before="80" w:after="0"/>
              <w:ind w:left="3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c x x </w:t>
            </w:r>
            <w:r>
              <w:rPr>
                <w:w w:val="97.9399974529559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w w:val="97.9399974529559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" w:val="left"/>
                <w:tab w:pos="544" w:val="left"/>
                <w:tab w:pos="694" w:val="left"/>
              </w:tabs>
              <w:autoSpaceDE w:val="0"/>
              <w:widowControl/>
              <w:spacing w:line="304" w:lineRule="exact" w:before="0" w:after="0"/>
              <w:ind w:left="36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d en x x </w:t>
            </w:r>
            <w:r>
              <w:rPr>
                <w:w w:val="97.9399974529559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w w:val="97.9399974529559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0" w:right="0" w:firstLine="0"/>
              <w:jc w:val="left"/>
            </w:pPr>
            <w:r>
              <w:rPr>
                <w:w w:val="97.9399974529559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7.9399974529559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6" w:after="0"/>
              <w:ind w:left="0" w:right="98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(1) </w:t>
            </w:r>
          </w:p>
        </w:tc>
      </w:tr>
    </w:tbl>
    <w:p>
      <w:pPr>
        <w:autoSpaceDN w:val="0"/>
        <w:autoSpaceDE w:val="0"/>
        <w:widowControl/>
        <w:spacing w:line="226" w:lineRule="exact" w:before="220" w:after="0"/>
        <w:ind w:left="5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The model coefficients shown are determined using the equations shown below: </w:t>
      </w:r>
    </w:p>
    <w:p>
      <w:pPr>
        <w:sectPr>
          <w:pgSz w:w="10885" w:h="14854"/>
          <w:pgMar w:top="368" w:right="790" w:bottom="1440" w:left="652" w:header="720" w:footer="720" w:gutter="0"/>
          <w:cols w:space="720" w:num="1" w:equalWidth="0">
            <w:col w:w="944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90.0" w:type="dxa"/>
      </w:tblPr>
      <w:tblGrid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</w:tblGrid>
      <w:tr>
        <w:trPr>
          <w:trHeight w:hRule="exact" w:val="1286"/>
        </w:trPr>
        <w:tc>
          <w:tcPr>
            <w:tcW w:type="dxa" w:w="101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06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>y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 xml:space="preserve"> �</w:t>
            </w:r>
            <w:r>
              <w:rPr>
                <w:w w:val="103.38461215679462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27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38" w:after="0"/>
              <w:ind w:left="0" w:right="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3"/>
              </w:rPr>
              <w:t xml:space="preserve">d </w:t>
            </w:r>
            <w:r>
              <w:rPr>
                <w:w w:val="103.38461215679462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4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8"/>
            <w:vMerge w:val="restart"/>
            <w:tcBorders>
              <w:bottom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312"/>
            <w:gridSpan w:val="6"/>
            <w:vMerge w:val="restart"/>
            <w:tcBorders>
              <w:bottom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Rogelio Ramos Carranza et al.  /  AASRI Procedia  8 ( 2014 )  57 – 62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58" w:after="0"/>
              <w:ind w:left="0" w:right="7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(2) </w:t>
            </w:r>
          </w:p>
        </w:tc>
        <w:tc>
          <w:tcPr>
            <w:tcW w:type="dxa" w:w="300"/>
            <w:vMerge w:val="restart"/>
            <w:tcBorders>
              <w:bottom w:sz="0.4799999892711639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</w:tc>
      </w:tr>
      <w:tr>
        <w:trPr>
          <w:trHeight w:hRule="exact" w:val="622"/>
        </w:trPr>
        <w:tc>
          <w:tcPr>
            <w:tcW w:type="dxa" w:w="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70" w:after="0"/>
              <w:ind w:left="0" w:right="80" w:firstLine="0"/>
              <w:jc w:val="right"/>
            </w:pPr>
            <w:r>
              <w:rPr>
                <w:w w:val="102.10800170898438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470" w:after="0"/>
              <w:ind w:left="0" w:right="0" w:firstLine="0"/>
              <w:jc w:val="center"/>
            </w:pPr>
            <w:r>
              <w:rPr>
                <w:w w:val="102.10800170898438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25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32" w:after="0"/>
              <w:ind w:left="0" w:right="0" w:firstLine="0"/>
              <w:jc w:val="center"/>
            </w:pPr>
            <w:r>
              <w:rPr>
                <w:w w:val="102.10800170898438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M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76"/>
            <w:gridSpan w:val="3"/>
            <w:tcBorders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3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2.10800170898438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8"/>
            <w:tcBorders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62" w:after="0"/>
              <w:ind w:left="0" w:right="0" w:firstLine="0"/>
              <w:jc w:val="center"/>
            </w:pPr>
            <w:r>
              <w:rPr>
                <w:w w:val="102.10800170898438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86" w:after="0"/>
              <w:ind w:left="22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527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3162"/>
            <w:gridSpan w:val="6"/>
            <w:vMerge/>
            <w:tcBorders>
              <w:bottom w:sz="0.47999998927116394" w:val="single" w:color="#000000"/>
            </w:tcBorders>
          </w:tcPr>
          <w:p/>
        </w:tc>
        <w:tc>
          <w:tcPr>
            <w:tcW w:type="dxa" w:w="1380"/>
            <w:tcBorders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80" w:after="0"/>
              <w:ind w:left="0" w:right="7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(3) </w:t>
            </w:r>
          </w:p>
        </w:tc>
        <w:tc>
          <w:tcPr>
            <w:tcW w:type="dxa" w:w="527"/>
            <w:vMerge/>
            <w:tcBorders>
              <w:bottom w:sz="0.47999998927116394" w:val="single" w:color="#000000"/>
            </w:tcBorders>
          </w:tcPr>
          <w:p/>
        </w:tc>
      </w:tr>
      <w:tr>
        <w:trPr>
          <w:trHeight w:hRule="exact" w:val="418"/>
        </w:trPr>
        <w:tc>
          <w:tcPr>
            <w:tcW w:type="dxa" w:w="527"/>
            <w:vMerge/>
            <w:tcBorders/>
          </w:tcPr>
          <w:p/>
        </w:tc>
        <w:tc>
          <w:tcPr>
            <w:tcW w:type="dxa" w:w="527"/>
            <w:vMerge/>
            <w:tcBorders/>
          </w:tcPr>
          <w:p/>
        </w:tc>
        <w:tc>
          <w:tcPr>
            <w:tcW w:type="dxa" w:w="1054"/>
            <w:gridSpan w:val="2"/>
            <w:vMerge/>
            <w:tcBorders/>
          </w:tcPr>
          <w:p/>
        </w:tc>
        <w:tc>
          <w:tcPr>
            <w:tcW w:type="dxa" w:w="204"/>
            <w:gridSpan w:val="2"/>
            <w:tcBorders>
              <w:top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" w:after="0"/>
              <w:ind w:left="0" w:right="0" w:firstLine="0"/>
              <w:jc w:val="center"/>
            </w:pPr>
            <w:r>
              <w:rPr>
                <w:w w:val="102.1080017089843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  <w:r>
              <w:rPr>
                <w:w w:val="102.10800170898438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h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260"/>
            <w:gridSpan w:val="2"/>
            <w:tcBorders>
              <w:top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138" w:after="0"/>
              <w:ind w:left="1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527"/>
            <w:vMerge/>
            <w:tcBorders/>
          </w:tcPr>
          <w:p/>
        </w:tc>
        <w:tc>
          <w:tcPr>
            <w:tcW w:type="dxa" w:w="328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2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3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500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84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54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886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500" w:after="0"/>
              <w:ind w:left="16" w:right="0" w:firstLine="0"/>
              <w:jc w:val="left"/>
            </w:pPr>
            <w:r>
              <w:rPr>
                <w:w w:val="98.6323063190166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6323063190166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380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8"/>
        </w:trPr>
        <w:tc>
          <w:tcPr>
            <w:tcW w:type="dxa" w:w="85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36" w:after="0"/>
              <w:ind w:left="0" w:right="90" w:firstLine="0"/>
              <w:jc w:val="right"/>
            </w:pPr>
            <w:r>
              <w:rPr>
                <w:w w:val="101.47500038146973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b</w:t>
            </w:r>
            <w:r>
              <w:rPr>
                <w:w w:val="101.47500038146973"/>
                <w:rFonts w:ascii="SymbolMT" w:hAnsi="SymbolMT" w:eastAsia="SymbolMT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w w:val="98.65667025248209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164"/>
            <w:tcBorders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60" w:after="0"/>
              <w:ind w:left="0" w:right="0" w:firstLine="0"/>
              <w:jc w:val="center"/>
            </w:pPr>
            <w:r>
              <w:rPr>
                <w:w w:val="101.47500038146973"/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M</w:t>
            </w:r>
          </w:p>
        </w:tc>
        <w:tc>
          <w:tcPr>
            <w:tcW w:type="dxa" w:w="684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284" w:after="0"/>
              <w:ind w:left="36" w:right="0" w:firstLine="0"/>
              <w:jc w:val="left"/>
            </w:pPr>
            <w:r>
              <w:rPr>
                <w:w w:val="98.65667025248209"/>
                <w:rFonts w:ascii="TimesNewRomanPS" w:hAnsi="TimesNewRomanPS" w:eastAsia="TimesNewRomanPS"/>
                <w:b w:val="0"/>
                <w:i/>
                <w:color w:val="000000"/>
                <w:sz w:val="12"/>
              </w:rPr>
              <w:t>i</w:t>
            </w:r>
          </w:p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/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</w:tr>
      <w:tr>
        <w:trPr>
          <w:trHeight w:hRule="exact" w:val="382"/>
        </w:trPr>
        <w:tc>
          <w:tcPr>
            <w:tcW w:type="dxa" w:w="1581"/>
            <w:gridSpan w:val="3"/>
            <w:vMerge/>
            <w:tcBorders/>
          </w:tcPr>
          <w:p/>
        </w:tc>
        <w:tc>
          <w:tcPr>
            <w:tcW w:type="dxa" w:w="164"/>
            <w:tcBorders>
              <w:top w:sz="0.479999989271163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2" w:after="0"/>
              <w:ind w:left="0" w:right="0" w:firstLine="0"/>
              <w:jc w:val="right"/>
            </w:pPr>
            <w:r>
              <w:rPr>
                <w:w w:val="101.47500038146973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635"/>
            <w:gridSpan w:val="5"/>
            <w:vMerge/>
            <w:tcBorders/>
          </w:tcPr>
          <w:p/>
        </w:tc>
        <w:tc>
          <w:tcPr>
            <w:tcW w:type="dxa" w:w="328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00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h M </w:t>
            </w:r>
            <w:r>
              <w:rPr>
                <w:w w:val="98.6323063190166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  <w:r>
              <w:rPr>
                <w:w w:val="98.6323063190166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6323063190166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86" w:after="0"/>
              <w:ind w:left="0" w:right="0" w:firstLine="0"/>
              <w:jc w:val="center"/>
            </w:pPr>
            <w:r>
              <w:rPr>
                <w:w w:val="98.6323063190166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84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2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554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" w:val="left"/>
                <w:tab w:pos="192" w:val="left"/>
                <w:tab w:pos="256" w:val="left"/>
                <w:tab w:pos="528" w:val="left"/>
              </w:tabs>
              <w:autoSpaceDE w:val="0"/>
              <w:widowControl/>
              <w:spacing w:line="278" w:lineRule="exact" w:before="520" w:after="0"/>
              <w:ind w:left="5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h M </w:t>
            </w:r>
            <w:r>
              <w:rPr>
                <w:w w:val="98.6323063190166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  <w:r>
              <w:rPr>
                <w:w w:val="98.6323063190166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6323063190166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1 </w:t>
            </w:r>
            <w:r>
              <w:tab/>
            </w:r>
            <w:r>
              <w:rPr>
                <w:w w:val="98.6323063190166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1380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0" w:right="7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(4) </w:t>
            </w:r>
          </w:p>
        </w:tc>
        <w:tc>
          <w:tcPr>
            <w:tcW w:type="dxa" w:w="300"/>
            <w:vMerge w:val="restart"/>
            <w:tcBorders>
              <w:top w:sz="0.47999998927116394" w:val="single" w:color="#000000"/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8"/>
        </w:trPr>
        <w:tc>
          <w:tcPr>
            <w:tcW w:type="dxa" w:w="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312" w:after="0"/>
              <w:ind w:left="0" w:right="10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c</w:t>
            </w:r>
          </w:p>
        </w:tc>
        <w:tc>
          <w:tcPr>
            <w:tcW w:type="dxa" w:w="396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118" w:after="0"/>
              <w:ind w:left="0" w:right="0" w:firstLine="0"/>
              <w:jc w:val="left"/>
            </w:pPr>
            <w:r>
              <w:rPr>
                <w:w w:val="98.6323063190166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y </w:t>
            </w:r>
            <w:r>
              <w:rPr>
                <w:w w:val="98.6323063190166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56"/>
            <w:gridSpan w:val="2"/>
            <w:tcBorders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82" w:after="0"/>
              <w:ind w:left="0" w:right="0" w:firstLine="0"/>
              <w:jc w:val="center"/>
            </w:pPr>
            <w:r>
              <w:rPr>
                <w:w w:val="98.6323063190166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6323063190166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88"/>
            <w:tcBorders>
              <w:bottom w:sz="0.479999989271163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4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4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y </w:t>
            </w:r>
            <w:r>
              <w:rPr>
                <w:w w:val="98.6323063190166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/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  <w:tc>
          <w:tcPr>
            <w:tcW w:type="dxa" w:w="527"/>
            <w:vMerge/>
            <w:tcBorders>
              <w:top w:sz="0.47999998927116394" w:val="single" w:color="#000000"/>
              <w:bottom w:sz="0.47999998927116394" w:val="single" w:color="#000000"/>
            </w:tcBorders>
          </w:tcPr>
          <w:p/>
        </w:tc>
      </w:tr>
      <w:tr>
        <w:trPr>
          <w:trHeight w:hRule="exact" w:val="440"/>
        </w:trPr>
        <w:tc>
          <w:tcPr>
            <w:tcW w:type="dxa" w:w="527"/>
            <w:vMerge/>
            <w:tcBorders/>
          </w:tcPr>
          <w:p/>
        </w:tc>
        <w:tc>
          <w:tcPr>
            <w:tcW w:type="dxa" w:w="1581"/>
            <w:gridSpan w:val="3"/>
            <w:vMerge/>
            <w:tcBorders/>
          </w:tcPr>
          <w:p/>
        </w:tc>
        <w:tc>
          <w:tcPr>
            <w:tcW w:type="dxa" w:w="527"/>
            <w:vMerge/>
            <w:tcBorders/>
          </w:tcPr>
          <w:p/>
        </w:tc>
        <w:tc>
          <w:tcPr>
            <w:tcW w:type="dxa" w:w="156"/>
            <w:gridSpan w:val="2"/>
            <w:tcBorders>
              <w:top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h </w:t>
            </w:r>
            <w:r>
              <w:rPr>
                <w:w w:val="98.63230631901668"/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88"/>
            <w:tcBorders>
              <w:top w:sz="0.479999989271163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148" w:after="0"/>
              <w:ind w:left="0" w:right="0" w:firstLine="0"/>
              <w:jc w:val="center"/>
            </w:pPr>
            <w:r>
              <w:rPr>
                <w:w w:val="98.63230631901668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8.6323063190166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527"/>
            <w:vMerge/>
            <w:tcBorders/>
          </w:tcPr>
          <w:p/>
        </w:tc>
        <w:tc>
          <w:tcPr>
            <w:tcW w:type="dxa" w:w="328"/>
            <w:tcBorders>
              <w:top w:sz="0.4799999892711639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312"/>
            <w:gridSpan w:val="6"/>
            <w:tcBorders>
              <w:top w:sz="0.47999998927116394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32" w:after="0"/>
              <w:ind w:left="7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1380"/>
            <w:tcBorders>
              <w:top w:sz="0.47999998927116394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6" w:after="0"/>
              <w:ind w:left="0" w:right="72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(5) </w:t>
            </w:r>
          </w:p>
        </w:tc>
        <w:tc>
          <w:tcPr>
            <w:tcW w:type="dxa" w:w="300"/>
            <w:tcBorders>
              <w:top w:sz="0.47999998927116394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6" w:lineRule="exact" w:before="192" w:after="360"/>
        <w:ind w:left="3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In the above equations, the values of the unknowns </w:t>
      </w:r>
      <w:r>
        <w:rPr>
          <w:rFonts w:ascii="TimesNewRomanPS" w:hAnsi="TimesNewRomanPS" w:eastAsia="TimesNewRomanPS"/>
          <w:b w:val="0"/>
          <w:i/>
          <w:color w:val="2D2D2D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 , are calculated according to the expression: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30.0" w:type="dxa"/>
      </w:tblPr>
      <w:tblGrid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</w:tblGrid>
      <w:tr>
        <w:trPr>
          <w:trHeight w:hRule="exact" w:val="354"/>
        </w:trPr>
        <w:tc>
          <w:tcPr>
            <w:tcW w:type="dxa" w:w="5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8" w:after="0"/>
              <w:ind w:left="288" w:right="26" w:firstLine="0"/>
              <w:jc w:val="right"/>
            </w:pP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br/>
            </w:r>
            <w:r>
              <w:rPr>
                <w:w w:val="101.0263616388494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</w:t>
            </w:r>
            <w:r>
              <w:br/>
            </w: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7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0" w:after="0"/>
              <w:ind w:left="0" w:right="0" w:firstLine="0"/>
              <w:jc w:val="center"/>
            </w:pP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8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72" w:after="0"/>
              <w:ind w:left="0" w:right="0" w:firstLine="0"/>
              <w:jc w:val="center"/>
            </w:pP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2" w:after="0"/>
              <w:ind w:left="0" w:right="0" w:firstLine="0"/>
              <w:jc w:val="center"/>
            </w:pP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y</w:t>
            </w:r>
          </w:p>
        </w:tc>
        <w:tc>
          <w:tcPr>
            <w:tcW w:type="dxa" w:w="12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238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29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14" w:after="0"/>
              <w:ind w:left="0" w:right="0" w:firstLine="0"/>
              <w:jc w:val="center"/>
            </w:pP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2" w:after="0"/>
              <w:ind w:left="0" w:right="0" w:firstLine="0"/>
              <w:jc w:val="center"/>
            </w:pP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y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72" w:after="0"/>
              <w:ind w:left="0" w:right="0" w:firstLine="0"/>
              <w:jc w:val="center"/>
            </w:pP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3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0" w:after="0"/>
              <w:ind w:left="0" w:right="0" w:firstLine="0"/>
              <w:jc w:val="center"/>
            </w:pP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38" w:after="0"/>
              <w:ind w:left="30" w:right="84" w:firstLine="0"/>
              <w:jc w:val="both"/>
            </w:pP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br/>
            </w: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br/>
            </w: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14" w:after="0"/>
              <w:ind w:left="0" w:right="0" w:firstLine="0"/>
              <w:jc w:val="center"/>
            </w:pP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5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" w:val="left"/>
                <w:tab w:pos="492" w:val="left"/>
              </w:tabs>
              <w:autoSpaceDE w:val="0"/>
              <w:widowControl/>
              <w:spacing w:line="282" w:lineRule="exact" w:before="210" w:after="0"/>
              <w:ind w:left="108" w:right="0" w:firstLine="0"/>
              <w:jc w:val="left"/>
            </w:pP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h M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 xml:space="preserve">i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2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14" w:after="0"/>
              <w:ind w:left="0" w:right="0" w:firstLine="0"/>
              <w:jc w:val="center"/>
            </w:pP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42" w:after="0"/>
              <w:ind w:left="0" w:right="0" w:firstLine="0"/>
              <w:jc w:val="center"/>
            </w:pPr>
            <w:r>
              <w:rPr>
                <w:w w:val="101.02636163884944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11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h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14" w:after="0"/>
              <w:ind w:left="0" w:right="0" w:firstLine="0"/>
              <w:jc w:val="center"/>
            </w:pP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10" w:after="0"/>
              <w:ind w:left="0" w:right="0" w:firstLine="0"/>
              <w:jc w:val="center"/>
            </w:pP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h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3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8" w:lineRule="exact" w:before="14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6"/>
              </w:rPr>
              <w:t>�</w:t>
            </w: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M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312" w:lineRule="exact" w:before="4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  <w:r>
              <w:tab/>
            </w:r>
            <w:r>
              <w:rPr>
                <w:w w:val="101.02636163884944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10" w:after="0"/>
              <w:ind w:left="0" w:right="0" w:firstLine="0"/>
              <w:jc w:val="right"/>
            </w:pP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h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44" w:after="0"/>
              <w:ind w:left="0" w:right="0" w:firstLine="0"/>
              <w:jc w:val="center"/>
            </w:pP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>M</w:t>
            </w:r>
          </w:p>
        </w:tc>
        <w:tc>
          <w:tcPr>
            <w:tcW w:type="dxa" w:w="4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38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111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60" w:after="0"/>
              <w:ind w:left="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52" w:after="0"/>
              <w:ind w:left="0" w:right="214" w:firstLine="0"/>
              <w:jc w:val="righ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 (6) </w:t>
            </w:r>
          </w:p>
        </w:tc>
      </w:tr>
      <w:tr>
        <w:trPr>
          <w:trHeight w:hRule="exact" w:val="48"/>
        </w:trPr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7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2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0" w:right="0" w:firstLine="0"/>
              <w:jc w:val="right"/>
            </w:pP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h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1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w w:val="101.02636163884944"/>
                <w:rFonts w:ascii="TimesNewRomanPS" w:hAnsi="TimesNewRomanPS" w:eastAsia="TimesNewRomanPS"/>
                <w:b w:val="0"/>
                <w:i/>
                <w:color w:val="000000"/>
                <w:sz w:val="22"/>
              </w:rPr>
              <w:t xml:space="preserve">h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13"/>
              </w:rPr>
              <w:t>i</w:t>
            </w:r>
          </w:p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  <w:tc>
          <w:tcPr>
            <w:tcW w:type="dxa" w:w="327"/>
            <w:vMerge/>
            <w:tcBorders/>
          </w:tcPr>
          <w:p/>
        </w:tc>
      </w:tr>
    </w:tbl>
    <w:p>
      <w:pPr>
        <w:autoSpaceDN w:val="0"/>
        <w:tabs>
          <w:tab w:pos="314" w:val="left"/>
        </w:tabs>
        <w:autoSpaceDE w:val="0"/>
        <w:widowControl/>
        <w:spacing w:line="240" w:lineRule="exact" w:before="180" w:after="0"/>
        <w:ind w:left="76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Using the above expression the values of </w:t>
      </w:r>
      <w:r>
        <w:rPr>
          <w:rFonts w:ascii="TimesNewRomanPS" w:hAnsi="TimesNewRomanPS" w:eastAsia="TimesNewRomanPS"/>
          <w:b w:val="0"/>
          <w:i/>
          <w:color w:val="2D2D2D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 unknowns are determined, necessary for calculating the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coefficients of the polynomial representing the mathematical model to the treated set of points. </w:t>
      </w:r>
    </w:p>
    <w:p>
      <w:pPr>
        <w:autoSpaceDN w:val="0"/>
        <w:autoSpaceDE w:val="0"/>
        <w:widowControl/>
        <w:spacing w:line="228" w:lineRule="exact" w:before="252" w:after="0"/>
        <w:ind w:left="76" w:right="0" w:firstLine="0"/>
        <w:jc w:val="left"/>
      </w:pPr>
      <w:r>
        <w:rPr>
          <w:rFonts w:ascii="TimesNewRomanPS" w:hAnsi="TimesNewRomanPS" w:eastAsia="TimesNewRomanPS"/>
          <w:b/>
          <w:i w:val="0"/>
          <w:color w:val="2D2D2D"/>
          <w:sz w:val="20"/>
        </w:rPr>
        <w:t xml:space="preserve">3. Problem and hypothesis </w:t>
      </w:r>
    </w:p>
    <w:p>
      <w:pPr>
        <w:autoSpaceDN w:val="0"/>
        <w:autoSpaceDE w:val="0"/>
        <w:widowControl/>
        <w:spacing w:line="240" w:lineRule="exact" w:before="240" w:after="0"/>
        <w:ind w:left="76" w:right="5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problem that arises here is that have not been adequately exploited the benefits of distance education,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indeed, at the university where participants in this job, currently working, the support online or through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internet is not officially offers. As we intend to address the problem by providing resource options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learning numerical methods, particularly, this proposed topic, and using the Moodle platform. </w:t>
      </w:r>
    </w:p>
    <w:p>
      <w:pPr>
        <w:autoSpaceDN w:val="0"/>
        <w:tabs>
          <w:tab w:pos="314" w:val="left"/>
        </w:tabs>
        <w:autoSpaceDE w:val="0"/>
        <w:widowControl/>
        <w:spacing w:line="240" w:lineRule="exact" w:before="0" w:after="0"/>
        <w:ind w:left="76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It is hoped that through the proper use of computer support, available online through the Moodle platform,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students succeed in better school performance</w:t>
      </w:r>
    </w:p>
    <w:p>
      <w:pPr>
        <w:autoSpaceDN w:val="0"/>
        <w:autoSpaceDE w:val="0"/>
        <w:widowControl/>
        <w:spacing w:line="228" w:lineRule="exact" w:before="252" w:after="0"/>
        <w:ind w:left="7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4. Methodological framework </w:t>
      </w:r>
    </w:p>
    <w:p>
      <w:pPr>
        <w:autoSpaceDN w:val="0"/>
        <w:autoSpaceDE w:val="0"/>
        <w:widowControl/>
        <w:spacing w:line="224" w:lineRule="exact" w:before="256" w:after="0"/>
        <w:ind w:left="7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4.1. Learning schools </w:t>
      </w:r>
    </w:p>
    <w:p>
      <w:pPr>
        <w:autoSpaceDN w:val="0"/>
        <w:autoSpaceDE w:val="0"/>
        <w:widowControl/>
        <w:spacing w:line="240" w:lineRule="exact" w:before="240" w:after="0"/>
        <w:ind w:left="76" w:right="5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In general there are three or four schools of learning, in the design of educational material; these schools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are: Behaviorism, Cognitivist, Socio-Constructivist and Humanist. Behaviorism strategies allow teach the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facts and are used in the implementation of the course to show the formulations, algorithms or mathematical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expressions of the method discussed, in this case the natural spline method. Cognitivist strategies will be used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to teach the processes or procedures to be followed in the development and application of numerical method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Included in this work. Constructivist strategies aim to develop a high level of thinking. </w:t>
      </w:r>
    </w:p>
    <w:p>
      <w:pPr>
        <w:sectPr>
          <w:pgSz w:w="10885" w:h="14854"/>
          <w:pgMar w:top="368" w:right="532" w:bottom="1440" w:left="870" w:header="720" w:footer="720" w:gutter="0"/>
          <w:cols w:space="720" w:num="1" w:equalWidth="0">
            <w:col w:w="9484" w:space="0"/>
            <w:col w:w="944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97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Rogelio Ramos Carranza et al.  /  AASRI Procedia  8 ( 2014 )  57 – 62 </w:t>
      </w:r>
    </w:p>
    <w:p>
      <w:pPr>
        <w:autoSpaceDN w:val="0"/>
        <w:autoSpaceDE w:val="0"/>
        <w:widowControl/>
        <w:spacing w:line="224" w:lineRule="exact" w:before="412" w:after="0"/>
        <w:ind w:left="33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4.2. Preparation, activities, interaction and student transfer </w:t>
      </w:r>
    </w:p>
    <w:p>
      <w:pPr>
        <w:autoSpaceDN w:val="0"/>
        <w:autoSpaceDE w:val="0"/>
        <w:widowControl/>
        <w:spacing w:line="230" w:lineRule="exact" w:before="242" w:after="0"/>
        <w:ind w:left="338" w:right="25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variety of pre-learning activities can be used to prepare the student for the lesson details, as well as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inform the student of the importance of taking their lessons online and show you how you can benefit from it.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is also a variety of learning activities that can be offered to the student to achieve the expected learning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outcomes. Students need to interact with the interface to access the materials available online. The student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interacts with the content to acquire the information needed to form the knowledge base. Students interact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each other and with the teacher. It should provide opportunities for students to transfer what they learn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real life applications. </w:t>
      </w:r>
    </w:p>
    <w:p>
      <w:pPr>
        <w:autoSpaceDN w:val="0"/>
        <w:autoSpaceDE w:val="0"/>
        <w:widowControl/>
        <w:spacing w:line="224" w:lineRule="exact" w:before="254" w:after="0"/>
        <w:ind w:left="338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4.3. Learning attributes </w:t>
      </w:r>
    </w:p>
    <w:p>
      <w:pPr>
        <w:autoSpaceDN w:val="0"/>
        <w:tabs>
          <w:tab w:pos="576" w:val="left"/>
        </w:tabs>
        <w:autoSpaceDE w:val="0"/>
        <w:widowControl/>
        <w:spacing w:line="240" w:lineRule="exact" w:before="240" w:after="0"/>
        <w:ind w:left="338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Online learning can be considered as a special case of general learning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 online learning is so centered on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the student as knowledge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assessment,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and community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76" w:val="left"/>
        </w:tabs>
        <w:autoSpaceDE w:val="0"/>
        <w:widowControl/>
        <w:spacing w:line="240" w:lineRule="exact" w:before="0" w:after="0"/>
        <w:ind w:left="338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4.3.1. Online learning learner Centered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The learning environment respects and adapts to the particular attributes of culture, especially the language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and particular forms of expression that students use to interpret and construct knowledge. Learning activities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focused on the student make extensive use of diagnostic tools and activities that cause the pre-existing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cognitive structures are evident (or visible) to the teacher and the student. </w:t>
      </w:r>
    </w:p>
    <w:p>
      <w:pPr>
        <w:autoSpaceDN w:val="0"/>
        <w:tabs>
          <w:tab w:pos="576" w:val="left"/>
        </w:tabs>
        <w:autoSpaceDE w:val="0"/>
        <w:widowControl/>
        <w:spacing w:line="240" w:lineRule="exact" w:before="0" w:after="0"/>
        <w:ind w:left="338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4.3.2. Online learning knowledge Centered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Effective learning is therefore defined as limited by the epistemology, language and the context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discipline of thought. Each discipline or field of study contains a view of the world that normally provides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only ways to understand and talk about knowledge. </w:t>
      </w:r>
    </w:p>
    <w:p>
      <w:pPr>
        <w:autoSpaceDN w:val="0"/>
        <w:tabs>
          <w:tab w:pos="576" w:val="left"/>
        </w:tabs>
        <w:autoSpaceDE w:val="0"/>
        <w:widowControl/>
        <w:spacing w:line="240" w:lineRule="exact" w:before="0" w:after="0"/>
        <w:ind w:left="338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Online learning assessment Centered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strategies are designed to provide formative assessment and summative evaluation with minimal direct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impact on the workload of the teacher is urgently needed. There is a growing list of tools provided such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assessments without increasing teacher participation. </w:t>
      </w:r>
    </w:p>
    <w:p>
      <w:pPr>
        <w:autoSpaceDN w:val="0"/>
        <w:tabs>
          <w:tab w:pos="576" w:val="left"/>
        </w:tabs>
        <w:autoSpaceDE w:val="0"/>
        <w:widowControl/>
        <w:spacing w:line="240" w:lineRule="exact" w:before="0" w:after="0"/>
        <w:ind w:left="338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Online learning community Centered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The participants in learning communities are defined as those who have shared sense of belonging, honesty,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learning expectations, and commitment to participate and contribute to the community. </w:t>
      </w:r>
    </w:p>
    <w:p>
      <w:pPr>
        <w:autoSpaceDN w:val="0"/>
        <w:tabs>
          <w:tab w:pos="576" w:val="left"/>
        </w:tabs>
        <w:autoSpaceDE w:val="0"/>
        <w:widowControl/>
        <w:spacing w:line="240" w:lineRule="exact" w:before="0" w:after="0"/>
        <w:ind w:left="338" w:right="144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4.3.3. A model of online learning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 acceptable definition about the concept of interaction is understood as reciprocal events that require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least two objects and two actions and this happens when these objects and events are mutually influenced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each other.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Interaction serves as a wide variety of functions in the educational transaction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 These functions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allow control students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facilitating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adaptation based on student input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allowing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various forms of participation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and communication and acting as a significant learning support program. Interaction is the component that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defines the educational process and occurs when the student transforms the inert information passed from one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student to another and builds on knowledge value and personal application [4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]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Interactivity is a criterion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selection of media for educational delivery. The interaction is fundamental to the creation of learning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communities. </w:t>
      </w:r>
    </w:p>
    <w:p>
      <w:pPr>
        <w:autoSpaceDN w:val="0"/>
        <w:autoSpaceDE w:val="0"/>
        <w:widowControl/>
        <w:spacing w:line="240" w:lineRule="exact" w:before="0" w:after="0"/>
        <w:ind w:left="338" w:right="2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Interaction is a key component in constructivist learning theories [5] and induces the attention of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[6]. All forms of education are defined (including the supplied remote) as essentially interactions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content, Students and Teachers [7]. </w:t>
      </w:r>
    </w:p>
    <w:p>
      <w:pPr>
        <w:sectPr>
          <w:pgSz w:w="10885" w:h="14854"/>
          <w:pgMar w:top="368" w:right="742" w:bottom="1440" w:left="652" w:header="720" w:footer="720" w:gutter="0"/>
          <w:cols w:space="720" w:num="1" w:equalWidth="0">
            <w:col w:w="9492" w:space="0"/>
            <w:col w:w="9484" w:space="0"/>
            <w:col w:w="944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30" w:val="left"/>
        </w:tabs>
        <w:autoSpaceDE w:val="0"/>
        <w:widowControl/>
        <w:spacing w:line="176" w:lineRule="exact" w:before="0" w:after="0"/>
        <w:ind w:left="238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Rogelio Ramos Carranza et al.  /  AASRI Procedia  8 ( 2014 )  57 – 62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61</w:t>
      </w:r>
    </w:p>
    <w:p>
      <w:pPr>
        <w:autoSpaceDN w:val="0"/>
        <w:autoSpaceDE w:val="0"/>
        <w:widowControl/>
        <w:spacing w:line="240" w:lineRule="exact" w:before="350" w:after="0"/>
        <w:ind w:left="74" w:right="1152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4.4. theoretical framework of  how the people learn, affordances of Web today and the semantic Web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affordances experimentation </w:t>
      </w:r>
    </w:p>
    <w:p>
      <w:pPr>
        <w:autoSpaceDN w:val="0"/>
        <w:tabs>
          <w:tab w:pos="312" w:val="left"/>
        </w:tabs>
        <w:autoSpaceDE w:val="0"/>
        <w:widowControl/>
        <w:spacing w:line="240" w:lineRule="exact" w:before="240" w:after="0"/>
        <w:ind w:left="74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is possible to direct the potential of technologies to prepare the environment so that the most appropriate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 for each of the ways in which people learn. </w:t>
      </w:r>
    </w:p>
    <w:p>
      <w:pPr>
        <w:autoSpaceDN w:val="0"/>
        <w:autoSpaceDE w:val="0"/>
        <w:widowControl/>
        <w:spacing w:line="240" w:lineRule="exact" w:before="0" w:after="0"/>
        <w:ind w:left="74" w:right="4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current development of the Internet is entering an era in which the Web is changing from a medium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content delivery to one in which the content is provided with semantic meaning [3]. Semantic Web term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understood as the new ability to interpret the contents not only by humans but also by computers, because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these files are written in formal languages ( readable both by humans and computers) , which enables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are searched and updated by computer programs, commonly known as autonomous agents contained . </w:t>
      </w:r>
    </w:p>
    <w:p>
      <w:pPr>
        <w:autoSpaceDN w:val="0"/>
        <w:autoSpaceDE w:val="0"/>
        <w:widowControl/>
        <w:spacing w:line="240" w:lineRule="exact" w:before="0" w:after="0"/>
        <w:ind w:left="74" w:right="45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If reference to one of the ways of learning, learner-centered, the possibilities of the Web lies in the ability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support learning activities focused on community and individual. The possibilities of the Semantic Web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form of learning are such that the content changes in response patterns of group and individual learning. </w:t>
      </w:r>
    </w:p>
    <w:p>
      <w:pPr>
        <w:autoSpaceDN w:val="0"/>
        <w:autoSpaceDE w:val="0"/>
        <w:widowControl/>
        <w:spacing w:line="240" w:lineRule="exact" w:before="0" w:after="0"/>
        <w:ind w:left="74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the way of learning is focused on knowledge, the possibilities of the Web allow direct access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many libraries of content and learning activities organized from the perspective of a variety of disciplines. </w:t>
      </w:r>
    </w:p>
    <w:p>
      <w:pPr>
        <w:autoSpaceDN w:val="0"/>
        <w:autoSpaceDE w:val="0"/>
        <w:widowControl/>
        <w:spacing w:line="226" w:lineRule="exact" w:before="16" w:after="0"/>
        <w:ind w:left="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While the Semantic Web allows the use of agents for selection, customization, and reuse of content . </w:t>
      </w:r>
    </w:p>
    <w:p>
      <w:pPr>
        <w:autoSpaceDN w:val="0"/>
        <w:autoSpaceDE w:val="0"/>
        <w:widowControl/>
        <w:spacing w:line="240" w:lineRule="exact" w:before="0" w:after="0"/>
        <w:ind w:left="74" w:right="45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When the form of learning is focused on the community, the Web enables both synchronous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asynchronous interactions, collaborative and individual in various formats. In this form of learning, semantic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Web makes possible the use of agents for the Interaction of translation, reformatting, change of time,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monitoring, and common summarization. </w:t>
      </w:r>
    </w:p>
    <w:p>
      <w:pPr>
        <w:autoSpaceDN w:val="0"/>
        <w:autoSpaceDE w:val="0"/>
        <w:widowControl/>
        <w:spacing w:line="240" w:lineRule="exact" w:before="0" w:after="0"/>
        <w:ind w:left="74" w:right="4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case of learning focused on assessing the possibilities of the web are such that allow use of the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place to change multiple options auto formative and summative evaluation of both peers and teachers.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possibilities of the Semantic Web for this case, allow the existence of agents for assessment, provision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review of "just in time feedback." </w:t>
      </w:r>
    </w:p>
    <w:p>
      <w:pPr>
        <w:autoSpaceDN w:val="0"/>
        <w:autoSpaceDE w:val="0"/>
        <w:widowControl/>
        <w:spacing w:line="228" w:lineRule="exact" w:before="252" w:after="0"/>
        <w:ind w:left="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5. Experimentation</w:t>
      </w:r>
    </w:p>
    <w:p>
      <w:pPr>
        <w:autoSpaceDN w:val="0"/>
        <w:autoSpaceDE w:val="0"/>
        <w:widowControl/>
        <w:spacing w:line="240" w:lineRule="exact" w:before="240" w:after="0"/>
        <w:ind w:left="74" w:right="4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online material designed will be implemented, with students studying Multimedia Engineering,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offered to students in the University Center of the Coast, located in the town of Puerto Vallarta, Jalisco,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belonging to the University of Guadalajara. </w:t>
      </w:r>
    </w:p>
    <w:p>
      <w:pPr>
        <w:autoSpaceDN w:val="0"/>
        <w:autoSpaceDE w:val="0"/>
        <w:widowControl/>
        <w:spacing w:line="240" w:lineRule="exact" w:before="0" w:after="0"/>
        <w:ind w:left="74" w:right="45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will use one of the most basic experiments designed, corresponding to the t - independent test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simple comparison, two groups, experimental and control, and performing two prior to the application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treatment and post-treatment tests received. </w:t>
      </w:r>
    </w:p>
    <w:p>
      <w:pPr>
        <w:autoSpaceDN w:val="0"/>
        <w:autoSpaceDE w:val="0"/>
        <w:widowControl/>
        <w:spacing w:line="240" w:lineRule="exact" w:before="0" w:after="0"/>
        <w:ind w:left="74" w:right="4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control group will receive instruction in the traditional way, i.e., face to face and without the use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equipment designed for an online course. The experimental group will receive instruction completely online.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Once applied the tests are evaluated and calculate means and variances for the data for each group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provided; which determines whether or not there are significant differences, in the mean or calculated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averages. </w:t>
      </w:r>
    </w:p>
    <w:p>
      <w:pPr>
        <w:autoSpaceDN w:val="0"/>
        <w:tabs>
          <w:tab w:pos="312" w:val="left"/>
        </w:tabs>
        <w:autoSpaceDE w:val="0"/>
        <w:widowControl/>
        <w:spacing w:line="240" w:lineRule="exact" w:before="2" w:after="0"/>
        <w:ind w:left="74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simple analysis will tell whether the course designed covers at least one of the objectives, which is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improve student achievement. </w:t>
      </w:r>
    </w:p>
    <w:p>
      <w:pPr>
        <w:autoSpaceDN w:val="0"/>
        <w:autoSpaceDE w:val="0"/>
        <w:widowControl/>
        <w:spacing w:line="230" w:lineRule="exact" w:before="250" w:after="0"/>
        <w:ind w:left="7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6. Expected results </w:t>
      </w:r>
    </w:p>
    <w:p>
      <w:pPr>
        <w:autoSpaceDN w:val="0"/>
        <w:tabs>
          <w:tab w:pos="312" w:val="left"/>
        </w:tabs>
        <w:autoSpaceDE w:val="0"/>
        <w:widowControl/>
        <w:spacing w:line="242" w:lineRule="exact" w:before="236" w:after="0"/>
        <w:ind w:left="74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challenge is to construct a learning environment that is simultaneously centered on learning, centered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content, community centered and centered or focused on the evaluation. </w:t>
      </w:r>
    </w:p>
    <w:p>
      <w:pPr>
        <w:sectPr>
          <w:pgSz w:w="10885" w:h="14854"/>
          <w:pgMar w:top="368" w:right="532" w:bottom="1378" w:left="928" w:header="720" w:footer="720" w:gutter="0"/>
          <w:cols w:space="720" w:num="1" w:equalWidth="0">
            <w:col w:w="9426" w:space="0"/>
            <w:col w:w="9492" w:space="0"/>
            <w:col w:w="9484" w:space="0"/>
            <w:col w:w="944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97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Rogelio Ramos Carranza et al.  /  AASRI Procedia  8 ( 2014 )  57 – 62 </w:t>
      </w:r>
    </w:p>
    <w:p>
      <w:pPr>
        <w:autoSpaceDN w:val="0"/>
        <w:tabs>
          <w:tab w:pos="544" w:val="left"/>
        </w:tabs>
        <w:autoSpaceDE w:val="0"/>
        <w:widowControl/>
        <w:spacing w:line="240" w:lineRule="exact" w:before="326" w:after="0"/>
        <w:ind w:left="30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Most teachers have to learn to develop their own tools, so that they can meet the needs of students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curriculum, developing a series of online learning activities that are adaptable to various needs of students.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can expect of online learning, as all forms of quality learning will be Centered on Knowledge,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Assessment, Student and Community. </w:t>
      </w:r>
    </w:p>
    <w:p>
      <w:pPr>
        <w:autoSpaceDN w:val="0"/>
        <w:autoSpaceDE w:val="0"/>
        <w:widowControl/>
        <w:spacing w:line="226" w:lineRule="exact" w:before="14" w:after="6"/>
        <w:ind w:left="5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task of the designer and teacher of online courses is to select, adapt and improve (through reflection,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  <w:gridCol w:w="784"/>
      </w:tblGrid>
      <w:tr>
        <w:trPr>
          <w:trHeight w:hRule="exact" w:val="2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1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feedback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evaluation)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educational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activities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maximize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potential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Web. </w:t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30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creation of a model is usually the first step toward developing a theory. The model illustrates most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key variables that interact to create contexts and educational experiences online. </w:t>
      </w:r>
    </w:p>
    <w:p>
      <w:pPr>
        <w:autoSpaceDN w:val="0"/>
        <w:autoSpaceDE w:val="0"/>
        <w:widowControl/>
        <w:spacing w:line="240" w:lineRule="exact" w:before="0" w:after="0"/>
        <w:ind w:left="306" w:right="20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next step theorizes and takes measurements of the direction and magnitude of effect of each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variables, resulting in important variables, including learning, cost, completion and satisfaction.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models presented in this document does not represent a theory of online learning , but they are expected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help deepen our understanding of this complex educational context and lead us to the hypothesis 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predictions and major improvements in our practice . </w:t>
      </w:r>
    </w:p>
    <w:p>
      <w:pPr>
        <w:autoSpaceDN w:val="0"/>
        <w:autoSpaceDE w:val="0"/>
        <w:widowControl/>
        <w:spacing w:line="228" w:lineRule="exact" w:before="476" w:after="0"/>
        <w:ind w:left="3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tabs>
          <w:tab w:pos="544" w:val="left"/>
        </w:tabs>
        <w:autoSpaceDE w:val="0"/>
        <w:widowControl/>
        <w:spacing w:line="240" w:lineRule="exact" w:before="236" w:after="0"/>
        <w:ind w:left="30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acknowledge for the support to the project PAPIME: PE100112 by UNAM (by their letters in Spanish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Universidad Nacional Autónoma de México). </w:t>
      </w:r>
    </w:p>
    <w:p>
      <w:pPr>
        <w:autoSpaceDN w:val="0"/>
        <w:autoSpaceDE w:val="0"/>
        <w:widowControl/>
        <w:spacing w:line="228" w:lineRule="exact" w:before="478" w:after="0"/>
        <w:ind w:left="30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236" w:after="0"/>
        <w:ind w:left="30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>[1]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 Anderson, T. et al.</w:t>
      </w: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 xml:space="preserve"> Theory and Practice of Online Learning. Canada: Athabasca University; 2004 </w:t>
      </w: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>[2]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 Ramos, R., Aguilar, A. Métodos Numéricos I: Interpolación, Derivación e Integración Numéricas. </w:t>
      </w:r>
    </w:p>
    <w:p>
      <w:pPr>
        <w:autoSpaceDN w:val="0"/>
        <w:autoSpaceDE w:val="0"/>
        <w:widowControl/>
        <w:spacing w:line="230" w:lineRule="exact" w:before="0" w:after="0"/>
        <w:ind w:left="306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México: Facultad de Estudios Superiores Cuautitlán, Universidad Nacional Autónoma de México. 2013 </w:t>
      </w: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>[3]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 Berners-Lee, T. Weaving the Web: The original design and ultimate destiny of the World Wide Web by </w:t>
      </w:r>
      <w:r>
        <w:rPr>
          <w:rFonts w:ascii="TimesNewRomanPSMT" w:hAnsi="TimesNewRomanPSMT" w:eastAsia="TimesNewRomanPSMT"/>
          <w:b w:val="0"/>
          <w:i w:val="0"/>
          <w:color w:val="2D2D2D"/>
          <w:sz w:val="20"/>
        </w:rPr>
        <w:t xml:space="preserve">its inventor: San Francisco: Harper. 1999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 xml:space="preserve">[4] Dewey, J. </w:t>
      </w:r>
      <w:r>
        <w:rPr>
          <w:rFonts w:ascii="TimesNewRomanPS" w:hAnsi="TimesNewRomanPS" w:eastAsia="TimesNewRomanPS"/>
          <w:b w:val="0"/>
          <w:i/>
          <w:color w:val="292425"/>
          <w:sz w:val="20"/>
        </w:rPr>
        <w:t>Democracy and education</w:t>
      </w: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 xml:space="preserve">. New York: Macmillan. Retrieved June 6, 2003, from Institute for </w:t>
      </w: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 xml:space="preserve">Learning Technologies Web site: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http://www.ilt.columbia.edu/publications/dewey.html</w:t>
      </w: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 xml:space="preserve">. 1916. </w:t>
      </w:r>
    </w:p>
    <w:p>
      <w:pPr>
        <w:autoSpaceDN w:val="0"/>
        <w:autoSpaceDE w:val="0"/>
        <w:widowControl/>
        <w:spacing w:line="230" w:lineRule="exact" w:before="0" w:after="0"/>
        <w:ind w:left="306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 xml:space="preserve">[5] Jonassen, D. Evaluating constructivistic learning. </w:t>
      </w:r>
      <w:r>
        <w:rPr>
          <w:rFonts w:ascii="TimesNewRomanPS" w:hAnsi="TimesNewRomanPS" w:eastAsia="TimesNewRomanPS"/>
          <w:b w:val="0"/>
          <w:i/>
          <w:color w:val="292425"/>
          <w:sz w:val="20"/>
        </w:rPr>
        <w:t>Education Technology</w:t>
      </w: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 xml:space="preserve">, 31(10), 28-33. 1991. </w:t>
      </w: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 xml:space="preserve">[6] Langer, E. </w:t>
      </w:r>
      <w:r>
        <w:rPr>
          <w:rFonts w:ascii="TimesNewRomanPS" w:hAnsi="TimesNewRomanPS" w:eastAsia="TimesNewRomanPS"/>
          <w:b w:val="0"/>
          <w:i/>
          <w:color w:val="292425"/>
          <w:sz w:val="20"/>
        </w:rPr>
        <w:t xml:space="preserve">Mindfulness. </w:t>
      </w: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 xml:space="preserve">Reading, MA: Addison-Wesley. 1989. </w:t>
      </w:r>
    </w:p>
    <w:p>
      <w:pPr>
        <w:autoSpaceDN w:val="0"/>
        <w:autoSpaceDE w:val="0"/>
        <w:widowControl/>
        <w:spacing w:line="230" w:lineRule="exact" w:before="0" w:after="0"/>
        <w:ind w:left="306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 xml:space="preserve">[7] Garrison, D. R. &amp; Shale, D. A new framework and perspective. In D. R. Garrison &amp; D. Shale (Eds.), </w:t>
      </w:r>
      <w:r>
        <w:rPr>
          <w:rFonts w:ascii="TimesNewRomanPS" w:hAnsi="TimesNewRomanPS" w:eastAsia="TimesNewRomanPS"/>
          <w:b w:val="0"/>
          <w:i/>
          <w:color w:val="292425"/>
          <w:sz w:val="20"/>
        </w:rPr>
        <w:t>Education at a distance: From issues to practice</w:t>
      </w:r>
      <w:r>
        <w:rPr>
          <w:rFonts w:ascii="TimesNewRomanPSMT" w:hAnsi="TimesNewRomanPSMT" w:eastAsia="TimesNewRomanPSMT"/>
          <w:b w:val="0"/>
          <w:i w:val="0"/>
          <w:color w:val="292425"/>
          <w:sz w:val="20"/>
        </w:rPr>
        <w:t xml:space="preserve"> (pp. 123-133). Malabar, FL: Robert E. Krieger. 1990. </w:t>
      </w:r>
    </w:p>
    <w:sectPr w:rsidR="00FC693F" w:rsidRPr="0006063C" w:rsidSect="00034616">
      <w:pgSz w:w="10885" w:h="14854"/>
      <w:pgMar w:top="368" w:right="824" w:bottom="1440" w:left="652" w:header="720" w:footer="720" w:gutter="0"/>
      <w:cols w:space="720" w:num="1" w:equalWidth="0">
        <w:col w:w="9410" w:space="0"/>
        <w:col w:w="9426" w:space="0"/>
        <w:col w:w="9492" w:space="0"/>
        <w:col w:w="9484" w:space="0"/>
        <w:col w:w="9444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