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49"/>
        <w:gridCol w:w="3249"/>
        <w:gridCol w:w="3249"/>
      </w:tblGrid>
      <w:tr>
        <w:trPr>
          <w:trHeight w:hRule="exact" w:val="26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6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4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49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313 – 318 </w:t>
            </w:r>
          </w:p>
        </w:tc>
        <w:tc>
          <w:tcPr>
            <w:tcW w:type="dxa" w:w="324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956" w:after="0"/>
        <w:ind w:left="16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 xml:space="preserve">2012 AASRI Conference on Modelling, Identification and Control </w:t>
      </w:r>
    </w:p>
    <w:p>
      <w:pPr>
        <w:autoSpaceDN w:val="0"/>
        <w:tabs>
          <w:tab w:pos="4346" w:val="left"/>
        </w:tabs>
        <w:autoSpaceDE w:val="0"/>
        <w:widowControl/>
        <w:spacing w:line="245" w:lineRule="auto" w:before="264" w:after="0"/>
        <w:ind w:left="918" w:right="72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34"/>
        </w:rPr>
        <w:t xml:space="preserve">Numerical Simulation on the Flow State of Dross Layer in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34"/>
        </w:rPr>
        <w:t>Tundish</w:t>
      </w:r>
      <w:r>
        <w:rPr>
          <w:rFonts w:ascii="ËÎÌå" w:hAnsi="ËÎÌå" w:eastAsia="ËÎÌå"/>
          <w:b w:val="0"/>
          <w:i w:val="0"/>
          <w:color w:val="221F1F"/>
          <w:sz w:val="34"/>
        </w:rPr>
        <w:t>�</w:t>
      </w:r>
    </w:p>
    <w:p>
      <w:pPr>
        <w:autoSpaceDN w:val="0"/>
        <w:autoSpaceDE w:val="0"/>
        <w:widowControl/>
        <w:spacing w:line="187" w:lineRule="auto" w:before="172" w:after="0"/>
        <w:ind w:left="0" w:right="253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6"/>
        </w:rPr>
        <w:t>LI Chaoxiang</w:t>
      </w:r>
      <w:r>
        <w:rPr>
          <w:rFonts w:ascii="TimesNewRoman" w:hAnsi="TimesNewRoman" w:eastAsia="TimesNewRoman"/>
          <w:b w:val="0"/>
          <w:i w:val="0"/>
          <w:color w:val="221F1F"/>
          <w:sz w:val="17"/>
        </w:rPr>
        <w:t>*</w:t>
      </w:r>
      <w:r>
        <w:rPr>
          <w:rFonts w:ascii="TimesNewRoman" w:hAnsi="TimesNewRoman" w:eastAsia="TimesNewRoman"/>
          <w:b w:val="0"/>
          <w:i w:val="0"/>
          <w:color w:val="221F1F"/>
          <w:sz w:val="26"/>
        </w:rPr>
        <w:t>, LIU Biao, ZHU Shengyu</w:t>
      </w:r>
      <w:r>
        <w:rPr>
          <w:rFonts w:ascii="ËÎÌå" w:hAnsi="ËÎÌå" w:eastAsia="ËÎÌå"/>
          <w:b w:val="0"/>
          <w:i w:val="0"/>
          <w:color w:val="221F1F"/>
          <w:sz w:val="36"/>
        </w:rPr>
        <w:t>�</w:t>
      </w:r>
    </w:p>
    <w:p>
      <w:pPr>
        <w:autoSpaceDN w:val="0"/>
        <w:autoSpaceDE w:val="0"/>
        <w:widowControl/>
        <w:spacing w:line="230" w:lineRule="auto" w:before="174" w:after="0"/>
        <w:ind w:left="177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School of Metallurgy and Resources, Anhui University of Technology, Ma'anshan 243002, China </w:t>
      </w:r>
    </w:p>
    <w:p>
      <w:pPr>
        <w:autoSpaceDN w:val="0"/>
        <w:autoSpaceDE w:val="0"/>
        <w:widowControl/>
        <w:spacing w:line="233" w:lineRule="auto" w:before="950" w:after="0"/>
        <w:ind w:left="47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52" w:lineRule="auto" w:before="242" w:after="0"/>
        <w:ind w:left="472" w:right="382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 In tundish, the flow state of top dross layer not only influences the oxidation of the molten steel, but also is directly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related to the floating and adsorption of inclusions, and is concerned with the entrainment of steel to micro-inclusions. In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this study, with the VOF method, the charging and normal casting processes are numerical simulated, two structural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models of tundish being created. The results demonstrate that the flow control has significant effect on the stability of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dross layer and the probability of dross entrainment. The improved structural model can effectively stabilize the dross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layer and reduce the risk of entrainment. It plays an important role on the removal of inclusions, and enhances the </w:t>
      </w:r>
      <w:r>
        <w:rPr>
          <w:rFonts w:ascii="TimesNewRoman" w:hAnsi="TimesNewRoman" w:eastAsia="TimesNewRoman"/>
          <w:b w:val="0"/>
          <w:i w:val="0"/>
          <w:color w:val="221F1F"/>
          <w:sz w:val="18"/>
        </w:rPr>
        <w:t xml:space="preserve">cleanliness of molten steel. </w:t>
      </w:r>
    </w:p>
    <w:p>
      <w:pPr>
        <w:autoSpaceDN w:val="0"/>
        <w:autoSpaceDE w:val="0"/>
        <w:widowControl/>
        <w:spacing w:line="230" w:lineRule="exact" w:before="228" w:after="0"/>
        <w:ind w:left="472" w:right="72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© 2012 Published by Elsevier B.V.Selection and/or peer rev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hyperlink r:id="rId12" w:history="1">
          <w:r>
            <w:rPr>
              <w:rStyle w:val="Hyperlink"/>
            </w:rPr>
            <w:t>iew under responsib</w:t>
          </w:r>
        </w:hyperlink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ility of American Applied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Science Research Institute </w:t>
      </w:r>
      <w:r>
        <w:rPr>
          <w:rFonts w:ascii="Times" w:hAnsi="Times" w:eastAsia="Times"/>
          <w:b w:val="0"/>
          <w:i w:val="0"/>
          <w:color w:val="221F1F"/>
          <w:sz w:val="18"/>
        </w:rPr>
        <w:t>Selection and/or peer review under responsibility of American Applied Science Research Institute</w:t>
      </w:r>
    </w:p>
    <w:p>
      <w:pPr>
        <w:autoSpaceDN w:val="0"/>
        <w:autoSpaceDE w:val="0"/>
        <w:widowControl/>
        <w:spacing w:line="230" w:lineRule="auto" w:before="258" w:after="0"/>
        <w:ind w:left="47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Keywords: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tundish, protecting dross, flow state, inclusion, numerical simulation </w:t>
      </w:r>
    </w:p>
    <w:p>
      <w:pPr>
        <w:autoSpaceDN w:val="0"/>
        <w:autoSpaceDE w:val="0"/>
        <w:widowControl/>
        <w:spacing w:line="247" w:lineRule="auto" w:before="426" w:after="0"/>
        <w:ind w:left="472" w:right="38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recent years, on many steel sheets surface, some inclusions are detected, whose composition is the same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as the protecting dross in tundish [1]. Some researches [2] have also shown that 60% surface defects in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ultra-low carbon steel are caused by the protecting dross entrainment. It is visible that the slab defects are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greatly due to the entrainment. Therefore, in order to improve the purity of steel and optimize the floating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process of inclusion, it is necessary to clear about the flow states of molten steel and protecting dross in </w:t>
      </w:r>
    </w:p>
    <w:p>
      <w:pPr>
        <w:autoSpaceDN w:val="0"/>
        <w:autoSpaceDE w:val="0"/>
        <w:widowControl/>
        <w:spacing w:line="245" w:lineRule="auto" w:before="668" w:after="0"/>
        <w:ind w:left="472" w:right="3312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0"/>
        </w:rPr>
        <w:t>*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 * Corresponding author: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Prof. Dr. Chaoxiang LI. Tel.: 13955583866; fax: 0555-2311571 .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E-mail address:</w:t>
      </w:r>
      <w:r>
        <w:rPr>
          <w:rFonts w:ascii="ËÎÌå" w:hAnsi="ËÎÌå" w:eastAsia="ËÎÌå"/>
          <w:b w:val="0"/>
          <w:i w:val="0"/>
          <w:color w:val="221F1F"/>
          <w:sz w:val="16"/>
        </w:rPr>
        <w:t>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. </w:t>
      </w:r>
    </w:p>
    <w:p>
      <w:pPr>
        <w:autoSpaceDN w:val="0"/>
        <w:autoSpaceDE w:val="0"/>
        <w:widowControl/>
        <w:spacing w:line="200" w:lineRule="exact" w:before="1670" w:after="0"/>
        <w:ind w:left="20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2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10.1016/j.aasri.2012.11.050 </w:t>
      </w:r>
    </w:p>
    <w:p>
      <w:pPr>
        <w:sectPr>
          <w:pgSz w:w="10885" w:h="14854"/>
          <w:pgMar w:top="438" w:right="534" w:bottom="218" w:left="604" w:header="720" w:footer="720" w:gutter="0"/>
          <w:cols w:space="720" w:num="1" w:equalWidth="0"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2273300</wp:posOffset>
            </wp:positionH>
            <wp:positionV relativeFrom="page">
              <wp:posOffset>4724400</wp:posOffset>
            </wp:positionV>
            <wp:extent cx="2400300" cy="3683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68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4127500</wp:posOffset>
            </wp:positionH>
            <wp:positionV relativeFrom="page">
              <wp:posOffset>5384800</wp:posOffset>
            </wp:positionV>
            <wp:extent cx="457200" cy="1905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2997200</wp:posOffset>
            </wp:positionH>
            <wp:positionV relativeFrom="page">
              <wp:posOffset>5384800</wp:posOffset>
            </wp:positionV>
            <wp:extent cx="495300" cy="1905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2273300</wp:posOffset>
            </wp:positionH>
            <wp:positionV relativeFrom="page">
              <wp:posOffset>5295900</wp:posOffset>
            </wp:positionV>
            <wp:extent cx="508000" cy="3556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355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1358900</wp:posOffset>
            </wp:positionH>
            <wp:positionV relativeFrom="page">
              <wp:posOffset>5702300</wp:posOffset>
            </wp:positionV>
            <wp:extent cx="2832100" cy="5969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596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4330700</wp:posOffset>
            </wp:positionH>
            <wp:positionV relativeFrom="page">
              <wp:posOffset>6921500</wp:posOffset>
            </wp:positionV>
            <wp:extent cx="1155700" cy="3048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3390900</wp:posOffset>
            </wp:positionH>
            <wp:positionV relativeFrom="page">
              <wp:posOffset>6921500</wp:posOffset>
            </wp:positionV>
            <wp:extent cx="736600" cy="2032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6337300</wp:posOffset>
            </wp:positionV>
            <wp:extent cx="2641600" cy="4572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457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1168400</wp:posOffset>
            </wp:positionH>
            <wp:positionV relativeFrom="page">
              <wp:posOffset>7289800</wp:posOffset>
            </wp:positionV>
            <wp:extent cx="25400" cy="254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3784600</wp:posOffset>
            </wp:positionH>
            <wp:positionV relativeFrom="page">
              <wp:posOffset>7289800</wp:posOffset>
            </wp:positionV>
            <wp:extent cx="25400" cy="254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28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314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LI Chaoxiang et al. /  AASRI Procedia  3 ( 2012 )  313 – 318 </w:t>
      </w:r>
    </w:p>
    <w:p>
      <w:pPr>
        <w:autoSpaceDN w:val="0"/>
        <w:autoSpaceDE w:val="0"/>
        <w:widowControl/>
        <w:spacing w:line="250" w:lineRule="auto" w:before="454" w:after="0"/>
        <w:ind w:left="19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tundish. When casting normally or replacement of a larger tundish, as a result of the strong inertia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impulse of the steel injected from the teeming nozzle, the molten steel reverses violently. The reversal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impact of the molten steel cannot be completely eliminated in vertical direction, despite various kinds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slowing flow and inhibiting flow control devices. For cooling and solidifying on the top, the dross layer seems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relatively stable. However, at the interface of steel and dross, there is undercurrent simmering. In fact,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surface flow in tundish is typical non-steady flow with moving interface. The tundish construction and high-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temperature surroundings are adverse to observing dynamic characteristics, so the numerical simulation is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particularly appropriate. </w:t>
      </w:r>
    </w:p>
    <w:p>
      <w:pPr>
        <w:autoSpaceDN w:val="0"/>
        <w:autoSpaceDE w:val="0"/>
        <w:widowControl/>
        <w:spacing w:line="250" w:lineRule="auto" w:before="18" w:after="0"/>
        <w:ind w:left="198" w:right="22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By numerical simulation, Guo Junyu, Zhang Jieyu et al [3] have researched systematically the influences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the height of dam, the depth of weir and the distance between dam and weir on fluctuation of molten steel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tundish. Yue Lifang et al [4] have studied the changes of the free surface and the velocity field during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emptying and filling of the tundish. In this paper, using the VOF method, the state of top dross layer and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flow of molten steel in tundish are simulated during the charging and continuous casting processes, two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structural models of tundish being created. The purpose is to research the distribution and flow state in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interface. This paper provides reference on construction of tundish for the production of high purity steel. </w:t>
      </w:r>
    </w:p>
    <w:p>
      <w:pPr>
        <w:autoSpaceDN w:val="0"/>
        <w:autoSpaceDE w:val="0"/>
        <w:widowControl/>
        <w:spacing w:line="230" w:lineRule="auto" w:before="260" w:after="0"/>
        <w:ind w:left="19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1. Governing Equations</w:t>
      </w:r>
    </w:p>
    <w:p>
      <w:pPr>
        <w:autoSpaceDN w:val="0"/>
        <w:autoSpaceDE w:val="0"/>
        <w:widowControl/>
        <w:spacing w:line="247" w:lineRule="auto" w:before="260" w:after="0"/>
        <w:ind w:left="198" w:right="3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volume of fluid (VOF) method is presented by American scholars Hirt &amp; Nichols et al [5], on the basis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of the MAC method.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It is a fixed grid technique designed for two or more immiscible fluids. In the VOF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model, the volume fraction of each of the fluids in each computational cell is tracked throughout the domain.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To facilitate study, the following assumptions are applied: the cooling and solidifying of the dross layer are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ignored, and the dross is considered always in the flow state. </w:t>
      </w:r>
    </w:p>
    <w:p>
      <w:pPr>
        <w:autoSpaceDN w:val="0"/>
        <w:autoSpaceDE w:val="0"/>
        <w:widowControl/>
        <w:spacing w:line="245" w:lineRule="auto" w:before="20" w:after="12"/>
        <w:ind w:left="436" w:right="302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governing equations used in the VOF calculation are as follows: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Volume fraction equation: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8.0" w:type="dxa"/>
      </w:tblPr>
      <w:tblGrid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>
        <w:trPr>
          <w:trHeight w:hRule="exact" w:val="318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" w:after="0"/>
              <w:ind w:left="0" w:right="34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a </w:t>
            </w:r>
            <w:r>
              <w:rPr>
                <w:w w:val="101.0306358337402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q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14" w:after="0"/>
              <w:ind w:left="0" w:right="13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a </w:t>
            </w:r>
            <w:r>
              <w:rPr>
                <w:w w:val="101.0306358337402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q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2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S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158" w:after="0"/>
              <w:ind w:left="0" w:right="0" w:firstLine="0"/>
              <w:jc w:val="center"/>
            </w:pPr>
            <w:r>
              <w:rPr>
                <w:w w:val="101.0306358337402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a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08" w:after="0"/>
              <w:ind w:left="1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0"/>
              </w:rPr>
              <w:t>q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8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2" w:after="0"/>
              <w:ind w:left="0" w:right="0" w:firstLine="0"/>
              <w:jc w:val="right"/>
            </w:pPr>
            <w:r>
              <w:rPr>
                <w:w w:val="101.0306358337402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526" w:after="0"/>
              <w:ind w:left="0" w:right="0" w:firstLine="0"/>
              <w:jc w:val="center"/>
            </w:pPr>
            <w:r>
              <w:rPr>
                <w:w w:val="101.03063583374023"/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14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m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360" w:after="0"/>
              <w:ind w:left="8" w:right="0" w:firstLine="0"/>
              <w:jc w:val="left"/>
            </w:pPr>
            <w:r>
              <w:rPr>
                <w:w w:val="101.0306358337402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pq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14" w:after="0"/>
              <w:ind w:left="136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 xml:space="preserve">m </w:t>
            </w:r>
            <w:r>
              <w:rPr>
                <w:w w:val="101.0306358337402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qp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36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(1) </w:t>
            </w:r>
          </w:p>
        </w:tc>
      </w:tr>
      <w:tr>
        <w:trPr>
          <w:trHeight w:hRule="exact" w:val="404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0" w:after="0"/>
              <w:ind w:left="0" w:right="40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4"/>
              </w:rPr>
              <w:t>t</w:t>
            </w:r>
          </w:p>
        </w:tc>
        <w:tc>
          <w:tcPr>
            <w:tcW w:type="dxa" w:w="760"/>
            <w:vMerge/>
            <w:tcBorders/>
          </w:tcPr>
          <w:p/>
        </w:tc>
        <w:tc>
          <w:tcPr>
            <w:tcW w:type="dxa" w:w="760"/>
            <w:vMerge/>
            <w:tcBorders/>
          </w:tcPr>
          <w:p/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26" w:after="0"/>
              <w:ind w:left="66" w:right="0" w:firstLine="0"/>
              <w:jc w:val="left"/>
            </w:pPr>
            <w:r>
              <w:rPr>
                <w:w w:val="101.0306358337402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q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26" w:after="0"/>
              <w:ind w:left="0" w:right="38" w:firstLine="0"/>
              <w:jc w:val="right"/>
            </w:pPr>
            <w:r>
              <w:rPr>
                <w:w w:val="101.0306358337402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q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208" w:after="0"/>
              <w:ind w:left="0" w:right="0" w:firstLine="0"/>
              <w:jc w:val="center"/>
            </w:pPr>
            <w:r>
              <w:rPr>
                <w:w w:val="101.0306358337402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p</w:t>
            </w:r>
          </w:p>
        </w:tc>
        <w:tc>
          <w:tcPr>
            <w:tcW w:type="dxa" w:w="760"/>
            <w:vMerge/>
            <w:tcBorders/>
          </w:tcPr>
          <w:p/>
        </w:tc>
        <w:tc>
          <w:tcPr>
            <w:tcW w:type="dxa" w:w="760"/>
            <w:vMerge/>
            <w:tcBorders/>
          </w:tcPr>
          <w:p/>
        </w:tc>
        <w:tc>
          <w:tcPr>
            <w:tcW w:type="dxa" w:w="760"/>
            <w:vMerge/>
            <w:tcBorders/>
          </w:tcPr>
          <w:p/>
        </w:tc>
        <w:tc>
          <w:tcPr>
            <w:tcW w:type="dxa" w:w="760"/>
            <w:vMerge/>
            <w:tcBorders/>
          </w:tcPr>
          <w:p/>
        </w:tc>
        <w:tc>
          <w:tcPr>
            <w:tcW w:type="dxa" w:w="7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8" w:after="88"/>
        <w:ind w:left="43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Momentum equation: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1519"/>
        <w:gridCol w:w="1519"/>
        <w:gridCol w:w="1519"/>
        <w:gridCol w:w="1519"/>
        <w:gridCol w:w="1519"/>
        <w:gridCol w:w="1519"/>
      </w:tblGrid>
      <w:tr>
        <w:trPr>
          <w:trHeight w:hRule="exact" w:val="52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4" w:after="0"/>
              <w:ind w:left="0" w:right="216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t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6" w:after="0"/>
              <w:ind w:left="0" w:right="102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div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6" w:after="0"/>
              <w:ind w:left="11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u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div</w:t>
            </w:r>
            <w:r>
              <w:drawing>
                <wp:inline xmlns:a="http://schemas.openxmlformats.org/drawingml/2006/main" xmlns:pic="http://schemas.openxmlformats.org/drawingml/2006/picture">
                  <wp:extent cx="139700" cy="190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grad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76" w:after="0"/>
              <w:ind w:left="254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S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0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(2) </w:t>
            </w:r>
          </w:p>
        </w:tc>
      </w:tr>
    </w:tbl>
    <w:p>
      <w:pPr>
        <w:autoSpaceDN w:val="0"/>
        <w:autoSpaceDE w:val="0"/>
        <w:widowControl/>
        <w:spacing w:line="230" w:lineRule="auto" w:before="12" w:after="48"/>
        <w:ind w:left="43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Realizable k-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8.0" w:type="dxa"/>
      </w:tblPr>
      <w:tblGrid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  <w:gridCol w:w="314"/>
      </w:tblGrid>
      <w:tr>
        <w:trPr>
          <w:trHeight w:hRule="exact" w:val="3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4" w:after="0"/>
              <w:ind w:left="0" w:right="56" w:firstLine="0"/>
              <w:jc w:val="right"/>
            </w:pPr>
            <w:r>
              <w:rPr>
                <w:w w:val="101.7644882202148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t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50" w:after="0"/>
              <w:ind w:left="0" w:right="0" w:firstLine="0"/>
              <w:jc w:val="center"/>
            </w:pPr>
            <w:r>
              <w:rPr>
                <w:w w:val="101.5152475108271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t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2" w:after="0"/>
              <w:ind w:left="50" w:right="0" w:firstLine="0"/>
              <w:jc w:val="left"/>
            </w:pPr>
            <w:r>
              <w:rPr>
                <w:w w:val="101.7644882202148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k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4" w:after="0"/>
              <w:ind w:left="0" w:right="22" w:firstLine="0"/>
              <w:jc w:val="right"/>
            </w:pPr>
            <w:r>
              <w:rPr>
                <w:w w:val="101.7644882202148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x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0" w:right="0" w:firstLine="0"/>
              <w:jc w:val="left"/>
            </w:pPr>
            <w:r>
              <w:rPr>
                <w:w w:val="97.6372105734688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  <w:p>
            <w:pPr>
              <w:autoSpaceDN w:val="0"/>
              <w:autoSpaceDE w:val="0"/>
              <w:widowControl/>
              <w:spacing w:line="230" w:lineRule="auto" w:before="480" w:after="0"/>
              <w:ind w:left="0" w:right="0" w:firstLine="0"/>
              <w:jc w:val="center"/>
            </w:pPr>
            <w:r>
              <w:rPr>
                <w:w w:val="101.5152475108271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x</w:t>
            </w:r>
          </w:p>
        </w:tc>
        <w:tc>
          <w:tcPr>
            <w:tcW w:type="dxa" w:w="6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94" w:after="0"/>
              <w:ind w:left="0" w:right="0" w:firstLine="0"/>
              <w:jc w:val="center"/>
            </w:pPr>
            <w:r>
              <w:rPr>
                <w:w w:val="97.1408026559012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29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2" w:after="0"/>
              <w:ind w:left="0" w:right="0" w:firstLine="0"/>
              <w:jc w:val="center"/>
            </w:pPr>
            <w:r>
              <w:rPr>
                <w:w w:val="101.7644882202148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ku</w:t>
            </w:r>
          </w:p>
        </w:tc>
        <w:tc>
          <w:tcPr>
            <w:tcW w:type="dxa" w:w="4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38" w:after="0"/>
              <w:ind w:left="0" w:right="0" w:firstLine="0"/>
              <w:jc w:val="center"/>
            </w:pPr>
            <w:r>
              <w:rPr>
                <w:w w:val="97.6372105734688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1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70" w:after="0"/>
              <w:ind w:left="0" w:right="0" w:firstLine="0"/>
              <w:jc w:val="center"/>
            </w:pPr>
            <w:r>
              <w:rPr>
                <w:w w:val="101.5152475108271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u</w:t>
            </w:r>
          </w:p>
        </w:tc>
        <w:tc>
          <w:tcPr>
            <w:tcW w:type="dxa" w:w="1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14" w:after="0"/>
              <w:ind w:left="0" w:right="0" w:firstLine="0"/>
              <w:jc w:val="left"/>
            </w:pPr>
            <w:r>
              <w:rPr>
                <w:w w:val="97.1408026559012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2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74" w:after="0"/>
              <w:ind w:left="0" w:right="22" w:firstLine="0"/>
              <w:jc w:val="right"/>
            </w:pPr>
            <w:r>
              <w:rPr>
                <w:w w:val="101.7644882202148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x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18" w:after="0"/>
              <w:ind w:left="0" w:right="0" w:firstLine="0"/>
              <w:jc w:val="left"/>
            </w:pPr>
            <w:r>
              <w:rPr>
                <w:w w:val="97.6372105734688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i</w:t>
            </w:r>
          </w:p>
          <w:p>
            <w:pPr>
              <w:autoSpaceDN w:val="0"/>
              <w:autoSpaceDE w:val="0"/>
              <w:widowControl/>
              <w:spacing w:line="230" w:lineRule="auto" w:before="480" w:after="0"/>
              <w:ind w:left="0" w:right="0" w:firstLine="0"/>
              <w:jc w:val="center"/>
            </w:pPr>
            <w:r>
              <w:rPr>
                <w:w w:val="101.5152475108271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x</w:t>
            </w:r>
          </w:p>
        </w:tc>
        <w:tc>
          <w:tcPr>
            <w:tcW w:type="dxa" w:w="3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94" w:after="0"/>
              <w:ind w:left="0" w:right="0" w:firstLine="0"/>
              <w:jc w:val="left"/>
            </w:pPr>
            <w:r>
              <w:rPr>
                <w:w w:val="97.1408026559012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5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2" w:after="0"/>
              <w:ind w:left="0" w:right="202" w:firstLine="0"/>
              <w:jc w:val="right"/>
            </w:pPr>
            <w:r>
              <w:rPr>
                <w:w w:val="97.6372105734688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8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60" w:after="0"/>
              <w:ind w:left="0" w:right="0" w:firstLine="0"/>
              <w:jc w:val="center"/>
            </w:pPr>
            <w:r>
              <w:rPr>
                <w:w w:val="97.1408026559012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t</w:t>
            </w:r>
          </w:p>
        </w:tc>
        <w:tc>
          <w:tcPr>
            <w:tcW w:type="dxa" w:w="2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0" w:firstLine="0"/>
              <w:jc w:val="center"/>
            </w:pPr>
            <w:r>
              <w:rPr>
                <w:w w:val="101.7644882202148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k</w:t>
            </w:r>
          </w:p>
        </w:tc>
        <w:tc>
          <w:tcPr>
            <w:tcW w:type="dxa" w:w="1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50" w:after="0"/>
              <w:ind w:left="0" w:right="0" w:firstLine="0"/>
              <w:jc w:val="center"/>
            </w:pPr>
            <w:r>
              <w:rPr>
                <w:w w:val="101.5152475108271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x</w:t>
            </w:r>
          </w:p>
        </w:tc>
        <w:tc>
          <w:tcPr>
            <w:tcW w:type="dxa" w:w="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94" w:after="0"/>
              <w:ind w:left="0" w:right="0" w:firstLine="0"/>
              <w:jc w:val="left"/>
            </w:pPr>
            <w:r>
              <w:rPr>
                <w:w w:val="97.14080265590123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2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2" w:after="0"/>
              <w:ind w:left="0" w:right="0" w:firstLine="0"/>
              <w:jc w:val="right"/>
            </w:pPr>
            <w:r>
              <w:rPr>
                <w:w w:val="101.7644882202148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G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38" w:after="0"/>
              <w:ind w:left="0" w:right="0" w:firstLine="0"/>
              <w:jc w:val="center"/>
            </w:pPr>
            <w:r>
              <w:rPr>
                <w:w w:val="97.6372105734688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92" w:after="0"/>
              <w:ind w:left="0" w:right="0" w:firstLine="0"/>
              <w:jc w:val="center"/>
            </w:pPr>
            <w:r>
              <w:rPr>
                <w:w w:val="101.7644882202148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G </w:t>
            </w:r>
            <w:r>
              <w:rPr>
                <w:w w:val="97.6372105734688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b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06400" cy="1143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92" w:after="0"/>
              <w:ind w:left="0" w:right="0" w:firstLine="0"/>
              <w:jc w:val="center"/>
            </w:pPr>
            <w:r>
              <w:rPr>
                <w:w w:val="101.7644882202148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 xml:space="preserve">Y </w:t>
            </w:r>
            <w:r>
              <w:rPr>
                <w:w w:val="97.6372105734688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M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92" w:after="0"/>
              <w:ind w:left="0" w:right="0" w:firstLine="0"/>
              <w:jc w:val="center"/>
            </w:pPr>
            <w:r>
              <w:rPr>
                <w:w w:val="101.7644882202148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S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338" w:after="0"/>
              <w:ind w:left="16" w:right="0" w:firstLine="0"/>
              <w:jc w:val="left"/>
            </w:pPr>
            <w:r>
              <w:rPr>
                <w:w w:val="97.6372105734688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14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(3) </w:t>
            </w:r>
          </w:p>
        </w:tc>
      </w:tr>
      <w:tr>
        <w:trPr>
          <w:trHeight w:hRule="exact" w:val="124"/>
        </w:trPr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1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4" w:after="0"/>
              <w:ind w:left="0" w:right="0" w:firstLine="0"/>
              <w:jc w:val="center"/>
            </w:pPr>
            <w:r>
              <w:rPr>
                <w:w w:val="101.76448822021484"/>
                <w:rFonts w:ascii="TimesNewRoman,Italic" w:hAnsi="TimesNewRoman,Italic" w:eastAsia="TimesNewRoman,Italic"/>
                <w:b w:val="0"/>
                <w:i/>
                <w:color w:val="000000"/>
                <w:sz w:val="23"/>
              </w:rPr>
              <w:t>x</w:t>
            </w:r>
          </w:p>
        </w:tc>
        <w:tc>
          <w:tcPr>
            <w:tcW w:type="dxa" w:w="6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8" w:after="0"/>
              <w:ind w:left="0" w:right="0" w:firstLine="0"/>
              <w:jc w:val="center"/>
            </w:pPr>
            <w:r>
              <w:rPr>
                <w:w w:val="97.6372105734688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j</w:t>
            </w:r>
          </w:p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</w:tr>
      <w:tr>
        <w:trPr>
          <w:trHeight w:hRule="exact" w:val="476"/>
        </w:trPr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5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4" w:after="0"/>
              <w:ind w:left="0" w:right="188" w:firstLine="0"/>
              <w:jc w:val="right"/>
            </w:pPr>
            <w:r>
              <w:rPr>
                <w:w w:val="97.63721057346889"/>
                <w:rFonts w:ascii="TimesNewRoman,Italic" w:hAnsi="TimesNewRoman,Italic" w:eastAsia="TimesNewRoman,Italic"/>
                <w:b w:val="0"/>
                <w:i/>
                <w:color w:val="000000"/>
                <w:sz w:val="14"/>
              </w:rPr>
              <w:t>k</w:t>
            </w:r>
          </w:p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</w:tr>
      <w:tr>
        <w:trPr>
          <w:trHeight w:hRule="exact" w:val="650"/>
        </w:trPr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31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16" w:after="0"/>
              <w:ind w:left="0" w:right="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(4) </w:t>
            </w:r>
          </w:p>
        </w:tc>
      </w:tr>
    </w:tbl>
    <w:p>
      <w:pPr>
        <w:autoSpaceDN w:val="0"/>
        <w:autoSpaceDE w:val="0"/>
        <w:widowControl/>
        <w:spacing w:line="230" w:lineRule="auto" w:before="14" w:after="0"/>
        <w:ind w:left="0" w:right="1868" w:firstLine="0"/>
        <w:jc w:val="right"/>
      </w:pPr>
      <w:r>
        <w:rPr>
          <w:w w:val="97.14080265590123"/>
          <w:rFonts w:ascii="TimesNewRoman" w:hAnsi="TimesNewRoman" w:eastAsia="TimesNewRoman"/>
          <w:b w:val="0"/>
          <w:i w:val="0"/>
          <w:color w:val="000000"/>
          <w:sz w:val="14"/>
        </w:rPr>
        <w:t>2</w:t>
      </w:r>
    </w:p>
    <w:p>
      <w:pPr>
        <w:autoSpaceDN w:val="0"/>
        <w:tabs>
          <w:tab w:pos="4322" w:val="left"/>
          <w:tab w:pos="4472" w:val="left"/>
          <w:tab w:pos="4552" w:val="left"/>
          <w:tab w:pos="5004" w:val="left"/>
          <w:tab w:pos="5154" w:val="left"/>
          <w:tab w:pos="5374" w:val="left"/>
          <w:tab w:pos="6024" w:val="left"/>
          <w:tab w:pos="6478" w:val="left"/>
          <w:tab w:pos="6644" w:val="left"/>
          <w:tab w:pos="6792" w:val="left"/>
          <w:tab w:pos="7774" w:val="left"/>
        </w:tabs>
        <w:autoSpaceDE w:val="0"/>
        <w:widowControl/>
        <w:spacing w:line="240" w:lineRule="auto" w:before="14" w:after="0"/>
        <w:ind w:left="418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1600" cy="1143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w w:val="101.5152475108271"/>
          <w:rFonts w:ascii="TimesNewRoman,Italic" w:hAnsi="TimesNewRoman,Italic" w:eastAsia="TimesNewRoman,Italic"/>
          <w:b w:val="0"/>
          <w:i/>
          <w:color w:val="000000"/>
          <w:sz w:val="23"/>
        </w:rPr>
        <w:t xml:space="preserve">C </w:t>
      </w:r>
      <w:r>
        <w:rPr>
          <w:w w:val="97.14080265590123"/>
          <w:rFonts w:ascii="TimesNewRoman" w:hAnsi="TimesNewRoman" w:eastAsia="TimesNewRoman"/>
          <w:b w:val="0"/>
          <w:i w:val="0"/>
          <w:color w:val="000000"/>
          <w:sz w:val="14"/>
        </w:rPr>
        <w:t xml:space="preserve">1 </w:t>
      </w:r>
      <w:r>
        <w:rPr>
          <w:w w:val="101.5152475108271"/>
          <w:rFonts w:ascii="TimesNewRoman,Italic" w:hAnsi="TimesNewRoman,Italic" w:eastAsia="TimesNewRoman,Italic"/>
          <w:b w:val="0"/>
          <w:i/>
          <w:color w:val="000000"/>
          <w:sz w:val="23"/>
        </w:rPr>
        <w:t xml:space="preserve">S </w:t>
      </w:r>
      <w:r>
        <w:tab/>
      </w:r>
      <w:r>
        <w:rPr>
          <w:w w:val="101.5152475108271"/>
          <w:rFonts w:ascii="TimesNewRoman,Italic" w:hAnsi="TimesNewRoman,Italic" w:eastAsia="TimesNewRoman,Italic"/>
          <w:b w:val="0"/>
          <w:i/>
          <w:color w:val="000000"/>
          <w:sz w:val="23"/>
        </w:rPr>
        <w:t xml:space="preserve">C </w:t>
      </w:r>
      <w:r>
        <w:rPr>
          <w:w w:val="97.14080265590123"/>
          <w:rFonts w:ascii="TimesNewRoman" w:hAnsi="TimesNewRoman" w:eastAsia="TimesNewRoman"/>
          <w:b w:val="0"/>
          <w:i w:val="0"/>
          <w:color w:val="000000"/>
          <w:sz w:val="14"/>
        </w:rPr>
        <w:t xml:space="preserve">1 </w:t>
      </w:r>
      <w:r>
        <w:tab/>
      </w:r>
      <w:r>
        <w:rPr>
          <w:w w:val="101.5152475108271"/>
          <w:rFonts w:ascii="TimesNewRoman,Italic" w:hAnsi="TimesNewRoman,Italic" w:eastAsia="TimesNewRoman,Italic"/>
          <w:b w:val="0"/>
          <w:i/>
          <w:color w:val="000000"/>
          <w:sz w:val="23"/>
        </w:rPr>
        <w:t xml:space="preserve">k </w:t>
      </w:r>
      <w:r>
        <w:rPr>
          <w:w w:val="101.5152475108271"/>
          <w:rFonts w:ascii="TimesNewRoman,Italic" w:hAnsi="TimesNewRoman,Italic" w:eastAsia="TimesNewRoman,Italic"/>
          <w:b w:val="0"/>
          <w:i/>
          <w:color w:val="000000"/>
          <w:sz w:val="23"/>
        </w:rPr>
        <w:t xml:space="preserve">C G </w:t>
      </w:r>
      <w:r>
        <w:rPr>
          <w:w w:val="97.14080265590123"/>
          <w:rFonts w:ascii="TimesNewRoman,Italic" w:hAnsi="TimesNewRoman,Italic" w:eastAsia="TimesNewRoman,Italic"/>
          <w:b w:val="0"/>
          <w:i/>
          <w:color w:val="000000"/>
          <w:sz w:val="14"/>
        </w:rPr>
        <w:t xml:space="preserve">b </w:t>
      </w:r>
      <w:r>
        <w:tab/>
      </w:r>
      <w:r>
        <w:rPr>
          <w:w w:val="101.5152475108271"/>
          <w:rFonts w:ascii="TimesNewRoman,Italic" w:hAnsi="TimesNewRoman,Italic" w:eastAsia="TimesNewRoman,Italic"/>
          <w:b w:val="0"/>
          <w:i/>
          <w:color w:val="000000"/>
          <w:sz w:val="23"/>
        </w:rPr>
        <w:t xml:space="preserve">C </w:t>
      </w:r>
      <w:r>
        <w:rPr>
          <w:w w:val="97.14080265590123"/>
          <w:rFonts w:ascii="TimesNewRoman" w:hAnsi="TimesNewRoman" w:eastAsia="TimesNewRoman"/>
          <w:b w:val="0"/>
          <w:i w:val="0"/>
          <w:color w:val="000000"/>
          <w:sz w:val="14"/>
        </w:rPr>
        <w:t xml:space="preserve">2 </w:t>
      </w:r>
      <w:r>
        <w:tab/>
      </w:r>
      <w:r>
        <w:rPr>
          <w:w w:val="101.5152475108271"/>
          <w:rFonts w:ascii="TimesNewRoman,Italic" w:hAnsi="TimesNewRoman,Italic" w:eastAsia="TimesNewRoman,Italic"/>
          <w:b w:val="0"/>
          <w:i/>
          <w:color w:val="000000"/>
          <w:sz w:val="23"/>
        </w:rPr>
        <w:t xml:space="preserve">k </w:t>
      </w:r>
      <w:r>
        <w:tab/>
      </w:r>
      <w:r>
        <w:rPr>
          <w:w w:val="101.5152475108271"/>
          <w:rFonts w:ascii="TimesNewRoman,Italic" w:hAnsi="TimesNewRoman,Italic" w:eastAsia="TimesNewRoman,Italic"/>
          <w:b w:val="0"/>
          <w:i/>
          <w:color w:val="000000"/>
          <w:sz w:val="23"/>
        </w:rPr>
        <w:t>S</w:t>
      </w:r>
    </w:p>
    <w:p>
      <w:pPr>
        <w:autoSpaceDN w:val="0"/>
        <w:autoSpaceDE w:val="0"/>
        <w:widowControl/>
        <w:spacing w:line="262" w:lineRule="auto" w:before="32" w:after="0"/>
        <w:ind w:left="43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Where, </w:t>
      </w:r>
      <w:r>
        <w:rPr>
          <w:w w:val="98.63471984863281"/>
          <w:rFonts w:ascii="TimesNewRoman,Italic" w:hAnsi="TimesNewRoman,Italic" w:eastAsia="TimesNewRoman,Italic"/>
          <w:b w:val="0"/>
          <w:i/>
          <w:color w:val="000000"/>
          <w:sz w:val="25"/>
        </w:rPr>
        <w:t>m</w:t>
      </w:r>
      <w:r>
        <w:rPr>
          <w:w w:val="102.66468184334892"/>
          <w:rFonts w:ascii="TimesNewRoman,Italic" w:hAnsi="TimesNewRoman,Italic" w:eastAsia="TimesNewRoman,Italic"/>
          <w:b w:val="0"/>
          <w:i/>
          <w:color w:val="000000"/>
          <w:sz w:val="14"/>
        </w:rPr>
        <w:t>pq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is mass transfer from phase p to phase q, and </w:t>
      </w:r>
      <w:r>
        <w:rPr>
          <w:w w:val="98.16381072998047"/>
          <w:rFonts w:ascii="TimesNewRoman,Italic" w:hAnsi="TimesNewRoman,Italic" w:eastAsia="TimesNewRoman,Italic"/>
          <w:b w:val="0"/>
          <w:i/>
          <w:color w:val="000000"/>
          <w:sz w:val="25"/>
        </w:rPr>
        <w:t>m</w:t>
      </w:r>
      <w:r>
        <w:rPr>
          <w:w w:val="102.17415264674597"/>
          <w:rFonts w:ascii="TimesNewRoman,Italic" w:hAnsi="TimesNewRoman,Italic" w:eastAsia="TimesNewRoman,Italic"/>
          <w:b w:val="0"/>
          <w:i/>
          <w:color w:val="000000"/>
          <w:sz w:val="14"/>
        </w:rPr>
        <w:t>qp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is mass transfer in reverse (i.e. from phase </w:t>
      </w:r>
    </w:p>
    <w:p>
      <w:pPr>
        <w:autoSpaceDN w:val="0"/>
        <w:autoSpaceDE w:val="0"/>
        <w:widowControl/>
        <w:spacing w:line="240" w:lineRule="auto" w:before="62" w:after="0"/>
        <w:ind w:left="198" w:right="22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q to phase p). </w:t>
      </w:r>
      <w:r>
        <w:drawing>
          <wp:inline xmlns:a="http://schemas.openxmlformats.org/drawingml/2006/main" xmlns:pic="http://schemas.openxmlformats.org/drawingml/2006/picture">
            <wp:extent cx="127000" cy="1143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is common variable, and can denote an unknown variable u, v, w, etc. </w:t>
      </w:r>
      <w:r>
        <w:drawing>
          <wp:inline xmlns:a="http://schemas.openxmlformats.org/drawingml/2006/main" xmlns:pic="http://schemas.openxmlformats.org/drawingml/2006/picture">
            <wp:extent cx="88900" cy="1143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is the generalized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diffusion coefficient. S is the generalized source term. G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k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represents the generation of turbulent kinetic energy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due to the mean velocity gradients. G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b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is the generation of kinetic energy due to buoyancy. </w:t>
      </w:r>
    </w:p>
    <w:p>
      <w:pPr>
        <w:sectPr>
          <w:pgSz w:w="10885" w:h="14854"/>
          <w:pgMar w:top="368" w:right="1118" w:bottom="1174" w:left="652" w:header="720" w:footer="720" w:gutter="0"/>
          <w:cols w:space="720" w:num="1" w:equalWidth="0">
            <w:col w:w="9116" w:space="0"/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1473200</wp:posOffset>
            </wp:positionH>
            <wp:positionV relativeFrom="page">
              <wp:posOffset>838200</wp:posOffset>
            </wp:positionV>
            <wp:extent cx="419100" cy="3810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81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1614170</wp:posOffset>
            </wp:positionH>
            <wp:positionV relativeFrom="page">
              <wp:posOffset>3703320</wp:posOffset>
            </wp:positionV>
            <wp:extent cx="3611879" cy="1563624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11879" cy="156362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2667000</wp:posOffset>
            </wp:positionH>
            <wp:positionV relativeFrom="page">
              <wp:posOffset>4813300</wp:posOffset>
            </wp:positionV>
            <wp:extent cx="38100" cy="381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2679700</wp:posOffset>
            </wp:positionH>
            <wp:positionV relativeFrom="page">
              <wp:posOffset>4737100</wp:posOffset>
            </wp:positionV>
            <wp:extent cx="38100" cy="381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2679700</wp:posOffset>
            </wp:positionH>
            <wp:positionV relativeFrom="page">
              <wp:posOffset>4711700</wp:posOffset>
            </wp:positionV>
            <wp:extent cx="50800" cy="381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2667000</wp:posOffset>
            </wp:positionH>
            <wp:positionV relativeFrom="page">
              <wp:posOffset>4813300</wp:posOffset>
            </wp:positionV>
            <wp:extent cx="38100" cy="381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2908300</wp:posOffset>
            </wp:positionH>
            <wp:positionV relativeFrom="page">
              <wp:posOffset>4775200</wp:posOffset>
            </wp:positionV>
            <wp:extent cx="38100" cy="381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2679700</wp:posOffset>
            </wp:positionH>
            <wp:positionV relativeFrom="page">
              <wp:posOffset>4737100</wp:posOffset>
            </wp:positionV>
            <wp:extent cx="38100" cy="381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2679700</wp:posOffset>
            </wp:positionH>
            <wp:positionV relativeFrom="page">
              <wp:posOffset>4711700</wp:posOffset>
            </wp:positionV>
            <wp:extent cx="50800" cy="381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4648200</wp:posOffset>
            </wp:positionV>
            <wp:extent cx="50800" cy="508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2476500</wp:posOffset>
            </wp:positionH>
            <wp:positionV relativeFrom="page">
              <wp:posOffset>4635500</wp:posOffset>
            </wp:positionV>
            <wp:extent cx="139700" cy="1397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2184400</wp:posOffset>
            </wp:positionH>
            <wp:positionV relativeFrom="page">
              <wp:posOffset>4826000</wp:posOffset>
            </wp:positionV>
            <wp:extent cx="38100" cy="381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4749800</wp:posOffset>
            </wp:positionV>
            <wp:extent cx="63500" cy="7620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2222500</wp:posOffset>
            </wp:positionH>
            <wp:positionV relativeFrom="page">
              <wp:posOffset>4343400</wp:posOffset>
            </wp:positionV>
            <wp:extent cx="38100" cy="3810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2413000</wp:posOffset>
            </wp:positionH>
            <wp:positionV relativeFrom="page">
              <wp:posOffset>4356100</wp:posOffset>
            </wp:positionV>
            <wp:extent cx="38100" cy="38100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2324100</wp:posOffset>
            </wp:positionH>
            <wp:positionV relativeFrom="page">
              <wp:posOffset>4165600</wp:posOffset>
            </wp:positionV>
            <wp:extent cx="152400" cy="13970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2489200</wp:posOffset>
            </wp:positionH>
            <wp:positionV relativeFrom="page">
              <wp:posOffset>4140200</wp:posOffset>
            </wp:positionV>
            <wp:extent cx="38100" cy="3810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2451100</wp:posOffset>
            </wp:positionH>
            <wp:positionV relativeFrom="page">
              <wp:posOffset>4140200</wp:posOffset>
            </wp:positionV>
            <wp:extent cx="50800" cy="50800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2501900</wp:posOffset>
            </wp:positionH>
            <wp:positionV relativeFrom="page">
              <wp:posOffset>4127500</wp:posOffset>
            </wp:positionV>
            <wp:extent cx="38100" cy="3810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4102100</wp:posOffset>
            </wp:positionH>
            <wp:positionV relativeFrom="page">
              <wp:posOffset>4356100</wp:posOffset>
            </wp:positionV>
            <wp:extent cx="101600" cy="203200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3467100</wp:posOffset>
            </wp:positionH>
            <wp:positionV relativeFrom="page">
              <wp:posOffset>4025900</wp:posOffset>
            </wp:positionV>
            <wp:extent cx="38100" cy="38100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3149600</wp:posOffset>
            </wp:positionH>
            <wp:positionV relativeFrom="page">
              <wp:posOffset>4025900</wp:posOffset>
            </wp:positionV>
            <wp:extent cx="38100" cy="38100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2489200</wp:posOffset>
            </wp:positionH>
            <wp:positionV relativeFrom="page">
              <wp:posOffset>4140200</wp:posOffset>
            </wp:positionV>
            <wp:extent cx="38100" cy="38100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2451100</wp:posOffset>
            </wp:positionH>
            <wp:positionV relativeFrom="page">
              <wp:posOffset>4140200</wp:posOffset>
            </wp:positionV>
            <wp:extent cx="50800" cy="50800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2501900</wp:posOffset>
            </wp:positionH>
            <wp:positionV relativeFrom="page">
              <wp:posOffset>4127500</wp:posOffset>
            </wp:positionV>
            <wp:extent cx="38100" cy="38100"/>
            <wp:wrapNone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2514600</wp:posOffset>
            </wp:positionH>
            <wp:positionV relativeFrom="page">
              <wp:posOffset>4102100</wp:posOffset>
            </wp:positionV>
            <wp:extent cx="38100" cy="50800"/>
            <wp:wrapNone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2527300</wp:posOffset>
            </wp:positionH>
            <wp:positionV relativeFrom="page">
              <wp:posOffset>4089400</wp:posOffset>
            </wp:positionV>
            <wp:extent cx="38100" cy="38100"/>
            <wp:wrapNone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1756410</wp:posOffset>
            </wp:positionH>
            <wp:positionV relativeFrom="page">
              <wp:posOffset>6276340</wp:posOffset>
            </wp:positionV>
            <wp:extent cx="3328669" cy="1419377"/>
            <wp:wrapNone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28669" cy="141937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4064000</wp:posOffset>
            </wp:positionH>
            <wp:positionV relativeFrom="page">
              <wp:posOffset>7302500</wp:posOffset>
            </wp:positionV>
            <wp:extent cx="38100" cy="38100"/>
            <wp:wrapNone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7302500</wp:posOffset>
            </wp:positionV>
            <wp:extent cx="38100" cy="38100"/>
            <wp:wrapNone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2032000</wp:posOffset>
            </wp:positionH>
            <wp:positionV relativeFrom="page">
              <wp:posOffset>7175500</wp:posOffset>
            </wp:positionV>
            <wp:extent cx="38100" cy="38100"/>
            <wp:wrapNone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7302500</wp:posOffset>
            </wp:positionV>
            <wp:extent cx="38100" cy="38100"/>
            <wp:wrapNone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2032000</wp:posOffset>
            </wp:positionH>
            <wp:positionV relativeFrom="page">
              <wp:posOffset>7175500</wp:posOffset>
            </wp:positionV>
            <wp:extent cx="38100" cy="381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4013200</wp:posOffset>
            </wp:positionH>
            <wp:positionV relativeFrom="page">
              <wp:posOffset>6781800</wp:posOffset>
            </wp:positionV>
            <wp:extent cx="101600" cy="228600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228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4013200</wp:posOffset>
            </wp:positionH>
            <wp:positionV relativeFrom="page">
              <wp:posOffset>6743700</wp:posOffset>
            </wp:positionV>
            <wp:extent cx="76200" cy="38100"/>
            <wp:wrapNone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3238500</wp:posOffset>
            </wp:positionH>
            <wp:positionV relativeFrom="page">
              <wp:posOffset>6451600</wp:posOffset>
            </wp:positionV>
            <wp:extent cx="38100" cy="38100"/>
            <wp:wrapNone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6477000</wp:posOffset>
            </wp:positionV>
            <wp:extent cx="38100" cy="38100"/>
            <wp:wrapNone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.00000000000003" w:type="dxa"/>
      </w:tblPr>
      <w:tblGrid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>
        <w:trPr>
          <w:trHeight w:hRule="exact" w:val="366"/>
        </w:trPr>
        <w:tc>
          <w:tcPr>
            <w:tcW w:type="dxa" w:w="9120"/>
            <w:gridSpan w:val="2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5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LI Chaoxiang et al. /  AASRI Procedia  3 ( 2012 )  313 – 318 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315</w:t>
            </w:r>
          </w:p>
        </w:tc>
      </w:tr>
      <w:tr>
        <w:trPr>
          <w:trHeight w:hRule="exact" w:val="820"/>
        </w:trPr>
        <w:tc>
          <w:tcPr>
            <w:tcW w:type="dxa" w:w="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82" w:after="0"/>
              <w:ind w:left="0" w:right="108" w:firstLine="0"/>
              <w:jc w:val="right"/>
            </w:pPr>
            <w:r>
              <w:rPr>
                <w:w w:val="98.42432195490058"/>
                <w:rFonts w:ascii="TimesNewRoman,Italic" w:hAnsi="TimesNewRoman,Italic" w:eastAsia="TimesNewRoman,Italic"/>
                <w:b w:val="0"/>
                <w:i/>
                <w:color w:val="000000"/>
                <w:sz w:val="22"/>
              </w:rPr>
              <w:t>C</w:t>
            </w:r>
            <w:r>
              <w:rPr>
                <w:w w:val="97.16439613929163"/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82" w:after="0"/>
              <w:ind w:left="0" w:right="0" w:firstLine="0"/>
              <w:jc w:val="right"/>
            </w:pPr>
            <w:r>
              <w:rPr>
                <w:w w:val="98.42432195490058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max</w:t>
            </w:r>
          </w:p>
        </w:tc>
        <w:tc>
          <w:tcPr>
            <w:tcW w:type="dxa" w:w="8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3500" cy="381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381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42432195490058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.0 43,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50" w:after="0"/>
              <w:ind w:left="36" w:right="0" w:firstLine="0"/>
              <w:jc w:val="left"/>
            </w:pPr>
            <w:r>
              <w:rPr>
                <w:w w:val="98.42432195490058"/>
                <w:rFonts w:ascii="TimesNewRoman" w:hAnsi="TimesNewRoman" w:eastAsia="TimesNewRoman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type="dxa" w:w="8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in which </w:t>
            </w:r>
          </w:p>
        </w:tc>
        <w:tc>
          <w:tcPr>
            <w:tcW w:type="dxa" w:w="5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68300" cy="1651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7.93530464172363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S</w:t>
            </w:r>
            <w:r>
              <w:rPr>
                <w:w w:val="97.93530464172363"/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 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4" w:after="0"/>
              <w:ind w:left="0" w:right="0" w:firstLine="0"/>
              <w:jc w:val="center"/>
            </w:pPr>
            <w:r>
              <w:rPr>
                <w:w w:val="102.41084851716693"/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C</w:t>
            </w:r>
            <w:r>
              <w:rPr>
                <w:w w:val="103.09481187300248"/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</w:t>
            </w: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and </w:t>
            </w:r>
          </w:p>
        </w:tc>
        <w:tc>
          <w:tcPr>
            <w:tcW w:type="dxa" w:w="15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356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 are constants. </w:t>
            </w:r>
            <w:r>
              <w:rPr>
                <w:w w:val="96.35490576426187"/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5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7.58305916419397"/>
                <w:rFonts w:ascii="TimesNewRoman,Italic" w:hAnsi="TimesNewRoman,Italic" w:eastAsia="TimesNewRoman,Italic"/>
                <w:b w:val="0"/>
                <w:i/>
                <w:color w:val="000000"/>
                <w:sz w:val="13"/>
              </w:rPr>
              <w:t>k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and 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2400" cy="1143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are the turbulent Prandtl </w:t>
            </w:r>
          </w:p>
        </w:tc>
        <w:tc>
          <w:tcPr>
            <w:tcW w:type="dxa" w:w="46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3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numbers for </w:t>
            </w: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k</w:t>
            </w:r>
          </w:p>
        </w:tc>
        <w:tc>
          <w:tcPr>
            <w:tcW w:type="dxa" w:w="7800"/>
            <w:gridSpan w:val="17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17600" cy="127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M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represents the contribution of the fluctuating dilatation in compressible </w:t>
            </w:r>
          </w:p>
        </w:tc>
        <w:tc>
          <w:tcPr>
            <w:tcW w:type="dxa" w:w="46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9120"/>
            <w:gridSpan w:val="2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" w:after="0"/>
              <w:ind w:left="1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turbulence to the overall dissipation. S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3"/>
              </w:rPr>
              <w:t>k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 and S  are user-defined source terms. In Fluent, these values used by </w:t>
            </w:r>
          </w:p>
        </w:tc>
        <w:tc>
          <w:tcPr>
            <w:tcW w:type="dxa" w:w="464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8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8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default are constant, 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9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1"/>
              </w:rPr>
              <w:t>1</w:t>
            </w:r>
            <w:r>
              <w:drawing>
                <wp:inline xmlns:a="http://schemas.openxmlformats.org/drawingml/2006/main" xmlns:pic="http://schemas.openxmlformats.org/drawingml/2006/picture">
                  <wp:extent cx="165100" cy="889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4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.1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9"/>
              </w:rPr>
              <w:t>44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</w:t>
            </w:r>
          </w:p>
        </w:tc>
        <w:tc>
          <w:tcPr>
            <w:tcW w:type="dxa" w:w="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6" w:after="0"/>
              <w:ind w:left="0" w:right="0" w:firstLine="0"/>
              <w:jc w:val="center"/>
            </w:pPr>
            <w:r>
              <w:rPr>
                <w:w w:val="98.207155863444"/>
                <w:rFonts w:ascii="TimesNewRoman,Italic" w:hAnsi="TimesNewRoman,Italic" w:eastAsia="TimesNewRoman,Italic"/>
                <w:b w:val="0"/>
                <w:i/>
                <w:color w:val="000000"/>
                <w:sz w:val="21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26" w:after="0"/>
              <w:ind w:left="0" w:right="16" w:firstLine="0"/>
              <w:jc w:val="right"/>
            </w:pPr>
            <w:r>
              <w:rPr>
                <w:w w:val="98.207155863444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9.1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</w:t>
            </w:r>
          </w:p>
        </w:tc>
        <w:tc>
          <w:tcPr>
            <w:tcW w:type="dxa" w:w="4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76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12"/>
              </w:rPr>
              <w:t>k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0" w:right="0" w:firstLine="0"/>
              <w:jc w:val="center"/>
            </w:pPr>
            <w:r>
              <w:rPr>
                <w:w w:val="98.32282293410528"/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0.1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, 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66700" cy="1016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1"/>
              </w:rPr>
              <w:t>2.1</w:t>
            </w:r>
          </w:p>
        </w:tc>
        <w:tc>
          <w:tcPr>
            <w:tcW w:type="dxa" w:w="38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2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. </w:t>
            </w:r>
          </w:p>
        </w:tc>
        <w:tc>
          <w:tcPr>
            <w:tcW w:type="dxa" w:w="46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20" w:after="0"/>
        <w:ind w:left="3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2. Model Structure</w:t>
      </w:r>
    </w:p>
    <w:p>
      <w:pPr>
        <w:autoSpaceDN w:val="0"/>
        <w:autoSpaceDE w:val="0"/>
        <w:widowControl/>
        <w:spacing w:line="247" w:lineRule="auto" w:before="260" w:after="0"/>
        <w:ind w:left="356" w:right="50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order to adjust to Fluent software, the Gambit software is used for modeling and meshing. To obtain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precise numerical results, Model scale is 1:1. The dimensions of tundish are as follows. At upper side, length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is 9036mm, width is 1668mm, and at lower side, length is 8648mm, width is 854mm. The tundish is shown 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trough, with 1100mm high. The teeming nozzle diameter is 118mm, and the one of submerged nozzle is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82mm. Due to symmetry of construction and for saving computing resources, half of tundish is as simulation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object. </w:t>
      </w:r>
    </w:p>
    <w:p>
      <w:pPr>
        <w:autoSpaceDN w:val="0"/>
        <w:autoSpaceDE w:val="0"/>
        <w:widowControl/>
        <w:spacing w:line="247" w:lineRule="auto" w:before="18" w:after="0"/>
        <w:ind w:left="356" w:right="49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Model-1 is shown in Fig. 1. Cartesian coordinate system is set up. Take the intersection of teeming nozzle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centerline and bottom of tundish as coordinate origin. Y-axis positive direction is upward, x-axis positive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direction is pointing to the right side of the tundish, and z-axis is along the width, pointing to the observer (see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Fig.1). </w:t>
      </w:r>
    </w:p>
    <w:p>
      <w:pPr>
        <w:autoSpaceDN w:val="0"/>
        <w:autoSpaceDE w:val="0"/>
        <w:widowControl/>
        <w:spacing w:line="230" w:lineRule="auto" w:before="2674" w:after="0"/>
        <w:ind w:left="3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Fig. 1  Schematic view of tundish in Model 1 </w:t>
      </w:r>
    </w:p>
    <w:p>
      <w:pPr>
        <w:autoSpaceDN w:val="0"/>
        <w:autoSpaceDE w:val="0"/>
        <w:widowControl/>
        <w:spacing w:line="247" w:lineRule="auto" w:before="258" w:after="0"/>
        <w:ind w:left="356" w:right="496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Model-2 is an improved model. On the basis of the model-1, the dam is removed. Only the retaining wall is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left and moved to the side for 300mm distance, and the retaining wall is thickened by 10mm. From the bottom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tundish, a rectangular opening is tapped for diversion in side edge of the wall. The opening size is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80×600mm. It is shown in Fig. 2. </w:t>
      </w:r>
      <w:r>
        <w:rPr>
          <w:rFonts w:ascii="TimesNewRoman" w:hAnsi="TimesNewRoman" w:eastAsia="TimesNewRoman"/>
          <w:b w:val="0"/>
          <w:i w:val="0"/>
          <w:color w:val="0000FF"/>
          <w:sz w:val="20"/>
        </w:rPr>
        <w:t xml:space="preserve">Both walls have openings, along diagonal direction. </w:t>
      </w:r>
    </w:p>
    <w:p>
      <w:pPr>
        <w:autoSpaceDN w:val="0"/>
        <w:autoSpaceDE w:val="0"/>
        <w:widowControl/>
        <w:spacing w:line="230" w:lineRule="auto" w:before="2440" w:after="0"/>
        <w:ind w:left="3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Fig. 2  Schematic view of tundish in Model 2</w:t>
      </w:r>
    </w:p>
    <w:p>
      <w:pPr>
        <w:sectPr>
          <w:pgSz w:w="10885" w:h="14854"/>
          <w:pgMar w:top="368" w:right="532" w:bottom="212" w:left="608" w:header="720" w:footer="720" w:gutter="0"/>
          <w:cols w:space="720" w:num="1" w:equalWidth="0">
            <w:col w:w="9746" w:space="0"/>
            <w:col w:w="9116" w:space="0"/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8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316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LI Chaoxiang et al. /  AASRI Procedia  3 ( 2012 )  313 – 318 </w:t>
      </w:r>
    </w:p>
    <w:p>
      <w:pPr>
        <w:autoSpaceDN w:val="0"/>
        <w:autoSpaceDE w:val="0"/>
        <w:widowControl/>
        <w:spacing w:line="247" w:lineRule="auto" w:before="454" w:after="0"/>
        <w:ind w:left="312" w:right="28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Solid wall is seen to be no-slip. The near-wall boundary layer uses the standard wall function. The entrance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is defined molten steel inlet. Assumed that the velocity is uniform distribution in cross section, the inlet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velocity is 1.406m/s at the teeming nozzle, calculated from the casting speed and slab dimensions. At the top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model is set to pressure outlet, and reflux is set as air phase. </w:t>
      </w:r>
    </w:p>
    <w:p>
      <w:pPr>
        <w:autoSpaceDN w:val="0"/>
        <w:autoSpaceDE w:val="0"/>
        <w:widowControl/>
        <w:spacing w:line="245" w:lineRule="auto" w:before="18" w:after="0"/>
        <w:ind w:left="550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calculation parameters are determined as follows: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(1) The number of multiphase is set to 3, i.e., molten steel, dross, and air. </w:t>
      </w:r>
    </w:p>
    <w:p>
      <w:pPr>
        <w:autoSpaceDN w:val="0"/>
        <w:autoSpaceDE w:val="0"/>
        <w:widowControl/>
        <w:spacing w:line="233" w:lineRule="auto" w:before="18" w:after="0"/>
        <w:ind w:left="55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(2) Molten steel and dross are both incompressible fluid, and air is compressible fluid. </w:t>
      </w:r>
    </w:p>
    <w:p>
      <w:pPr>
        <w:autoSpaceDN w:val="0"/>
        <w:tabs>
          <w:tab w:pos="550" w:val="left"/>
        </w:tabs>
        <w:autoSpaceDE w:val="0"/>
        <w:widowControl/>
        <w:spacing w:line="257" w:lineRule="auto" w:before="0" w:after="0"/>
        <w:ind w:left="31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(3) Molten steel: density is 7004.07kg/m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, and viscosity is 0.004553kg/(m s). Dross: density is 3500kg/m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3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and viscosity is 0.035kg/(m s). </w:t>
      </w:r>
    </w:p>
    <w:p>
      <w:pPr>
        <w:autoSpaceDN w:val="0"/>
        <w:autoSpaceDE w:val="0"/>
        <w:widowControl/>
        <w:spacing w:line="233" w:lineRule="auto" w:before="18" w:after="0"/>
        <w:ind w:left="55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(4) The dross thickness is 60mm. </w:t>
      </w:r>
    </w:p>
    <w:p>
      <w:pPr>
        <w:autoSpaceDN w:val="0"/>
        <w:autoSpaceDE w:val="0"/>
        <w:widowControl/>
        <w:spacing w:line="233" w:lineRule="auto" w:before="258" w:after="0"/>
        <w:ind w:left="3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3. Simulation and Analysis on Charging Process </w:t>
      </w:r>
    </w:p>
    <w:p>
      <w:pPr>
        <w:autoSpaceDN w:val="0"/>
        <w:tabs>
          <w:tab w:pos="550" w:val="left"/>
        </w:tabs>
        <w:autoSpaceDE w:val="0"/>
        <w:widowControl/>
        <w:spacing w:line="245" w:lineRule="auto" w:before="260" w:after="0"/>
        <w:ind w:left="312" w:right="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For Model-1 and Model-2, during charging process, the location and distribution of dross are recorded,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from empty tundish to normal casting level (1100mm), as shown in Fig.3 and 4. </w:t>
      </w:r>
    </w:p>
    <w:p>
      <w:pPr>
        <w:autoSpaceDN w:val="0"/>
        <w:autoSpaceDE w:val="0"/>
        <w:widowControl/>
        <w:spacing w:line="247" w:lineRule="auto" w:before="20" w:after="0"/>
        <w:ind w:left="312" w:right="22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It can be seen from Fig. 3, with the process of charging, molten steel level increases, and the dross layer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fluctuates often. During the whole process, the concentration distribution varies erratically, particularly near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stopper. It is mainly caused by the lower molten steel impact. Seen from Model-2 in Fig. 4, at initial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charging stage, the dross is uniformly distributed on the steel surface, and concentration is also very uniform.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Only when close to normal casting level, the dross layer near the retaining wall slightly ripples by strong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impact. Near the stopper and other regions, the dross layer is very steady and smooth. </w:t>
      </w:r>
    </w:p>
    <w:p>
      <w:pPr>
        <w:autoSpaceDN w:val="0"/>
        <w:autoSpaceDE w:val="0"/>
        <w:widowControl/>
        <w:spacing w:line="348" w:lineRule="auto" w:before="2062" w:after="0"/>
        <w:ind w:left="3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a                                                                                                           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A</w:t>
      </w:r>
    </w:p>
    <w:p>
      <w:pPr>
        <w:autoSpaceDN w:val="0"/>
        <w:tabs>
          <w:tab w:pos="4514" w:val="left"/>
          <w:tab w:pos="4956" w:val="left"/>
        </w:tabs>
        <w:autoSpaceDE w:val="0"/>
        <w:widowControl/>
        <w:spacing w:line="240" w:lineRule="auto" w:before="0" w:after="0"/>
        <w:ind w:left="3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28899" cy="1361439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628899" cy="136143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ËÎÌå" w:hAnsi="ËÎÌå" w:eastAsia="ËÎÌå"/>
          <w:b w:val="0"/>
          <w:i w:val="0"/>
          <w:color w:val="221F1F"/>
          <w:sz w:val="16"/>
        </w:rPr>
        <w:t>�</w:t>
      </w:r>
      <w:r>
        <w:tab/>
      </w:r>
      <w:r>
        <w:drawing>
          <wp:inline xmlns:a="http://schemas.openxmlformats.org/drawingml/2006/main" xmlns:pic="http://schemas.openxmlformats.org/drawingml/2006/picture">
            <wp:extent cx="2575560" cy="1399539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399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2" w:after="0"/>
        <w:ind w:left="3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b</w:t>
      </w:r>
      <w:r>
        <w:drawing>
          <wp:inline xmlns:a="http://schemas.openxmlformats.org/drawingml/2006/main" xmlns:pic="http://schemas.openxmlformats.org/drawingml/2006/picture">
            <wp:extent cx="2633980" cy="1008379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10083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1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B</w:t>
      </w:r>
      <w:r>
        <w:drawing>
          <wp:inline xmlns:a="http://schemas.openxmlformats.org/drawingml/2006/main" xmlns:pic="http://schemas.openxmlformats.org/drawingml/2006/picture">
            <wp:extent cx="2584450" cy="105029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10502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37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c</w:t>
      </w:r>
      <w:r>
        <w:drawing>
          <wp:inline xmlns:a="http://schemas.openxmlformats.org/drawingml/2006/main" xmlns:pic="http://schemas.openxmlformats.org/drawingml/2006/picture">
            <wp:extent cx="2632710" cy="104013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040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17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>C</w:t>
      </w:r>
      <w:r>
        <w:drawing>
          <wp:inline xmlns:a="http://schemas.openxmlformats.org/drawingml/2006/main" xmlns:pic="http://schemas.openxmlformats.org/drawingml/2006/picture">
            <wp:extent cx="2613660" cy="1112519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1125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0885" w:h="14854"/>
          <w:pgMar w:top="368" w:right="1006" w:bottom="1330" w:left="652" w:header="720" w:footer="720" w:gutter="0"/>
          <w:cols w:space="720" w:num="1" w:equalWidth="0">
            <w:col w:w="9228" w:space="0"/>
            <w:col w:w="9746" w:space="0"/>
            <w:col w:w="9116" w:space="0"/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92.00000000000003" w:type="dxa"/>
      </w:tblPr>
      <w:tblGrid>
        <w:gridCol w:w="3248"/>
        <w:gridCol w:w="3248"/>
        <w:gridCol w:w="3248"/>
      </w:tblGrid>
      <w:tr>
        <w:trPr>
          <w:trHeight w:hRule="exact" w:val="366"/>
        </w:trPr>
        <w:tc>
          <w:tcPr>
            <w:tcW w:type="dxa" w:w="9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4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LI Chaoxiang et al. /  AASRI Procedia  3 ( 2012 )  313 – 318 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317</w:t>
            </w:r>
          </w:p>
        </w:tc>
      </w:tr>
      <w:tr>
        <w:trPr>
          <w:trHeight w:hRule="exact" w:val="1940"/>
        </w:trPr>
        <w:tc>
          <w:tcPr>
            <w:tcW w:type="dxa" w:w="4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d</w:t>
            </w:r>
            <w:r>
              <w:drawing>
                <wp:inline xmlns:a="http://schemas.openxmlformats.org/drawingml/2006/main" xmlns:pic="http://schemas.openxmlformats.org/drawingml/2006/picture">
                  <wp:extent cx="2555240" cy="1029969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240" cy="1029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D</w:t>
            </w:r>
            <w:r>
              <w:drawing>
                <wp:inline xmlns:a="http://schemas.openxmlformats.org/drawingml/2006/main" xmlns:pic="http://schemas.openxmlformats.org/drawingml/2006/picture">
                  <wp:extent cx="2561590" cy="106045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90" cy="1060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4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2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Fig. 3  Flow state and concentration distribution of dross layer in </w:t>
            </w:r>
          </w:p>
        </w:tc>
        <w:tc>
          <w:tcPr>
            <w:tcW w:type="dxa" w:w="4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Fig. 4  Flow state and concentration distribution of dross layer in </w:t>
            </w:r>
          </w:p>
        </w:tc>
        <w:tc>
          <w:tcPr>
            <w:tcW w:type="dxa" w:w="324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4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2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Model 1</w:t>
            </w:r>
          </w:p>
        </w:tc>
        <w:tc>
          <w:tcPr>
            <w:tcW w:type="dxa" w:w="4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Model 2 </w:t>
            </w:r>
          </w:p>
        </w:tc>
        <w:tc>
          <w:tcPr>
            <w:tcW w:type="dxa" w:w="3248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45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2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a,b- Time=35s, c- Time=360.9s, d- Time=572.6s </w:t>
            </w:r>
          </w:p>
        </w:tc>
        <w:tc>
          <w:tcPr>
            <w:tcW w:type="dxa" w:w="4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a,b- Time=35s, c- Time=354.7s, d- Time=574.7s </w:t>
            </w:r>
          </w:p>
        </w:tc>
        <w:tc>
          <w:tcPr>
            <w:tcW w:type="dxa" w:w="324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334" w:after="0"/>
        <w:ind w:left="356" w:right="498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the case of dross flow state and concentration distribution, in Model-2 they are superior to those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Model-1, and the dross layer is more stable. The dross stability determines the adsorption of floating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inclusions. The more stable the dross layer is, the steadier the flow is at the interface, and the better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floating inclusions can be adsorbed. It can also be seen from Model-2, with the height of molten bath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increases, the dross near the retaining wall is shocked more seriously, and there may be an ideal bath height. </w:t>
      </w:r>
    </w:p>
    <w:p>
      <w:pPr>
        <w:autoSpaceDN w:val="0"/>
        <w:autoSpaceDE w:val="0"/>
        <w:widowControl/>
        <w:spacing w:line="230" w:lineRule="auto" w:before="260" w:after="0"/>
        <w:ind w:left="356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4. Simulation and Analysis on Normal Casting Process </w:t>
      </w:r>
    </w:p>
    <w:p>
      <w:pPr>
        <w:autoSpaceDN w:val="0"/>
        <w:autoSpaceDE w:val="0"/>
        <w:widowControl/>
        <w:spacing w:line="245" w:lineRule="auto" w:before="260" w:after="166"/>
        <w:ind w:left="356" w:right="50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order to further illustrate the stability of the dross layer in the two models, the flow state of protecting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dross is simulated in normal casting process. The simulation results are demonstrated in Figs.5 and 6.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location of screenshot is at y=1130mm, selecting the middle of the dross layer in thickness direction.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2.00000000000003" w:type="dxa"/>
      </w:tblPr>
      <w:tblGrid>
        <w:gridCol w:w="4872"/>
        <w:gridCol w:w="4872"/>
      </w:tblGrid>
      <w:tr>
        <w:trPr>
          <w:trHeight w:hRule="exact" w:val="3764"/>
        </w:trPr>
        <w:tc>
          <w:tcPr>
            <w:tcW w:type="dxa" w:w="44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e</w:t>
            </w:r>
            <w:r>
              <w:drawing>
                <wp:inline xmlns:a="http://schemas.openxmlformats.org/drawingml/2006/main" xmlns:pic="http://schemas.openxmlformats.org/drawingml/2006/picture">
                  <wp:extent cx="2458720" cy="102235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720" cy="1022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2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</w:t>
            </w:r>
            <w:r>
              <w:drawing>
                <wp:inline xmlns:a="http://schemas.openxmlformats.org/drawingml/2006/main" xmlns:pic="http://schemas.openxmlformats.org/drawingml/2006/picture">
                  <wp:extent cx="2551429" cy="1002029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429" cy="10020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2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Fig. 5  Volume fraction of dross layer in Model 1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26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e- Cloud picture, f- Contours </w:t>
            </w:r>
          </w:p>
        </w:tc>
        <w:tc>
          <w:tcPr>
            <w:tcW w:type="dxa" w:w="4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E</w:t>
            </w:r>
            <w:r>
              <w:drawing>
                <wp:inline xmlns:a="http://schemas.openxmlformats.org/drawingml/2006/main" xmlns:pic="http://schemas.openxmlformats.org/drawingml/2006/picture">
                  <wp:extent cx="2495550" cy="966469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9664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84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F</w:t>
            </w:r>
            <w:r>
              <w:drawing>
                <wp:inline xmlns:a="http://schemas.openxmlformats.org/drawingml/2006/main" xmlns:pic="http://schemas.openxmlformats.org/drawingml/2006/picture">
                  <wp:extent cx="2526029" cy="993139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029" cy="9931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30" w:lineRule="auto" w:before="22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Fig. 6  Volume fraction of dross layer in Model 2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1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 xml:space="preserve">e- Cloud picture, f- Contours </w:t>
            </w:r>
          </w:p>
        </w:tc>
      </w:tr>
    </w:tbl>
    <w:p>
      <w:pPr>
        <w:autoSpaceDN w:val="0"/>
        <w:autoSpaceDE w:val="0"/>
        <w:widowControl/>
        <w:spacing w:line="250" w:lineRule="auto" w:before="188" w:after="0"/>
        <w:ind w:left="356" w:right="498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Fig. 5 presents that in Model-1, the volume fraction of dross layer is changing from time to time, especially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at the end of the tundish. This shows that even in normal continuous casting, the concentration of dross layer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changes frequently. It is certain, at the interface the steel flow produces a strong impact to dross, resulting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dramatic variation in the concentration of the dross layer. In Fig. 5, the intensive distribution contours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illustrate that under dross layer, there is strong turbulence in molten steel, damaging the adsorption. Because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flow at interface is unstable, floating inclusions are difficult to be adsorbed by dross. Even worse, partial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dross is entrained by molten steel and flows to the filling opening. </w:t>
      </w:r>
    </w:p>
    <w:p>
      <w:pPr>
        <w:sectPr>
          <w:pgSz w:w="10885" w:h="14854"/>
          <w:pgMar w:top="368" w:right="532" w:bottom="212" w:left="608" w:header="720" w:footer="720" w:gutter="0"/>
          <w:cols w:space="720" w:num="1" w:equalWidth="0">
            <w:col w:w="9746" w:space="0"/>
            <w:col w:w="9228" w:space="0"/>
            <w:col w:w="9746" w:space="0"/>
            <w:col w:w="9116" w:space="0"/>
            <w:col w:w="97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82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318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LI Chaoxiang et al. /  AASRI Procedia  3 ( 2012 )  313 – 318 </w:t>
      </w:r>
    </w:p>
    <w:p>
      <w:pPr>
        <w:autoSpaceDN w:val="0"/>
        <w:autoSpaceDE w:val="0"/>
        <w:widowControl/>
        <w:spacing w:line="247" w:lineRule="auto" w:before="454" w:after="0"/>
        <w:ind w:left="312" w:right="28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contrast, Model-2 adopts flow control technology with side openings. In molten bath, molten steel form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 rotational movement in horizontal direction. It can alleviate the impulse in the vertical direction. This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follows the rotating separation principle of mechanics, and facilitates the separation of inclusions. As can be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seen from Fig. 6, in Model-2 the distribution and concentration of dross layer are very uniform and stable. </w:t>
      </w:r>
    </w:p>
    <w:p>
      <w:pPr>
        <w:autoSpaceDN w:val="0"/>
        <w:autoSpaceDE w:val="0"/>
        <w:widowControl/>
        <w:spacing w:line="240" w:lineRule="auto" w:before="18" w:after="0"/>
        <w:ind w:left="312" w:right="26" w:hanging="4"/>
        <w:jc w:val="both"/>
      </w:pPr>
      <w:r>
        <w:drawing>
          <wp:inline xmlns:a="http://schemas.openxmlformats.org/drawingml/2006/main" xmlns:pic="http://schemas.openxmlformats.org/drawingml/2006/picture">
            <wp:extent cx="2286000" cy="127000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 the dross layer is very small. A potential flow core can even be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formed, with zero relative velocity between molten steel and dross layer, and becomes gathering center for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floating inclusions. The dross layer is very steady, and conducive to the adsorption of inclusions. </w:t>
      </w:r>
    </w:p>
    <w:p>
      <w:pPr>
        <w:autoSpaceDN w:val="0"/>
        <w:autoSpaceDE w:val="0"/>
        <w:widowControl/>
        <w:spacing w:line="233" w:lineRule="auto" w:before="258" w:after="0"/>
        <w:ind w:left="3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5. Conclusions </w:t>
      </w:r>
    </w:p>
    <w:p>
      <w:pPr>
        <w:autoSpaceDN w:val="0"/>
        <w:autoSpaceDE w:val="0"/>
        <w:widowControl/>
        <w:spacing w:line="233" w:lineRule="auto" w:before="258" w:after="0"/>
        <w:ind w:left="55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(1) With VOF method, the multiphase flow model can simulate the flow state of dross in tundish well. </w:t>
      </w:r>
    </w:p>
    <w:p>
      <w:pPr>
        <w:autoSpaceDN w:val="0"/>
        <w:autoSpaceDE w:val="0"/>
        <w:widowControl/>
        <w:spacing w:line="247" w:lineRule="auto" w:before="18" w:after="0"/>
        <w:ind w:left="312" w:right="20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(2) The simulation results indicate in model-1 (commonly used in two-strand slab continuous casting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tundish), due to the control flow of retaining wall and dam, in vertical direction a turbulence and its pulse are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generated. This brings about a strong impact to the dross. It is unfavorable to the adsorption of the floating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inclusions, or even dross is partly entrained along with the filling opening. </w:t>
      </w:r>
    </w:p>
    <w:p>
      <w:pPr>
        <w:autoSpaceDN w:val="0"/>
        <w:autoSpaceDE w:val="0"/>
        <w:widowControl/>
        <w:spacing w:line="247" w:lineRule="auto" w:before="20" w:after="0"/>
        <w:ind w:left="312" w:right="28" w:firstLine="23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(3) In Model 2, the conventional diversion is altered, and the flow forms a rotational motion in horizontal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direction. This follows the rotating separation principle of mechanics, and facilitates the separation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inclusions. Meanwhile, the rotational motion will not impact the top dross, maintaining the stability of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dross layer. With zero relative velocity between molten steel and dross layer, it is very conducive for dross to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adsorb the floating inclusions. This model is very significant for the production of high purity steel. </w:t>
      </w:r>
    </w:p>
    <w:p>
      <w:pPr>
        <w:autoSpaceDN w:val="0"/>
        <w:autoSpaceDE w:val="0"/>
        <w:widowControl/>
        <w:spacing w:line="230" w:lineRule="auto" w:before="486" w:after="0"/>
        <w:ind w:left="312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References: </w:t>
      </w:r>
    </w:p>
    <w:p>
      <w:pPr>
        <w:autoSpaceDN w:val="0"/>
        <w:autoSpaceDE w:val="0"/>
        <w:widowControl/>
        <w:spacing w:line="245" w:lineRule="auto" w:before="202" w:after="0"/>
        <w:ind w:left="312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[1] ZHU Guosen, YU Huixiang, WANG Wanjun, WANG Xinhua. Study of surface defects of cold-rolled IF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steel sheet [J]. Iron and Steel, 2004, 39(4): 54-56. </w:t>
      </w:r>
    </w:p>
    <w:p>
      <w:pPr>
        <w:autoSpaceDN w:val="0"/>
        <w:autoSpaceDE w:val="0"/>
        <w:widowControl/>
        <w:spacing w:line="230" w:lineRule="auto" w:before="10" w:after="4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[2] Originally Published by International Iron and Steel Institute, Translated by Chinese Society for Metals.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4612"/>
        <w:gridCol w:w="4612"/>
      </w:tblGrid>
      <w:tr>
        <w:trPr>
          <w:trHeight w:hRule="exact" w:val="228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IISI Study on Clean Steel</w:t>
            </w:r>
          </w:p>
        </w:tc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State of the Art and Process Technology in Clean Steelmaking [M]. Beijing: </w:t>
            </w:r>
          </w:p>
        </w:tc>
      </w:tr>
    </w:tbl>
    <w:p>
      <w:pPr>
        <w:autoSpaceDN w:val="0"/>
        <w:autoSpaceDE w:val="0"/>
        <w:widowControl/>
        <w:spacing w:line="233" w:lineRule="auto" w:before="4" w:after="0"/>
        <w:ind w:left="3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Metallurgical Industry Press, 2006: 11-14. </w:t>
      </w:r>
    </w:p>
    <w:p>
      <w:pPr>
        <w:autoSpaceDN w:val="0"/>
        <w:autoSpaceDE w:val="0"/>
        <w:widowControl/>
        <w:spacing w:line="245" w:lineRule="auto" w:before="10" w:after="0"/>
        <w:ind w:left="312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[3] Guo Junyu, Zhang Jieyu, Ren Yanqiu. Study on free surface in tundish [J]. Steelmaking, 2000, 16(4): 34-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36, 46. </w:t>
      </w:r>
    </w:p>
    <w:p>
      <w:pPr>
        <w:autoSpaceDN w:val="0"/>
        <w:autoSpaceDE w:val="0"/>
        <w:widowControl/>
        <w:spacing w:line="245" w:lineRule="auto" w:before="10" w:after="0"/>
        <w:ind w:left="3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[4] YUE Lifang, REN Yanqiu. Numerical simulation of the free surface in the process of filling and emptying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the tundish [J]. J. of Inner Mongolia University of Science and Technology, 2007, 26(1): 6-9, 13. </w:t>
      </w:r>
    </w:p>
    <w:p>
      <w:pPr>
        <w:autoSpaceDN w:val="0"/>
        <w:autoSpaceDE w:val="0"/>
        <w:widowControl/>
        <w:spacing w:line="245" w:lineRule="auto" w:before="10" w:after="0"/>
        <w:ind w:left="312" w:right="288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[5] C.W. Hirt, B.D. Nichols. Volume of fluid (VOF) method for the dynamics of free boundaries [J]. J.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Computational Physics, 1981, 39: 201-225. </w:t>
      </w:r>
    </w:p>
    <w:sectPr w:rsidR="00FC693F" w:rsidRPr="0006063C" w:rsidSect="00034616">
      <w:pgSz w:w="10885" w:h="14854"/>
      <w:pgMar w:top="368" w:right="1008" w:bottom="1440" w:left="652" w:header="720" w:footer="720" w:gutter="0"/>
      <w:cols w:space="720" w:num="1" w:equalWidth="0">
        <w:col w:w="9226" w:space="0"/>
        <w:col w:w="9746" w:space="0"/>
        <w:col w:w="9228" w:space="0"/>
        <w:col w:w="9746" w:space="0"/>
        <w:col w:w="9116" w:space="0"/>
        <w:col w:w="97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