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162" w:lineRule="exact" w:before="0" w:after="238"/>
        <w:ind w:left="0" w:right="0" w:firstLine="0"/>
        <w:jc w:val="center"/>
      </w:pP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Arti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i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cial Intelligence in Agriculture 5 (2021) 157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162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69"/>
        <w:gridCol w:w="3469"/>
        <w:gridCol w:w="3469"/>
      </w:tblGrid>
      <w:tr>
        <w:trPr>
          <w:trHeight w:hRule="exact" w:val="1584"/>
        </w:trPr>
        <w:tc>
          <w:tcPr>
            <w:tcW w:type="dxa" w:w="1476"/>
            <w:tcBorders>
              <w:top w:sz="2.3999999999999773" w:val="single" w:color="#221F1F"/>
              <w:bottom w:sz="2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8820" cy="7480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748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82"/>
            <w:tcBorders>
              <w:top w:sz="2.3999999999999773" w:val="single" w:color="#221F1F"/>
              <w:bottom w:sz="2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482"/>
            </w:tblGrid>
            <w:tr>
              <w:trPr>
                <w:trHeight w:hRule="exact" w:val="240"/>
              </w:trPr>
              <w:tc>
                <w:tcPr>
                  <w:tcW w:type="dxa" w:w="7488"/>
                  <w:tcBorders/>
                  <w:shd w:fill="e6e7e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21F1F"/>
                      <w:sz w:val="16"/>
                    </w:rPr>
                    <w:t>Contents lists available at</w:t>
                  </w: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E3092"/>
                      <w:sz w:val="16"/>
                    </w:rPr>
                    <w:t xml:space="preserve"> </w:t>
                  </w: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E3092"/>
                      <w:sz w:val="16"/>
                    </w:rPr>
                    <w:hyperlink r:id="rId11" w:history="1">
                      <w:r>
                        <w:rPr>
                          <w:rStyle w:val="Hyperlink"/>
                        </w:rPr>
                        <w:t>ScienceDirect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1.9999999999999" w:type="dxa"/>
            </w:tblPr>
            <w:tblGrid>
              <w:gridCol w:w="7482"/>
            </w:tblGrid>
            <w:tr>
              <w:trPr>
                <w:trHeight w:hRule="exact" w:val="474"/>
              </w:trPr>
              <w:tc>
                <w:tcPr>
                  <w:tcW w:type="dxa" w:w="5940"/>
                  <w:tcBorders/>
                  <w:shd w:fill="e6e7e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4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AdvTT5235d5a9" w:hAnsi="AdvTT5235d5a9" w:eastAsia="AdvTT5235d5a9"/>
                      <w:b w:val="0"/>
                      <w:i w:val="0"/>
                      <w:color w:val="221F1F"/>
                      <w:sz w:val="28"/>
                    </w:rPr>
                    <w:t>Arti</w:t>
                  </w:r>
                  <w:r>
                    <w:rPr>
                      <w:rFonts w:ascii="AdvTT5235d5a9" w:hAnsi="AdvTT5235d5a9" w:eastAsia="AdvTT5235d5a9"/>
                      <w:b w:val="0"/>
                      <w:i w:val="0"/>
                      <w:color w:val="221F1F"/>
                      <w:sz w:val="28"/>
                    </w:rPr>
                    <w:t>fi</w:t>
                  </w:r>
                  <w:r>
                    <w:rPr>
                      <w:rFonts w:ascii="AdvTT5235d5a9" w:hAnsi="AdvTT5235d5a9" w:eastAsia="AdvTT5235d5a9"/>
                      <w:b w:val="0"/>
                      <w:i w:val="0"/>
                      <w:color w:val="221F1F"/>
                      <w:sz w:val="28"/>
                    </w:rPr>
                    <w:t>cial Intelligence in Agriculture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1.9999999999999" w:type="dxa"/>
            </w:tblPr>
            <w:tblGrid>
              <w:gridCol w:w="7482"/>
            </w:tblGrid>
            <w:tr>
              <w:trPr>
                <w:trHeight w:hRule="exact" w:val="260"/>
              </w:trPr>
              <w:tc>
                <w:tcPr>
                  <w:tcW w:type="dxa" w:w="7020"/>
                  <w:tcBorders/>
                  <w:shd w:fill="e6e7e8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21F1F"/>
                      <w:sz w:val="16"/>
                    </w:rPr>
                    <w:t>journal homepage:</w:t>
                  </w: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E3092"/>
                      <w:sz w:val="16"/>
                    </w:rPr>
                    <w:t xml:space="preserve"> </w:t>
                  </w:r>
                  <w:r>
                    <w:rPr>
                      <w:rFonts w:ascii="AdvTTc8c83e50" w:hAnsi="AdvTTc8c83e50" w:eastAsia="AdvTTc8c83e50"/>
                      <w:b w:val="0"/>
                      <w:i w:val="0"/>
                      <w:color w:val="2E3092"/>
                      <w:sz w:val="16"/>
                    </w:rPr>
                    <w:hyperlink r:id="rId12" w:history="1">
                      <w:r>
                        <w:rPr>
                          <w:rStyle w:val="Hyperlink"/>
                        </w:rPr>
                        <w:t>http://www.keaipublishing.com/en/journals/artificial-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2" w:lineRule="exact" w:before="18" w:after="0"/>
              <w:ind w:left="0" w:right="0" w:firstLine="0"/>
              <w:jc w:val="center"/>
            </w:pPr>
            <w:r>
              <w:rPr>
                <w:rFonts w:ascii="AdvTTc8c83e50" w:hAnsi="AdvTTc8c83e50" w:eastAsia="AdvTTc8c83e50"/>
                <w:b w:val="0"/>
                <w:i w:val="0"/>
                <w:color w:val="2E3092"/>
                <w:sz w:val="16"/>
              </w:rPr>
              <w:hyperlink r:id="rId12" w:history="1">
                <w:r>
                  <w:rPr>
                    <w:rStyle w:val="Hyperlink"/>
                  </w:rPr>
                  <w:t>intelligence-in-agriculture/</w:t>
                </w:r>
              </w:hyperlink>
            </w:r>
          </w:p>
        </w:tc>
        <w:tc>
          <w:tcPr>
            <w:tcW w:type="dxa" w:w="1424"/>
            <w:tcBorders>
              <w:top w:sz="2.3999999999999773" w:val="single" w:color="#221F1F"/>
              <w:bottom w:sz="2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1199" cy="8966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199" cy="8966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16"/>
        </w:trPr>
        <w:tc>
          <w:tcPr>
            <w:tcW w:type="dxa" w:w="8958"/>
            <w:gridSpan w:val="2"/>
            <w:tcBorders>
              <w:top w:sz="2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38" w:after="0"/>
              <w:ind w:left="2" w:right="1728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27"/>
              </w:rPr>
              <w:t xml:space="preserve">Predictive modeling for wine authenticity using a machine 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27"/>
              </w:rPr>
              <w:t>learning approach</w:t>
            </w:r>
          </w:p>
        </w:tc>
        <w:tc>
          <w:tcPr>
            <w:tcW w:type="dxa" w:w="1424"/>
            <w:tcBorders>
              <w:top w:sz="2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0" w:after="0"/>
              <w:ind w:left="3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68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98" w:lineRule="exact" w:before="74" w:after="0"/>
        <w:ind w:left="2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21"/>
        </w:rPr>
        <w:t>Nattane Luíza da Costa</w:t>
      </w:r>
      <w:r>
        <w:rPr>
          <w:rFonts w:ascii="AdvTT5235d5a9" w:hAnsi="AdvTT5235d5a9" w:eastAsia="AdvTT5235d5a9"/>
          <w:b w:val="0"/>
          <w:i w:val="0"/>
          <w:color w:val="2E3092"/>
          <w:sz w:val="15"/>
        </w:rPr>
        <w:t>a</w:t>
      </w:r>
      <w:r>
        <w:rPr>
          <w:rFonts w:ascii="AdvTT5235d5a9" w:hAnsi="AdvTT5235d5a9" w:eastAsia="AdvTT5235d5a9"/>
          <w:b w:val="0"/>
          <w:i w:val="0"/>
          <w:color w:val="221F1F"/>
          <w:sz w:val="15"/>
        </w:rPr>
        <w:t>,</w:t>
      </w:r>
      <w:r>
        <w:rPr>
          <w:rFonts w:ascii="AdvTT5235d5a9" w:hAnsi="AdvTT5235d5a9" w:eastAsia="AdvTT5235d5a9"/>
          <w:b w:val="0"/>
          <w:i w:val="0"/>
          <w:color w:val="2E3092"/>
          <w:sz w:val="15"/>
        </w:rPr>
        <w:t>b</w:t>
      </w:r>
      <w:r>
        <w:rPr>
          <w:rFonts w:ascii="AdvTT5235d5a9" w:hAnsi="AdvTT5235d5a9" w:eastAsia="AdvTT5235d5a9"/>
          <w:b w:val="0"/>
          <w:i w:val="0"/>
          <w:color w:val="221F1F"/>
          <w:sz w:val="15"/>
        </w:rPr>
        <w:t>,</w:t>
      </w:r>
      <w:r>
        <w:rPr>
          <w:rFonts w:ascii="AdvTT5235d5a9" w:hAnsi="AdvTT5235d5a9" w:eastAsia="AdvTT5235d5a9"/>
          <w:b w:val="0"/>
          <w:i w:val="0"/>
          <w:color w:val="2E3092"/>
          <w:sz w:val="24"/>
        </w:rPr>
        <w:t>⁎</w:t>
      </w:r>
      <w:r>
        <w:rPr>
          <w:rFonts w:ascii="AdvTT5235d5a9" w:hAnsi="AdvTT5235d5a9" w:eastAsia="AdvTT5235d5a9"/>
          <w:b w:val="0"/>
          <w:i w:val="0"/>
          <w:color w:val="221F1F"/>
          <w:sz w:val="21"/>
        </w:rPr>
        <w:t>, Leonardo A. Valentin</w:t>
      </w:r>
      <w:r>
        <w:rPr>
          <w:rFonts w:ascii="AdvTT5235d5a9" w:hAnsi="AdvTT5235d5a9" w:eastAsia="AdvTT5235d5a9"/>
          <w:b w:val="0"/>
          <w:i w:val="0"/>
          <w:color w:val="2E3092"/>
          <w:sz w:val="15"/>
        </w:rPr>
        <w:t>c</w:t>
      </w:r>
      <w:r>
        <w:rPr>
          <w:rFonts w:ascii="AdvTT5235d5a9" w:hAnsi="AdvTT5235d5a9" w:eastAsia="AdvTT5235d5a9"/>
          <w:b w:val="0"/>
          <w:i w:val="0"/>
          <w:color w:val="221F1F"/>
          <w:sz w:val="21"/>
        </w:rPr>
        <w:t>, Inar Alves Castro</w:t>
      </w:r>
      <w:r>
        <w:rPr>
          <w:rFonts w:ascii="AdvTT5235d5a9" w:hAnsi="AdvTT5235d5a9" w:eastAsia="AdvTT5235d5a9"/>
          <w:b w:val="0"/>
          <w:i w:val="0"/>
          <w:color w:val="2E3092"/>
          <w:sz w:val="15"/>
        </w:rPr>
        <w:t>c</w:t>
      </w:r>
      <w:r>
        <w:rPr>
          <w:rFonts w:ascii="AdvTT5235d5a9" w:hAnsi="AdvTT5235d5a9" w:eastAsia="AdvTT5235d5a9"/>
          <w:b w:val="0"/>
          <w:i w:val="0"/>
          <w:color w:val="221F1F"/>
          <w:sz w:val="21"/>
        </w:rPr>
        <w:t>, Rommel Melgaço Barbosa</w:t>
      </w:r>
      <w:r>
        <w:rPr>
          <w:rFonts w:ascii="AdvTT5235d5a9" w:hAnsi="AdvTT5235d5a9" w:eastAsia="AdvTT5235d5a9"/>
          <w:b w:val="0"/>
          <w:i w:val="0"/>
          <w:color w:val="2E3092"/>
          <w:sz w:val="15"/>
        </w:rPr>
        <w:t>a</w:t>
      </w:r>
    </w:p>
    <w:p>
      <w:pPr>
        <w:autoSpaceDN w:val="0"/>
        <w:autoSpaceDE w:val="0"/>
        <w:widowControl/>
        <w:spacing w:line="172" w:lineRule="exact" w:before="100" w:after="232"/>
        <w:ind w:left="2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9"/>
        </w:rPr>
        <w:t>a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 xml:space="preserve"> Instituto de Informática, Universidade Federal de Goiás, Goiânia-Go, Brazil </w:t>
      </w:r>
      <w:r>
        <w:br/>
      </w:r>
      <w:r>
        <w:rPr>
          <w:rFonts w:ascii="AdvTT5235d5a9" w:hAnsi="AdvTT5235d5a9" w:eastAsia="AdvTT5235d5a9"/>
          <w:b w:val="0"/>
          <w:i w:val="0"/>
          <w:color w:val="221F1F"/>
          <w:sz w:val="9"/>
        </w:rPr>
        <w:t>b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 xml:space="preserve"> Informatics Nucleo, Goiano Federal Institute of Education, Science and Technology, Campus Urutaí, Rodovia Geraldo Silva Nascimento, km 2.5, Zona Rural, Bloco de Informática, Urutaí, GO, Brazil </w:t>
      </w:r>
      <w:r>
        <w:rPr>
          <w:rFonts w:ascii="AdvTT5235d5a9" w:hAnsi="AdvTT5235d5a9" w:eastAsia="AdvTT5235d5a9"/>
          <w:b w:val="0"/>
          <w:i w:val="0"/>
          <w:color w:val="221F1F"/>
          <w:sz w:val="9"/>
        </w:rPr>
        <w:t>c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 xml:space="preserve"> LADAF, Department of Food and Experimental Nutrition, Faculty of Pharmaceutical Sciences, University of São Paulo, Av. Lineu Prestes, 580, B14, 05508-900 São Paulo, Brazil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69"/>
        <w:gridCol w:w="3469"/>
        <w:gridCol w:w="3469"/>
      </w:tblGrid>
      <w:tr>
        <w:trPr>
          <w:trHeight w:hRule="exact" w:val="642"/>
        </w:trPr>
        <w:tc>
          <w:tcPr>
            <w:tcW w:type="dxa" w:w="1178"/>
            <w:tcBorders>
              <w:top w:sz="2.400000000000091" w:val="single" w:color="#221F1F"/>
              <w:bottom w:sz="1.599999999999909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2" w:after="0"/>
              <w:ind w:left="2" w:right="0" w:firstLine="0"/>
              <w:jc w:val="left"/>
            </w:pPr>
            <w:r>
              <w:rPr>
                <w:rFonts w:ascii="AdvTT0f485e03" w:hAnsi="AdvTT0f485e03" w:eastAsia="AdvTT0f485e03"/>
                <w:b w:val="0"/>
                <w:i w:val="0"/>
                <w:color w:val="221F1F"/>
                <w:sz w:val="18"/>
              </w:rPr>
              <w:t>a r t i c l e</w:t>
            </w:r>
          </w:p>
        </w:tc>
        <w:tc>
          <w:tcPr>
            <w:tcW w:type="dxa" w:w="1488"/>
            <w:tcBorders>
              <w:top w:sz="2.400000000000091" w:val="single" w:color="#221F1F"/>
              <w:bottom w:sz="1.599999999999909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2" w:after="0"/>
              <w:ind w:left="120" w:right="0" w:firstLine="0"/>
              <w:jc w:val="left"/>
            </w:pPr>
            <w:r>
              <w:rPr>
                <w:rFonts w:ascii="AdvTT0f485e03" w:hAnsi="AdvTT0f485e03" w:eastAsia="AdvTT0f485e03"/>
                <w:b w:val="0"/>
                <w:i w:val="0"/>
                <w:color w:val="221F1F"/>
                <w:sz w:val="18"/>
              </w:rPr>
              <w:t>i n f o</w:t>
            </w:r>
          </w:p>
        </w:tc>
        <w:tc>
          <w:tcPr>
            <w:tcW w:type="dxa" w:w="7716"/>
            <w:tcBorders>
              <w:top w:sz="2.400000000000091" w:val="single" w:color="#221F1F"/>
              <w:bottom w:sz="1.599999999999909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2" w:after="0"/>
              <w:ind w:left="624" w:right="0" w:firstLine="0"/>
              <w:jc w:val="left"/>
            </w:pPr>
            <w:r>
              <w:rPr>
                <w:rFonts w:ascii="AdvTT0f485e03" w:hAnsi="AdvTT0f485e03" w:eastAsia="AdvTT0f485e03"/>
                <w:b w:val="0"/>
                <w:i w:val="0"/>
                <w:color w:val="221F1F"/>
                <w:sz w:val="18"/>
              </w:rPr>
              <w:t>a b s t r a c t</w:t>
            </w:r>
          </w:p>
        </w:tc>
      </w:tr>
      <w:tr>
        <w:trPr>
          <w:trHeight w:hRule="exact" w:val="1028"/>
        </w:trPr>
        <w:tc>
          <w:tcPr>
            <w:tcW w:type="dxa" w:w="2666"/>
            <w:gridSpan w:val="2"/>
            <w:tcBorders>
              <w:top w:sz="1.599999999999909" w:val="single" w:color="#221F1F"/>
              <w:bottom w:sz="1.600000000000363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8" w:after="0"/>
              <w:ind w:left="2" w:right="576" w:firstLine="0"/>
              <w:jc w:val="left"/>
            </w:pPr>
            <w:r>
              <w:rPr>
                <w:w w:val="98.09230657724234"/>
                <w:rFonts w:ascii="AdvTT94c8263f.I" w:hAnsi="AdvTT94c8263f.I" w:eastAsia="AdvTT94c8263f.I"/>
                <w:b w:val="0"/>
                <w:i w:val="0"/>
                <w:color w:val="221F1F"/>
                <w:sz w:val="13"/>
              </w:rPr>
              <w:t xml:space="preserve">Article history: </w:t>
            </w:r>
            <w:r>
              <w:br/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 xml:space="preserve">Received 3 November 2020 </w:t>
            </w:r>
            <w:r>
              <w:br/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 xml:space="preserve">Received in revised form 1 July 2021 </w:t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 xml:space="preserve">Accepted 8 July 2021 </w:t>
            </w:r>
            <w:r>
              <w:br/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Available online 10 July 2021</w:t>
            </w:r>
          </w:p>
        </w:tc>
        <w:tc>
          <w:tcPr>
            <w:tcW w:type="dxa" w:w="7716"/>
            <w:tcBorders>
              <w:top w:sz="1.599999999999909" w:val="single" w:color="#221F1F"/>
              <w:bottom w:sz="1.600000000000363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" w:after="0"/>
              <w:ind w:left="624" w:right="0" w:firstLine="0"/>
              <w:jc w:val="both"/>
            </w:pP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 xml:space="preserve">The purpose of this paper is to classify wines from 4 different countries in South America. Each class of wines is 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formed by samples considered by experts as representatives of the following commercial categories: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 xml:space="preserve"> “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Argentin-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ean Malbec (AM)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”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,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 xml:space="preserve"> “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Brazilian Merlot (BM)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”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,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 xml:space="preserve"> “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Uruguayan Tannat (UT)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”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 xml:space="preserve"> and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 xml:space="preserve"> “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Chilean Carménère (CC)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”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 xml:space="preserve">. The 83 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samples collected were analyzed according to their composition of volatiles, semi-volatiles and phenolic com-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pounds. We built a decision system for classi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fi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cation based on support vector machines (SVM), along with</w:t>
            </w:r>
          </w:p>
        </w:tc>
      </w:tr>
      <w:tr>
        <w:trPr>
          <w:trHeight w:hRule="exact" w:val="1114"/>
        </w:trPr>
        <w:tc>
          <w:tcPr>
            <w:tcW w:type="dxa" w:w="2666"/>
            <w:gridSpan w:val="2"/>
            <w:tcBorders>
              <w:top w:sz="1.600000000000363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2" w:right="1152" w:firstLine="0"/>
              <w:jc w:val="left"/>
            </w:pPr>
            <w:r>
              <w:rPr>
                <w:w w:val="98.09230657724234"/>
                <w:rFonts w:ascii="AdvTT94c8263f.I" w:hAnsi="AdvTT94c8263f.I" w:eastAsia="AdvTT94c8263f.I"/>
                <w:b w:val="0"/>
                <w:i w:val="0"/>
                <w:color w:val="221F1F"/>
                <w:sz w:val="13"/>
              </w:rPr>
              <w:t xml:space="preserve">Key-words: </w:t>
            </w:r>
            <w:r>
              <w:br/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Wine classi</w:t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fi</w:t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 xml:space="preserve">cation </w:t>
            </w:r>
            <w:r>
              <w:br/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 xml:space="preserve">Support vector machines </w:t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 xml:space="preserve">Feature selection </w:t>
            </w:r>
            <w:r>
              <w:br/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 xml:space="preserve">South American wines </w:t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Machine learning</w:t>
            </w:r>
          </w:p>
        </w:tc>
        <w:tc>
          <w:tcPr>
            <w:tcW w:type="dxa" w:w="7716"/>
            <w:tcBorders>
              <w:top w:sz="1.600000000000363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624" w:right="0" w:firstLine="0"/>
              <w:jc w:val="both"/>
            </w:pP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Correlation-based Feature selection (CFS), and Random Forest Importance (RFI), which measures the relative im-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 xml:space="preserve">portance of the input variables. First, we use CFS to select a subset of variables among 190 chemical compounds. 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 xml:space="preserve">Thirteen chemicals were selected as correlated to the category and uncorrelated with each other. Afterwards, 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these chemical compounds were organized according to the importance ranking given by the RFI and classi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fi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 xml:space="preserve">ed 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with SVM. The study clearly indicated that SVM in combination with feature selection methods was able to iden-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tify the most important chemicals to classify the wine samples. Among the compounds identi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fi</w:t>
            </w:r>
            <w:r>
              <w:rPr>
                <w:w w:val="102.4728570665632"/>
                <w:rFonts w:ascii="AdvTT5235d5a9" w:hAnsi="AdvTT5235d5a9" w:eastAsia="AdvTT5235d5a9"/>
                <w:b w:val="0"/>
                <w:i w:val="0"/>
                <w:color w:val="221F1F"/>
                <w:sz w:val="14"/>
              </w:rPr>
              <w:t>ed in the wine</w:t>
            </w:r>
          </w:p>
        </w:tc>
      </w:tr>
    </w:tbl>
    <w:p>
      <w:pPr>
        <w:autoSpaceDN w:val="0"/>
        <w:autoSpaceDE w:val="0"/>
        <w:widowControl/>
        <w:spacing w:line="182" w:lineRule="exact" w:before="2" w:after="0"/>
        <w:ind w:left="0" w:right="24" w:firstLine="0"/>
        <w:jc w:val="right"/>
      </w:pPr>
      <w:r>
        <w:rPr>
          <w:w w:val="102.4728570665632"/>
          <w:rFonts w:ascii="AdvTT5235d5a9" w:hAnsi="AdvTT5235d5a9" w:eastAsia="AdvTT5235d5a9"/>
          <w:b w:val="0"/>
          <w:i w:val="0"/>
          <w:color w:val="221F1F"/>
          <w:sz w:val="14"/>
        </w:rPr>
        <w:t>samples, the variable subset de</w:t>
      </w:r>
      <w:r>
        <w:rPr>
          <w:w w:val="102.4728570665632"/>
          <w:rFonts w:ascii="AdvTT5235d5a9" w:hAnsi="AdvTT5235d5a9" w:eastAsia="AdvTT5235d5a9"/>
          <w:b w:val="0"/>
          <w:i w:val="0"/>
          <w:color w:val="221F1F"/>
          <w:sz w:val="14"/>
        </w:rPr>
        <w:t>fi</w:t>
      </w:r>
      <w:r>
        <w:rPr>
          <w:w w:val="102.4728570665632"/>
          <w:rFonts w:ascii="AdvTT5235d5a9" w:hAnsi="AdvTT5235d5a9" w:eastAsia="AdvTT5235d5a9"/>
          <w:b w:val="0"/>
          <w:i w:val="0"/>
          <w:color w:val="221F1F"/>
          <w:sz w:val="14"/>
        </w:rPr>
        <w:t>ned by the feature selection methods, which were catechin, gallic, octanoic</w:t>
      </w:r>
    </w:p>
    <w:p>
      <w:pPr>
        <w:autoSpaceDN w:val="0"/>
        <w:autoSpaceDE w:val="0"/>
        <w:widowControl/>
        <w:spacing w:line="176" w:lineRule="exact" w:before="8" w:after="0"/>
        <w:ind w:left="0" w:right="22" w:firstLine="0"/>
        <w:jc w:val="right"/>
      </w:pPr>
      <w:r>
        <w:rPr>
          <w:w w:val="102.4728570665632"/>
          <w:rFonts w:ascii="AdvTT5235d5a9" w:hAnsi="AdvTT5235d5a9" w:eastAsia="AdvTT5235d5a9"/>
          <w:b w:val="0"/>
          <w:i w:val="0"/>
          <w:color w:val="221F1F"/>
          <w:sz w:val="14"/>
        </w:rPr>
        <w:t>acid, myricetin, caffeic, isobutanol, resveratrol, kaempferol, and ORAC, were able to achieve an accuracy of</w:t>
      </w:r>
    </w:p>
    <w:p>
      <w:pPr>
        <w:autoSpaceDN w:val="0"/>
        <w:autoSpaceDE w:val="0"/>
        <w:widowControl/>
        <w:spacing w:line="176" w:lineRule="exact" w:before="16" w:after="0"/>
        <w:ind w:left="0" w:right="4070" w:firstLine="0"/>
        <w:jc w:val="right"/>
      </w:pPr>
      <w:r>
        <w:rPr>
          <w:w w:val="102.4728570665632"/>
          <w:rFonts w:ascii="AdvTT5235d5a9" w:hAnsi="AdvTT5235d5a9" w:eastAsia="AdvTT5235d5a9"/>
          <w:b w:val="0"/>
          <w:i w:val="0"/>
          <w:color w:val="221F1F"/>
          <w:sz w:val="14"/>
        </w:rPr>
        <w:t>93.97% in classifying the commercial categories.</w:t>
      </w:r>
    </w:p>
    <w:p>
      <w:pPr>
        <w:autoSpaceDN w:val="0"/>
        <w:autoSpaceDE w:val="0"/>
        <w:widowControl/>
        <w:spacing w:line="176" w:lineRule="exact" w:before="16" w:after="0"/>
        <w:ind w:left="0" w:right="28" w:firstLine="0"/>
        <w:jc w:val="right"/>
      </w:pPr>
      <w:r>
        <w:rPr>
          <w:w w:val="102.4728570665632"/>
          <w:rFonts w:ascii="AdvTT5235d5a9" w:hAnsi="AdvTT5235d5a9" w:eastAsia="AdvTT5235d5a9"/>
          <w:b w:val="0"/>
          <w:i w:val="0"/>
          <w:color w:val="221F1F"/>
          <w:sz w:val="14"/>
        </w:rPr>
        <w:t>© 2021 The Authors. Publishing services by Elsevier B.V. on behalf of KeAi Communications Co., Ltd. This is an open</w:t>
      </w:r>
    </w:p>
    <w:p>
      <w:pPr>
        <w:autoSpaceDN w:val="0"/>
        <w:autoSpaceDE w:val="0"/>
        <w:widowControl/>
        <w:spacing w:line="176" w:lineRule="exact" w:before="14" w:after="204"/>
        <w:ind w:left="0" w:right="28" w:firstLine="0"/>
        <w:jc w:val="right"/>
      </w:pPr>
      <w:r>
        <w:rPr>
          <w:w w:val="102.4728570665632"/>
          <w:rFonts w:ascii="AdvTT5235d5a9" w:hAnsi="AdvTT5235d5a9" w:eastAsia="AdvTT5235d5a9"/>
          <w:b w:val="0"/>
          <w:i w:val="0"/>
          <w:color w:val="221F1F"/>
          <w:sz w:val="14"/>
        </w:rPr>
        <w:t>access article under the CC BY-NC-ND license (</w:t>
      </w:r>
      <w:r>
        <w:rPr>
          <w:w w:val="102.4728570665632"/>
          <w:rFonts w:ascii="AdvTT5235d5a9" w:hAnsi="AdvTT5235d5a9" w:eastAsia="AdvTT5235d5a9"/>
          <w:b w:val="0"/>
          <w:i w:val="0"/>
          <w:color w:val="2E3092"/>
          <w:sz w:val="14"/>
        </w:rPr>
        <w:hyperlink r:id="rId15" w:history="1">
          <w:r>
            <w:rPr>
              <w:rStyle w:val="Hyperlink"/>
            </w:rPr>
            <w:t>http://creativecommons.org/licenses/by-nc-nd/4.0/</w:t>
          </w:r>
        </w:hyperlink>
      </w:r>
      <w:r>
        <w:rPr>
          <w:w w:val="102.4728570665632"/>
          <w:rFonts w:ascii="AdvTT5235d5a9" w:hAnsi="AdvTT5235d5a9" w:eastAsia="AdvTT5235d5a9"/>
          <w:b w:val="0"/>
          <w:i w:val="0"/>
          <w:color w:val="221F1F"/>
          <w:sz w:val="14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04"/>
        <w:gridCol w:w="5204"/>
      </w:tblGrid>
      <w:tr>
        <w:trPr>
          <w:trHeight w:hRule="exact" w:val="606"/>
        </w:trPr>
        <w:tc>
          <w:tcPr>
            <w:tcW w:type="dxa" w:w="3238"/>
            <w:tcBorders>
              <w:top w:sz="1.599999999999909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2" w:after="0"/>
              <w:ind w:left="2" w:right="0" w:firstLine="0"/>
              <w:jc w:val="left"/>
            </w:pPr>
            <w:r>
              <w:rPr>
                <w:rFonts w:ascii="AdvTT28000ce1.B" w:hAnsi="AdvTT28000ce1.B" w:eastAsia="AdvTT28000ce1.B"/>
                <w:b w:val="0"/>
                <w:i w:val="0"/>
                <w:color w:val="221F1F"/>
                <w:sz w:val="16"/>
              </w:rPr>
              <w:t>1. Introduction</w:t>
            </w:r>
          </w:p>
        </w:tc>
        <w:tc>
          <w:tcPr>
            <w:tcW w:type="dxa" w:w="7144"/>
            <w:tcBorders>
              <w:top w:sz="1.599999999999909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2" w:after="0"/>
              <w:ind w:left="0" w:right="0" w:firstLine="0"/>
              <w:jc w:val="righ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(HPLC), coupled mass spectrometry detection (MS), Fourier Transform</w:t>
            </w:r>
          </w:p>
        </w:tc>
      </w:tr>
    </w:tbl>
    <w:p>
      <w:pPr>
        <w:autoSpaceDN w:val="0"/>
        <w:autoSpaceDE w:val="0"/>
        <w:widowControl/>
        <w:spacing w:line="196" w:lineRule="exact" w:before="6" w:after="14"/>
        <w:ind w:left="0" w:right="28" w:firstLine="0"/>
        <w:jc w:val="righ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Infrared (FTIR), among others, are able to describe wines in chemicals</w:t>
      </w:r>
    </w:p>
    <w:p>
      <w:pPr>
        <w:sectPr>
          <w:pgSz w:w="11906" w:h="15874"/>
          <w:pgMar w:top="366" w:right="736" w:bottom="482" w:left="762" w:header="720" w:footer="720" w:gutter="0"/>
          <w:cols w:space="720" w:num="1" w:equalWidth="0"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2" w:right="168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The combination of instrumental analyses with machine learning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have allowed the successful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of various products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foods according to geographical origin, varieties, and the type of farming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system (conventional or organic)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Jiménez-Carvelo et al., 2019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Versari 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et al., 2014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). The main reason to discriminate food products is quality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control and authentication, in order to avoid unfair competition that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can create a destabilized market and disrupt the regional economy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and even the national economy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Callao and Ruisánchez, 2018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</w:p>
    <w:p>
      <w:pPr>
        <w:sectPr>
          <w:type w:val="continuous"/>
          <w:pgSz w:w="11906" w:h="15874"/>
          <w:pgMar w:top="366" w:right="736" w:bottom="482" w:left="762" w:header="720" w:footer="720" w:gutter="0"/>
          <w:cols w:space="720" w:num="2" w:equalWidth="0"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168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compounds that can reveal useful information about the identity of each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wine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Versari et al., 2014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Villano et al., 2017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8" w:lineRule="exact" w:before="2" w:after="14"/>
        <w:ind w:left="168" w:right="24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world wine production reached in 2018 a volume of 292.3 mil-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lion of hectoliters, being more than 30 million hectoliters only in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Argentina, Chile, Brazil and Uruguay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Wine, 2019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), representing an im-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portant sector of economy of these countries. South American wines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have been the object of study of several research in order to classify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geographical origin and varietal. These studies have been performed</w:t>
      </w:r>
    </w:p>
    <w:p>
      <w:pPr>
        <w:sectPr>
          <w:type w:val="nextColumn"/>
          <w:pgSz w:w="11906" w:h="15874"/>
          <w:pgMar w:top="366" w:right="736" w:bottom="482" w:left="762" w:header="720" w:footer="720" w:gutter="0"/>
          <w:cols w:space="720" w:num="2" w:equalWidth="0"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tabs>
          <w:tab w:pos="5360" w:val="left"/>
        </w:tabs>
        <w:autoSpaceDE w:val="0"/>
        <w:widowControl/>
        <w:spacing w:line="196" w:lineRule="exact" w:before="0" w:after="14"/>
        <w:ind w:left="2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E3092"/>
          <w:sz w:val="16"/>
        </w:rPr>
        <w:t>Cordella et al., 2002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). </w:t>
      </w:r>
      <w:r>
        <w:tab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mainly by the use of Principal Component Analysis (PCA) and Linear</w:t>
      </w:r>
    </w:p>
    <w:p>
      <w:pPr>
        <w:sectPr>
          <w:type w:val="continuous"/>
          <w:pgSz w:w="11906" w:h="15874"/>
          <w:pgMar w:top="366" w:right="736" w:bottom="482" w:left="762" w:header="720" w:footer="720" w:gutter="0"/>
          <w:cols w:space="720" w:num="1" w:equalWidth="0"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2" w:right="168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Particularly, the wine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according to variety and region is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 important issue because it is an easily adulterated product in terms of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dilution of wines with water, the addition of alcohol, mislabeling,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blending with, or replacement by, wine of a lesser quality of denomination.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Analytical techniques such as High Performance Liquid Chromatogrphy</w:t>
      </w:r>
    </w:p>
    <w:p>
      <w:pPr>
        <w:autoSpaceDN w:val="0"/>
        <w:tabs>
          <w:tab w:pos="108" w:val="left"/>
        </w:tabs>
        <w:autoSpaceDE w:val="0"/>
        <w:widowControl/>
        <w:spacing w:line="168" w:lineRule="exact" w:before="396" w:after="0"/>
        <w:ind w:left="2" w:right="144" w:firstLine="0"/>
        <w:jc w:val="left"/>
      </w:pPr>
      <w:r>
        <w:tab/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⁎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Corresponding author at: Instituto de Informática, Universidade Federal de Goiás, 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Goiânia-Go, Brazil.</w:t>
      </w:r>
    </w:p>
    <w:p>
      <w:pPr>
        <w:autoSpaceDN w:val="0"/>
        <w:autoSpaceDE w:val="0"/>
        <w:widowControl/>
        <w:spacing w:line="172" w:lineRule="exact" w:before="0" w:after="0"/>
        <w:ind w:left="2" w:right="288" w:firstLine="238"/>
        <w:jc w:val="left"/>
      </w:pP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E-mail addresses: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16" w:history="1">
          <w:r>
            <w:rPr>
              <w:rStyle w:val="Hyperlink"/>
            </w:rPr>
            <w:t>nattane.luiza@ifgoiano.edu.br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(N.L. da Costa), </w:t>
      </w:r>
      <w:r>
        <w:br/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17" w:history="1">
          <w:r>
            <w:rPr>
              <w:rStyle w:val="Hyperlink"/>
            </w:rPr>
            <w:t>leonardo.valentin@usp.br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(L.A. Valentin),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18" w:history="1">
          <w:r>
            <w:rPr>
              <w:rStyle w:val="Hyperlink"/>
            </w:rPr>
            <w:t>inar@usp.br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(I.A. Castro),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19" w:history="1">
          <w:r>
            <w:rPr>
              <w:rStyle w:val="Hyperlink"/>
            </w:rPr>
            <w:t xml:space="preserve">rommel@inf.ufg.br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(R.M. Barbosa).</w:t>
      </w:r>
    </w:p>
    <w:p>
      <w:pPr>
        <w:autoSpaceDN w:val="0"/>
        <w:autoSpaceDE w:val="0"/>
        <w:widowControl/>
        <w:spacing w:line="156" w:lineRule="exact" w:before="228" w:after="0"/>
        <w:ind w:left="2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9" w:history="1">
          <w:r>
            <w:rPr>
              <w:rStyle w:val="Hyperlink"/>
            </w:rPr>
            <w:t>https://doi.org/10.1016/j.aiia.2021.07.001</w:t>
          </w:r>
        </w:hyperlink>
      </w:r>
    </w:p>
    <w:p>
      <w:pPr>
        <w:sectPr>
          <w:type w:val="continuous"/>
          <w:pgSz w:w="11906" w:h="15874"/>
          <w:pgMar w:top="366" w:right="736" w:bottom="482" w:left="762" w:header="720" w:footer="720" w:gutter="0"/>
          <w:cols w:space="720" w:num="2" w:equalWidth="0"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170" w:right="26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Discrimination Analysis (LDA)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Belmiro et al., 2017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Llobodanin et al., 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2014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Pisano et al., 2015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Versari et al., 2014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). The use of linear methods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is enough to obtain satisfactory results and the methods are easy for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chemists to understand. However, there are several physical-chemical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parameters that characterize samples, resulting in complex data with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some nonlinearity. Classical linear methods such as discriminant analy-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sis cannot model this nonlinearity. This way, nonlinear methods are re-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quired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Jiménez-Carvelo et al., 2019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Li et al., 2009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8" w:lineRule="exact" w:before="2" w:after="392"/>
        <w:ind w:left="170" w:right="28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Support Vector Machines (SVM) is one of the most popular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sophisticated machine learning techniques. This technique separates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samples by an optimal hyperplane that maximizes the distances</w:t>
      </w:r>
    </w:p>
    <w:p>
      <w:pPr>
        <w:sectPr>
          <w:type w:val="nextColumn"/>
          <w:pgSz w:w="11906" w:h="15874"/>
          <w:pgMar w:top="366" w:right="736" w:bottom="482" w:left="762" w:header="720" w:footer="720" w:gutter="0"/>
          <w:cols w:space="720" w:num="2" w:equalWidth="0"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0" w:after="0"/>
        <w:ind w:left="2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2589-7217/© 2021 The Authors. Publishing services by Elsevier B.V. on behalf of KeAi Communications Co., Ltd. This is an open access article under the CC BY-NC-ND license (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15" w:history="1">
          <w:r>
            <w:rPr>
              <w:rStyle w:val="Hyperlink"/>
            </w:rPr>
            <w:t xml:space="preserve">http://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15" w:history="1">
          <w:r>
            <w:rPr>
              <w:rStyle w:val="Hyperlink"/>
            </w:rPr>
            <w:t>creativecommons.org/licenses/by-nc-nd/4.0/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).</w:t>
      </w:r>
    </w:p>
    <w:p>
      <w:pPr>
        <w:sectPr>
          <w:type w:val="continuous"/>
          <w:pgSz w:w="11906" w:h="15874"/>
          <w:pgMar w:top="366" w:right="736" w:bottom="482" w:left="762" w:header="720" w:footer="720" w:gutter="0"/>
          <w:cols w:space="720" w:num="1" w:equalWidth="0"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sectPr>
          <w:pgSz w:w="11906" w:h="15874"/>
          <w:pgMar w:top="366" w:right="740" w:bottom="318" w:left="764" w:header="720" w:footer="720" w:gutter="0"/>
          <w:cols w:space="720" w:num="1" w:equalWidth="0"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 w:firstLine="0"/>
        <w:jc w:val="left"/>
      </w:pP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N.L. da Costa, L.A. Valentin, I.A. Castro et al.</w:t>
      </w:r>
    </w:p>
    <w:p>
      <w:pPr>
        <w:autoSpaceDN w:val="0"/>
        <w:autoSpaceDE w:val="0"/>
        <w:widowControl/>
        <w:spacing w:line="208" w:lineRule="exact" w:before="220" w:after="0"/>
        <w:ind w:left="0" w:right="170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between classes. When there are no linear decision boundaries,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original dataset (x) is converted into a new space f(x) which there is a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linear decision boundary that separates the samples into their classes.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SVM has been successfully used in many different applications, such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as: food science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Araújo et al., 2019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Richter et al., 2019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Soares et al., 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2018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Turra et al., 2017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), medicine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Froz et al., 2017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Vogado et al., 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2018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), forensic science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Maione et al., 2018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), among others.</w:t>
      </w:r>
    </w:p>
    <w:p>
      <w:pPr>
        <w:autoSpaceDN w:val="0"/>
        <w:autoSpaceDE w:val="0"/>
        <w:widowControl/>
        <w:spacing w:line="210" w:lineRule="exact" w:before="0" w:after="0"/>
        <w:ind w:left="0" w:right="168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In previous studies, some</w:t>
      </w: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 xml:space="preserve"> Vitis Vinífera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wines from South America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were analyzed with machine learning using feature selection and sup-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port vector machines based on their antioxidant activity, phenolic sub-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stances, anthocyanins and color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Costa et al., 2018, 2019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;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da Costa et al.,</w:t>
      </w:r>
    </w:p>
    <w:p>
      <w:pPr>
        <w:sectPr>
          <w:type w:val="continuous"/>
          <w:pgSz w:w="11906" w:h="15874"/>
          <w:pgMar w:top="366" w:right="740" w:bottom="318" w:left="764" w:header="720" w:footer="720" w:gutter="0"/>
          <w:cols w:space="720" w:num="2" w:equalWidth="0"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24" w:firstLine="0"/>
        <w:jc w:val="right"/>
      </w:pP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Arti</w:t>
      </w:r>
      <w:r>
        <w:rPr>
          <w:w w:val="98.09230657724234"/>
          <w:rFonts w:ascii="fb" w:hAnsi="fb" w:eastAsia="fb"/>
          <w:b w:val="0"/>
          <w:i w:val="0"/>
          <w:color w:val="221F1F"/>
          <w:sz w:val="13"/>
        </w:rPr>
        <w:t>fi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cial Intelligence in Agriculture 5 (2021) 157</w:t>
      </w:r>
      <w:r>
        <w:rPr>
          <w:w w:val="98.09230657724234"/>
          <w:rFonts w:ascii="20" w:hAnsi="20" w:eastAsia="20"/>
          <w:b w:val="0"/>
          <w:i w:val="0"/>
          <w:color w:val="221F1F"/>
          <w:sz w:val="13"/>
        </w:rPr>
        <w:t>–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162</w:t>
      </w:r>
    </w:p>
    <w:p>
      <w:pPr>
        <w:autoSpaceDN w:val="0"/>
        <w:autoSpaceDE w:val="0"/>
        <w:widowControl/>
        <w:spacing w:line="210" w:lineRule="exact" w:before="210" w:after="222"/>
        <w:ind w:left="168" w:right="22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immediately aliquoted and kept at -80 °C until the analysis. The re-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agents 2,2-diphenyl-1-picrylhydrazil (DPPH),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fl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uorescein, 2,2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′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-Azobis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(2-methylpropionamidine) dihydrochloride (AAPH), epicatechin,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caffeic acid, gallic acid, ferulic acid, rutin, trans-resveratrol, myricetin,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quercetin, kaempferol were purchased from Sigma-Aldrich (Sigma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Chemical Co, St. Louis, United States). The anthocyanins cyanidin-3-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glucoside, delphinidin-3-glucoside, peonidin-3-glucoside, petunidin-3-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glucoside and malvidin-3-glucoside were obtained from Polyphenols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Laboratories AS (Polyphenols SA, Sandnes, Norway). All other chemical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and solvents were analytical grade.</w:t>
      </w:r>
    </w:p>
    <w:p>
      <w:pPr>
        <w:sectPr>
          <w:type w:val="nextColumn"/>
          <w:pgSz w:w="11906" w:h="15874"/>
          <w:pgMar w:top="366" w:right="740" w:bottom="318" w:left="764" w:header="720" w:footer="720" w:gutter="0"/>
          <w:cols w:space="720" w:num="2" w:equalWidth="0"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01"/>
        <w:gridCol w:w="5201"/>
      </w:tblGrid>
      <w:tr>
        <w:trPr>
          <w:trHeight w:hRule="exact" w:val="386"/>
        </w:trPr>
        <w:tc>
          <w:tcPr>
            <w:tcW w:type="dxa" w:w="51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144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16"/>
              </w:rPr>
              <w:t>2016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). The use of feature selection allowed to identify the most impor-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tant chemical descriptors that characterize the geographical origin of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82" w:right="0" w:firstLine="0"/>
              <w:jc w:val="left"/>
            </w:pPr>
            <w:r>
              <w:rPr>
                <w:rFonts w:ascii="AdvTT94c8263f.I" w:hAnsi="AdvTT94c8263f.I" w:eastAsia="AdvTT94c8263f.I"/>
                <w:b w:val="0"/>
                <w:i w:val="0"/>
                <w:color w:val="221F1F"/>
                <w:sz w:val="16"/>
              </w:rPr>
              <w:t>2.2. Methods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continuous"/>
          <w:pgSz w:w="11906" w:h="15874"/>
          <w:pgMar w:top="366" w:right="740" w:bottom="318" w:left="764" w:header="720" w:footer="720" w:gutter="0"/>
          <w:cols w:space="720" w:num="1" w:equalWidth="0"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170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wines. The study of Soares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Soares et al., 2018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 also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ed South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America wines based on elemental concentrations, machine learning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and feature selection. The authors proposed a new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lter feature selec-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tion method and achieved seven elements that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ed the wines in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99.9% of accuracy.</w:t>
      </w:r>
    </w:p>
    <w:p>
      <w:pPr>
        <w:autoSpaceDN w:val="0"/>
        <w:autoSpaceDE w:val="0"/>
        <w:widowControl/>
        <w:spacing w:line="210" w:lineRule="exact" w:before="0" w:after="0"/>
        <w:ind w:left="0" w:right="170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Information like a reduced set of chemical descriptors that can clas-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sify food samples obtained from feature selection methods can reduce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costs related to the chemical analysis of uncorrelated compounds, re-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duce the computational time required to analyze the data, can improve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accuracy and provide useful information to prevent and to identify food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fraud.</w:t>
      </w:r>
    </w:p>
    <w:p>
      <w:pPr>
        <w:autoSpaceDN w:val="0"/>
        <w:autoSpaceDE w:val="0"/>
        <w:widowControl/>
        <w:spacing w:line="210" w:lineRule="exact" w:before="0" w:after="0"/>
        <w:ind w:left="0" w:right="168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In this study, samples of South American wines were analyzed based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on the phenolic, semi-volatile and volatile compounds. Few studies had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used feature selection methods to classify wine samples based on phe-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nolic and volatile compounds. The study of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Rebolo et al., 2000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 used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ve chemical compounds selected based on Stepwise Bayesian Analysis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algorithm to classify Galician red wines along with LDA, k-nearest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neighbors and soft independent class modeling. Mihena et al.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Mihnea 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et al., 2015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ed different pre-fermentative maceration techniques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of Mencía wines with forward stepwise linear discriminant analysis.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This technique was also used to select the most important chemical pa-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rameters to classify Chinese rice wines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Shen et al., 2012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), Andalusian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sweet wines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Márquez et al., 2008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), and the variety of Chinese red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wines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Zhang et al., 2010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10" w:lineRule="exact" w:before="0" w:after="0"/>
        <w:ind w:left="0" w:right="168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objective of this study is to characterize the main phenolic, semi-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volatile and volatile compounds which are able to discriminate the four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Commercial Categories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of South American wines, named Argentinean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Malbec (AM)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,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Brazilian Merlot (BM)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,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Uruguaian Tannat (UT)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and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Chilean Carménère (CC)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, based on Support vector machines (SVM)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combined with feature selection methods named Correlation Based Fea-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ture Selection and Random Forest Importance. To our knowledge, this is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rst study to combine SVM and two feature selection methods to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classify wine samples based on phenolic, semi-volatile and volatile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compounds.</w:t>
      </w:r>
    </w:p>
    <w:p>
      <w:pPr>
        <w:autoSpaceDN w:val="0"/>
        <w:autoSpaceDE w:val="0"/>
        <w:widowControl/>
        <w:spacing w:line="198" w:lineRule="exact" w:before="220" w:after="0"/>
        <w:ind w:left="0" w:right="0" w:firstLine="0"/>
        <w:jc w:val="left"/>
      </w:pP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>2. Material and methods</w:t>
      </w:r>
    </w:p>
    <w:p>
      <w:pPr>
        <w:sectPr>
          <w:type w:val="continuous"/>
          <w:pgSz w:w="11906" w:h="15874"/>
          <w:pgMar w:top="366" w:right="740" w:bottom="318" w:left="764" w:header="720" w:footer="720" w:gutter="0"/>
          <w:cols w:space="720" w:num="2" w:equalWidth="0"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168" w:right="22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The semi-volatile compounds were analyzed using Quadrupole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Time-of-Flight (QTOF) Liquid Chromatography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–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Mass Spectrometry ac-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cording to 5991-3335EN Application Note (Agilent Technologies, Inc.,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Palo Alto, USA). Volatiles and phenolic compounds were analyzed ac-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cording to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Cabredo-Pinillos et al. (2004)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and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Jaitz et al. (2010)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, respec-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tively. The antioxidant activity of the samples was analyzed by three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methods. ORAC was carried out according to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Huang et al. (2005)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.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DPPH analysis was based on method reported by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Brand-Williams et al. 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(1995)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, while FRAP was performed according to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Benzie and Strain 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(1996)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. The distribution of the compounds found is as follows: 21 phe-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nolic components, 29 volatiles and 140 semi-volatiles. More informa-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tion about the HPLC chromatograms is given by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Valentin et al. (2020)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.</w:t>
      </w:r>
    </w:p>
    <w:p>
      <w:pPr>
        <w:autoSpaceDN w:val="0"/>
        <w:tabs>
          <w:tab w:pos="406" w:val="left"/>
        </w:tabs>
        <w:autoSpaceDE w:val="0"/>
        <w:widowControl/>
        <w:spacing w:line="210" w:lineRule="exact" w:before="240" w:after="0"/>
        <w:ind w:left="168" w:right="0" w:firstLine="0"/>
        <w:jc w:val="left"/>
      </w:pP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 xml:space="preserve">2.2.1. Support vector machines </w:t>
      </w:r>
      <w:r>
        <w:br/>
      </w:r>
      <w:r>
        <w:tab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Support Vector Machines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Cortes and Vapnik, 1995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 is one of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best known and most used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 algorithms which aim to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 hyperplane with maximum margin to separate the classes of data.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This hyperplane is a special type of linear model. In the linear case a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database with two class of data is easily separated by a hyperplane in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two groups, which one represents one of the classes and the other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group represents the other class. The samples that are closest to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maximum-margin hyperplane are called support vectors. The non-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linear cases begin to be solved in 1995 when Cortes &amp; Vapnik intro-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duced the use of the soft-margin, which uses slack variables to penalize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samples that characterize the non-linearity of data. When there are no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linear decision boundaries the original dataset (x) is converted into a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new space f(x) by the kernel trick. In the new space f(x) there is a linear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decision boundary that separates the samples into their classes.</w:t>
      </w:r>
    </w:p>
    <w:p>
      <w:pPr>
        <w:autoSpaceDN w:val="0"/>
        <w:tabs>
          <w:tab w:pos="406" w:val="left"/>
        </w:tabs>
        <w:autoSpaceDE w:val="0"/>
        <w:widowControl/>
        <w:spacing w:line="210" w:lineRule="exact" w:before="240" w:after="14"/>
        <w:ind w:left="168" w:right="0" w:firstLine="0"/>
        <w:jc w:val="left"/>
      </w:pP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 xml:space="preserve">2.2.2. Feature selection </w:t>
      </w:r>
      <w:r>
        <w:br/>
      </w:r>
      <w:r>
        <w:tab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The feature selection (variable elimination) helps in understanding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data, reducing the effect of high dimensionality, reducing computa-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tional time and improving the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er performance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Chandrashekar 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and Sahin, 2014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). We use Correlation-based feature selection (CFS) to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select a subset of the most important variable and Random Forest Im-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portance (RFI) to order the variables selected. The CFS selected a feature</w:t>
      </w:r>
    </w:p>
    <w:p>
      <w:pPr>
        <w:sectPr>
          <w:type w:val="nextColumn"/>
          <w:pgSz w:w="11906" w:h="15874"/>
          <w:pgMar w:top="366" w:right="740" w:bottom="318" w:left="764" w:header="720" w:footer="720" w:gutter="0"/>
          <w:cols w:space="720" w:num="2" w:equalWidth="0"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01"/>
        <w:gridCol w:w="5201"/>
      </w:tblGrid>
      <w:tr>
        <w:trPr>
          <w:trHeight w:hRule="exact" w:val="384"/>
        </w:trPr>
        <w:tc>
          <w:tcPr>
            <w:tcW w:type="dxa" w:w="30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6" w:after="0"/>
              <w:ind w:left="0" w:right="0" w:firstLine="0"/>
              <w:jc w:val="left"/>
            </w:pPr>
            <w:r>
              <w:rPr>
                <w:rFonts w:ascii="AdvTT94c8263f.I" w:hAnsi="AdvTT94c8263f.I" w:eastAsia="AdvTT94c8263f.I"/>
                <w:b w:val="0"/>
                <w:i w:val="0"/>
                <w:color w:val="221F1F"/>
                <w:sz w:val="16"/>
              </w:rPr>
              <w:t>2.1. Material</w:t>
            </w:r>
          </w:p>
        </w:tc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2160" w:right="0" w:firstLine="0"/>
              <w:jc w:val="righ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subset that contains features highly correlated with the class, yet uncor-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related with each other (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16"/>
              </w:rPr>
              <w:t>Hall, 1999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). The Random Forest Importance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48"/>
        <w:ind w:left="0" w:right="0"/>
      </w:pPr>
    </w:p>
    <w:p>
      <w:pPr>
        <w:sectPr>
          <w:type w:val="continuous"/>
          <w:pgSz w:w="11906" w:h="15874"/>
          <w:pgMar w:top="366" w:right="740" w:bottom="318" w:left="764" w:header="720" w:footer="720" w:gutter="0"/>
          <w:cols w:space="720" w:num="1" w:equalWidth="0"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30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A group of wine experts from the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Brazilian Association of Somme-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liers (ABS-SP, São Paulo, Brazil)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was invited to list examples of wines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that were the best representatives of four categories: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Argentinean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Malbec (AM)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,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Brazilian Merlot (BM)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,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UruguaianTannat (UT)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and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Chilean Carménère (CC)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. The ABS-SP group is formed by experts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with elevated experience in the wine degustation, market and technol-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ogy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hyperlink r:id="rId20" w:history="1">
          <w:r>
            <w:rPr>
              <w:rStyle w:val="Hyperlink"/>
            </w:rPr>
            <w:t>www.abs-sp.com.br</w:t>
          </w:r>
        </w:hyperlink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). The following question was placed to the ex-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perts: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If you had to show to someone what is an authentic, for example,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Argentinean Malbec, which wine would you recommend?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To answer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this question, the experts elaborated a list containing the brand and vin-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tage of each category. From this list, 83 wines (2008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–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2015) were pur-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chased from the local stores covering a price range from 12 to 135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USD for 750 mL bottle. The list of wines applied in this study included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14 UT, 26 MA, 33 CC and 10 BM. The bottle was opened, the wine was</w:t>
      </w:r>
    </w:p>
    <w:p>
      <w:pPr>
        <w:sectPr>
          <w:type w:val="continuous"/>
          <w:pgSz w:w="11906" w:h="15874"/>
          <w:pgMar w:top="366" w:right="740" w:bottom="318" w:left="764" w:header="720" w:footer="720" w:gutter="0"/>
          <w:cols w:space="720" w:num="2" w:equalWidth="0"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3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158</w:t>
      </w:r>
    </w:p>
    <w:p>
      <w:pPr>
        <w:sectPr>
          <w:type w:val="nextColumn"/>
          <w:pgSz w:w="11906" w:h="15874"/>
          <w:pgMar w:top="366" w:right="740" w:bottom="318" w:left="764" w:header="720" w:footer="720" w:gutter="0"/>
          <w:cols w:space="720" w:num="2" w:equalWidth="0"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sectPr>
          <w:pgSz w:w="11906" w:h="15874"/>
          <w:pgMar w:top="366" w:right="740" w:bottom="318" w:left="764" w:header="720" w:footer="720" w:gutter="0"/>
          <w:cols w:space="720" w:num="2" w:equalWidth="0"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 w:firstLine="0"/>
        <w:jc w:val="left"/>
      </w:pP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N.L. da Costa, L.A. Valentin, I.A. Castro et al.</w:t>
      </w:r>
    </w:p>
    <w:p>
      <w:pPr>
        <w:autoSpaceDN w:val="0"/>
        <w:autoSpaceDE w:val="0"/>
        <w:widowControl/>
        <w:spacing w:line="208" w:lineRule="exact" w:before="220" w:after="0"/>
        <w:ind w:left="0" w:right="144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obtained in each partition. All machine learning tasks and graphs were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performed using the R software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R Core Team, 2017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196" w:lineRule="exact" w:before="250" w:after="0"/>
        <w:ind w:left="0" w:right="0" w:firstLine="0"/>
        <w:jc w:val="left"/>
      </w:pP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>3. Results and discussion</w:t>
      </w:r>
    </w:p>
    <w:p>
      <w:pPr>
        <w:autoSpaceDN w:val="0"/>
        <w:autoSpaceDE w:val="0"/>
        <w:widowControl/>
        <w:spacing w:line="210" w:lineRule="exact" w:before="208" w:after="0"/>
        <w:ind w:left="0" w:right="168" w:firstLine="238"/>
        <w:jc w:val="both"/>
      </w:pPr>
      <w:r>
        <w:rPr>
          <w:rFonts w:ascii="AdvTT5235d5a9" w:hAnsi="AdvTT5235d5a9" w:eastAsia="AdvTT5235d5a9"/>
          <w:b w:val="0"/>
          <w:i w:val="0"/>
          <w:color w:val="2E3092"/>
          <w:sz w:val="16"/>
        </w:rPr>
        <w:t>Fig. 1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shows the steps carried out in this study. After select the wines,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they were analyzed according to their composition of phenolic, volatiles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and semi-volatiles compounds. Next, we applied the machine learning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techniques to investigate the distinction of the commercial categories.</w:t>
      </w:r>
    </w:p>
    <w:p>
      <w:pPr>
        <w:autoSpaceDN w:val="0"/>
        <w:autoSpaceDE w:val="0"/>
        <w:widowControl/>
        <w:spacing w:line="210" w:lineRule="exact" w:before="0" w:after="0"/>
        <w:ind w:left="0" w:right="168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About 600 peaks were isolated to volatile compounds, semi-volatile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compounds by negative mode and semi-volatile compounds by positive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mode compounds. From them, just the peaks that it was possible to iden-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tify the formula were selected (169 peaks). The dataset used in this study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has 83 samples described in 169 volatile and semi-volatile compounds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peaks besides 21 variables relative to antioxidant activity and phenolic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compounds associated to one of the classes (AM, BM, CC, UT). The num-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ber of samples of each class was distributed as follows: 26 Argentinean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Malbec samples, 10 Brazilian Merlot samples, 33 Chilean Carménère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samples, and 14 Uruguayan Tannat samples. The class labels (the chem-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ical categories) were selected by a panel of wine experts on base on their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sensory properties. This aspect is essential because researchers, usually,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do not have this information, and proportion of market share can be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more related to price conditions than wines authenticity.</w:t>
      </w:r>
    </w:p>
    <w:p>
      <w:pPr>
        <w:autoSpaceDN w:val="0"/>
        <w:autoSpaceDE w:val="0"/>
        <w:widowControl/>
        <w:spacing w:line="200" w:lineRule="exact" w:before="252" w:after="0"/>
        <w:ind w:left="0" w:right="0" w:firstLine="0"/>
        <w:jc w:val="left"/>
      </w:pP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>3.1. Classi</w:t>
      </w:r>
      <w:r>
        <w:rPr>
          <w:rFonts w:ascii="fb" w:hAnsi="fb" w:eastAsia="fb"/>
          <w:b w:val="0"/>
          <w:i w:val="0"/>
          <w:color w:val="221F1F"/>
          <w:sz w:val="16"/>
        </w:rPr>
        <w:t>fi</w:t>
      </w: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>cation and analysis of all dataset</w:t>
      </w:r>
    </w:p>
    <w:p>
      <w:pPr>
        <w:sectPr>
          <w:type w:val="continuous"/>
          <w:pgSz w:w="11906" w:h="15874"/>
          <w:pgMar w:top="366" w:right="740" w:bottom="318" w:left="764" w:header="720" w:footer="720" w:gutter="0"/>
          <w:cols w:space="720" w:num="2" w:equalWidth="0"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24" w:firstLine="0"/>
        <w:jc w:val="right"/>
      </w:pP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Arti</w:t>
      </w:r>
      <w:r>
        <w:rPr>
          <w:w w:val="98.09230657724234"/>
          <w:rFonts w:ascii="fb" w:hAnsi="fb" w:eastAsia="fb"/>
          <w:b w:val="0"/>
          <w:i w:val="0"/>
          <w:color w:val="221F1F"/>
          <w:sz w:val="13"/>
        </w:rPr>
        <w:t>fi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cial Intelligence in Agriculture 5 (2021) 157</w:t>
      </w:r>
      <w:r>
        <w:rPr>
          <w:w w:val="98.09230657724234"/>
          <w:rFonts w:ascii="20" w:hAnsi="20" w:eastAsia="20"/>
          <w:b w:val="0"/>
          <w:i w:val="0"/>
          <w:color w:val="221F1F"/>
          <w:sz w:val="13"/>
        </w:rPr>
        <w:t>–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162</w:t>
      </w:r>
    </w:p>
    <w:p>
      <w:pPr>
        <w:autoSpaceDN w:val="0"/>
        <w:autoSpaceDE w:val="0"/>
        <w:widowControl/>
        <w:spacing w:line="240" w:lineRule="auto" w:before="170" w:after="0"/>
        <w:ind w:left="2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16579" cy="23075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6579" cy="2307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58" w:lineRule="exact" w:before="226" w:after="0"/>
        <w:ind w:left="0" w:right="1548" w:firstLine="0"/>
        <w:jc w:val="right"/>
      </w:pPr>
      <w:r>
        <w:rPr>
          <w:w w:val="98.09230657724234"/>
          <w:rFonts w:ascii="AdvTT28000ce1.B" w:hAnsi="AdvTT28000ce1.B" w:eastAsia="AdvTT28000ce1.B"/>
          <w:b w:val="0"/>
          <w:i w:val="0"/>
          <w:color w:val="221F1F"/>
          <w:sz w:val="13"/>
        </w:rPr>
        <w:t>Fig. 2.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PCA score plot of all dataset.</w:t>
      </w:r>
    </w:p>
    <w:p>
      <w:pPr>
        <w:autoSpaceDN w:val="0"/>
        <w:autoSpaceDE w:val="0"/>
        <w:widowControl/>
        <w:spacing w:line="212" w:lineRule="exact" w:before="458" w:after="226"/>
        <w:ind w:left="168" w:right="22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rate can be explained considering the fact that is possible to exists noise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or irrelevant variables in our dataset. Therefore, we applied feature selec-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tion methods to select a subset of variables from the input which can ef-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ciently describe the input data and discriminate among the classes.</w:t>
      </w:r>
    </w:p>
    <w:p>
      <w:pPr>
        <w:sectPr>
          <w:type w:val="nextColumn"/>
          <w:pgSz w:w="11906" w:h="15874"/>
          <w:pgMar w:top="366" w:right="740" w:bottom="318" w:left="764" w:header="720" w:footer="720" w:gutter="0"/>
          <w:cols w:space="720" w:num="2" w:equalWidth="0"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tabs>
          <w:tab w:pos="5358" w:val="left"/>
        </w:tabs>
        <w:autoSpaceDE w:val="0"/>
        <w:widowControl/>
        <w:spacing w:line="202" w:lineRule="exact" w:before="0" w:after="0"/>
        <w:ind w:left="238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algorithm SVM was applied considering the original </w:t>
      </w:r>
      <w:r>
        <w:tab/>
      </w: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>3.2. Feature selection</w:t>
      </w:r>
    </w:p>
    <w:p>
      <w:pPr>
        <w:autoSpaceDN w:val="0"/>
        <w:autoSpaceDE w:val="0"/>
        <w:widowControl/>
        <w:spacing w:line="202" w:lineRule="exact" w:before="6" w:after="8"/>
        <w:ind w:left="0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190 variables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rst (169 volatile and semi-volatile compounds peaks and</w:t>
      </w:r>
    </w:p>
    <w:p>
      <w:pPr>
        <w:sectPr>
          <w:type w:val="continuous"/>
          <w:pgSz w:w="11906" w:h="15874"/>
          <w:pgMar w:top="366" w:right="740" w:bottom="318" w:left="764" w:header="720" w:footer="720" w:gutter="0"/>
          <w:cols w:space="720" w:num="1" w:equalWidth="0"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168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21 variables relative to antioxidant activity and phenolic compounds).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Results achieved in this step are considered as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references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to which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any others can be compared. The SVM model obtained 39.76% of accuracy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by the use of all 190 variables. All the samples were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ed as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Chilean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Carménère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. The accuracy value obtained in this model is explained by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the number of CC samples. There are 33 CC samples in the database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and all samples were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ed as CC. Only the 33 CC samples were cor-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rectly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ed, which represent 39.76% of the total samples.</w:t>
      </w:r>
    </w:p>
    <w:p>
      <w:pPr>
        <w:autoSpaceDN w:val="0"/>
        <w:autoSpaceDE w:val="0"/>
        <w:widowControl/>
        <w:spacing w:line="208" w:lineRule="exact" w:before="0" w:after="0"/>
        <w:ind w:left="0" w:right="168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 exploratory analysis by means of principal component analysis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(PCA) was carried out to investigate this result. This technique is based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on a linear transformation of data into different orthogonal coordinates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using maximum variance and minimum correlation. By reducing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number of features from 190 original variables to two principal compo-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nents, the information is enough to allow an examination of the samples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according to the commercial category in a 2D-plot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Fig. 2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). There is no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natural separation among the classes. Three clusters can be identi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ed,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however, each one is formed with samples of all classes.</w:t>
      </w:r>
    </w:p>
    <w:p>
      <w:pPr>
        <w:autoSpaceDN w:val="0"/>
        <w:autoSpaceDE w:val="0"/>
        <w:widowControl/>
        <w:spacing w:line="208" w:lineRule="exact" w:before="8" w:after="0"/>
        <w:ind w:left="0" w:right="144" w:firstLine="238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rst conclusion is that all phenolic and volatile compounds can-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not discriminate among the commercial categories. The low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</w:t>
      </w:r>
    </w:p>
    <w:p>
      <w:pPr>
        <w:sectPr>
          <w:type w:val="continuous"/>
          <w:pgSz w:w="11906" w:h="15874"/>
          <w:pgMar w:top="366" w:right="740" w:bottom="318" w:left="764" w:header="720" w:footer="720" w:gutter="0"/>
          <w:cols w:space="720" w:num="2" w:equalWidth="0"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170" w:right="20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CFS were applied to all dataset and returned 13 variables. They are: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ORAC, octanoic acid, isobutanol, 2-phenyletanol, isorhamnetin, ethyl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lactate, sv(+) 16 - not identi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ed semi-volatile, gallic, catechin, caffeic,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myricetin, resveratrol and kaempferol.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Table 1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shows the mean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and the standard deviation of the chemical's concentration for each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commercial category along with the results of Kruskal Wallis test.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variables ORAC, 2-phenyletanol and gallic present a very close concen-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tration values for the commercial categories AM, BM, and CC, and a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higher concentration for the UT (</w:t>
      </w: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>p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value &lt;0.05). The UT concentrations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for these variables presented a signi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cant difference. The variables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octanoic acid and isobutanol showed highest values for the BM and CC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categories (</w:t>
      </w: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>p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value &lt;0.05) and AM and UT were not signi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cant different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from each other. Ethyl lactate and resveratrol presented a highest con-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centration values for the BM wines (</w:t>
      </w: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>p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value &lt;0.05). There is no pattern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among the statistical differences in the variable's concentrations among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the commercial categories. An advanced analysis is need to differentiate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categories based on this chemical composition.</w:t>
      </w:r>
    </w:p>
    <w:p>
      <w:pPr>
        <w:autoSpaceDN w:val="0"/>
        <w:autoSpaceDE w:val="0"/>
        <w:widowControl/>
        <w:spacing w:line="212" w:lineRule="exact" w:before="0" w:after="408"/>
        <w:ind w:left="170" w:right="0" w:firstLine="238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A PCA analysis was carried out on the selected variables.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Fig. 3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shows the score plot of the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rst two principal components. A natural</w:t>
      </w:r>
    </w:p>
    <w:p>
      <w:pPr>
        <w:sectPr>
          <w:type w:val="nextColumn"/>
          <w:pgSz w:w="11906" w:h="15874"/>
          <w:pgMar w:top="366" w:right="740" w:bottom="318" w:left="764" w:header="720" w:footer="720" w:gutter="0"/>
          <w:cols w:space="720" w:num="2" w:equalWidth="0"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054600" cy="19786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97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6" w:lineRule="exact" w:before="46" w:after="0"/>
        <w:ind w:left="3600" w:right="3600" w:firstLine="0"/>
        <w:jc w:val="center"/>
      </w:pPr>
      <w:r>
        <w:rPr>
          <w:w w:val="98.09230657724234"/>
          <w:rFonts w:ascii="AdvTT28000ce1.B" w:hAnsi="AdvTT28000ce1.B" w:eastAsia="AdvTT28000ce1.B"/>
          <w:b w:val="0"/>
          <w:i w:val="0"/>
          <w:color w:val="221F1F"/>
          <w:sz w:val="13"/>
        </w:rPr>
        <w:t>Fig. 1.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Methodology applied on South America wines. </w:t>
      </w:r>
      <w:r>
        <w:br/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159</w:t>
      </w:r>
    </w:p>
    <w:p>
      <w:pPr>
        <w:sectPr>
          <w:type w:val="continuous"/>
          <w:pgSz w:w="11906" w:h="15874"/>
          <w:pgMar w:top="366" w:right="740" w:bottom="318" w:left="764" w:header="720" w:footer="720" w:gutter="0"/>
          <w:cols w:space="720" w:num="1" w:equalWidth="0"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sectPr>
          <w:pgSz w:w="11906" w:h="15874"/>
          <w:pgMar w:top="366" w:right="742" w:bottom="318" w:left="762" w:header="720" w:footer="720" w:gutter="0"/>
          <w:cols w:space="720" w:num="1" w:equalWidth="0"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2" w:right="0" w:firstLine="0"/>
        <w:jc w:val="left"/>
      </w:pP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N.L. da Costa, L.A. Valentin, I.A. Castro et al.</w:t>
      </w:r>
    </w:p>
    <w:p>
      <w:pPr>
        <w:autoSpaceDN w:val="0"/>
        <w:autoSpaceDE w:val="0"/>
        <w:widowControl/>
        <w:spacing w:line="158" w:lineRule="exact" w:before="244" w:after="0"/>
        <w:ind w:left="2" w:right="0" w:firstLine="0"/>
        <w:jc w:val="left"/>
      </w:pPr>
      <w:r>
        <w:rPr>
          <w:w w:val="98.09230657724234"/>
          <w:rFonts w:ascii="AdvTT28000ce1.B" w:hAnsi="AdvTT28000ce1.B" w:eastAsia="AdvTT28000ce1.B"/>
          <w:b w:val="0"/>
          <w:i w:val="0"/>
          <w:color w:val="221F1F"/>
          <w:sz w:val="13"/>
        </w:rPr>
        <w:t>Table 1</w:t>
      </w:r>
    </w:p>
    <w:p>
      <w:pPr>
        <w:sectPr>
          <w:type w:val="continuous"/>
          <w:pgSz w:w="11906" w:h="15874"/>
          <w:pgMar w:top="366" w:right="742" w:bottom="318" w:left="762" w:header="720" w:footer="720" w:gutter="0"/>
          <w:cols w:space="720" w:num="2" w:equalWidth="0"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408"/>
        <w:ind w:left="0" w:right="22" w:firstLine="0"/>
        <w:jc w:val="right"/>
      </w:pP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Arti</w:t>
      </w:r>
      <w:r>
        <w:rPr>
          <w:w w:val="98.09230657724234"/>
          <w:rFonts w:ascii="fb" w:hAnsi="fb" w:eastAsia="fb"/>
          <w:b w:val="0"/>
          <w:i w:val="0"/>
          <w:color w:val="221F1F"/>
          <w:sz w:val="13"/>
        </w:rPr>
        <w:t>fi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cial Intelligence in Agriculture 5 (2021) 157</w:t>
      </w:r>
      <w:r>
        <w:rPr>
          <w:w w:val="98.09230657724234"/>
          <w:rFonts w:ascii="20" w:hAnsi="20" w:eastAsia="20"/>
          <w:b w:val="0"/>
          <w:i w:val="0"/>
          <w:color w:val="221F1F"/>
          <w:sz w:val="13"/>
        </w:rPr>
        <w:t>–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162</w:t>
      </w:r>
    </w:p>
    <w:p>
      <w:pPr>
        <w:sectPr>
          <w:type w:val="nextColumn"/>
          <w:pgSz w:w="11906" w:h="15874"/>
          <w:pgMar w:top="366" w:right="742" w:bottom="318" w:left="762" w:header="720" w:footer="720" w:gutter="0"/>
          <w:cols w:space="720" w:num="2" w:equalWidth="0"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76"/>
        <w:ind w:left="2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Descriptive statistical analysis of South American commercial Categories wine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80"/>
        <w:gridCol w:w="2080"/>
        <w:gridCol w:w="2080"/>
        <w:gridCol w:w="2080"/>
        <w:gridCol w:w="2080"/>
      </w:tblGrid>
      <w:tr>
        <w:trPr>
          <w:trHeight w:hRule="exact" w:val="264"/>
        </w:trPr>
        <w:tc>
          <w:tcPr>
            <w:tcW w:type="dxa" w:w="173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Variable</w:t>
            </w:r>
          </w:p>
        </w:tc>
        <w:tc>
          <w:tcPr>
            <w:tcW w:type="dxa" w:w="214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AM</w:t>
            </w:r>
          </w:p>
        </w:tc>
        <w:tc>
          <w:tcPr>
            <w:tcW w:type="dxa" w:w="220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BM</w:t>
            </w:r>
          </w:p>
        </w:tc>
        <w:tc>
          <w:tcPr>
            <w:tcW w:type="dxa" w:w="210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UT</w:t>
            </w:r>
          </w:p>
        </w:tc>
        <w:tc>
          <w:tcPr>
            <w:tcW w:type="dxa" w:w="220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CC</w:t>
            </w:r>
          </w:p>
        </w:tc>
      </w:tr>
      <w:tr>
        <w:trPr>
          <w:trHeight w:hRule="exact" w:val="196"/>
        </w:trPr>
        <w:tc>
          <w:tcPr>
            <w:tcW w:type="dxa" w:w="173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4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ORAC (mMol TE)</w:t>
            </w:r>
          </w:p>
        </w:tc>
        <w:tc>
          <w:tcPr>
            <w:tcW w:type="dxa" w:w="21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8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21.31 ± 1.13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</w:t>
            </w:r>
          </w:p>
        </w:tc>
        <w:tc>
          <w:tcPr>
            <w:tcW w:type="dxa" w:w="220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8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21.82 ± 0.99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</w:t>
            </w:r>
          </w:p>
        </w:tc>
        <w:tc>
          <w:tcPr>
            <w:tcW w:type="dxa" w:w="210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8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30.18 ± 1.53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am,cc,bm</w:t>
            </w:r>
          </w:p>
        </w:tc>
        <w:tc>
          <w:tcPr>
            <w:tcW w:type="dxa" w:w="220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8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21.33 ± 0.66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</w:t>
            </w:r>
          </w:p>
        </w:tc>
      </w:tr>
      <w:tr>
        <w:trPr>
          <w:trHeight w:hRule="exact" w:val="180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octanoic acid (area)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27,478,983 ± 5 517 205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cc, bm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48,950,606 ± 4 335 284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am, cc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15,443,778 ± 3 057 059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cc, bm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63,179,169 ± 2 182 888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am, bm</w:t>
            </w:r>
          </w:p>
        </w:tc>
      </w:tr>
      <w:tr>
        <w:trPr>
          <w:trHeight w:hRule="exact" w:val="180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Isobutanol (area)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7,046,394 ± 2 077 253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cc, bm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24,145,070 ± 5 148 480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am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3,803,071 ± 523 621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cc, bm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26,713,251 ± 2 124 151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am</w:t>
            </w:r>
          </w:p>
        </w:tc>
      </w:tr>
      <w:tr>
        <w:trPr>
          <w:trHeight w:hRule="exact" w:val="160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2-phenyletanol (area)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749,658 ± 234 101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407,573 ± 73 070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2,953,941 ± 687 182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am, cc, bm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624,054 ± 105 318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</w:t>
            </w:r>
          </w:p>
        </w:tc>
      </w:tr>
      <w:tr>
        <w:trPr>
          <w:trHeight w:hRule="exact" w:val="180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Isorhamnetin (area)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929,142 ± 290 665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1,021,545 ± 602,395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279,789 ± 81,894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410,724 ± 173,173 am</w:t>
            </w:r>
          </w:p>
        </w:tc>
      </w:tr>
      <w:tr>
        <w:trPr>
          <w:trHeight w:hRule="exact" w:val="160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Ethyl lactate (area)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5,590,711 ± 1 407 323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cc, bm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20,089,649 ± 3 469 183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am, cc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11,677,131 ± 3 897 358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am, bm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10,422,179 ± 1 898 642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am, bm</w:t>
            </w:r>
          </w:p>
        </w:tc>
      </w:tr>
      <w:tr>
        <w:trPr>
          <w:trHeight w:hRule="exact" w:val="180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sv(+) 16 - not identi</w:t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fi</w:t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ed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10,158,094 ± 2,425,254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123,298,219 ± 47,604,613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7,899,224 ± 2,743,240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17,979,593 ± 7,955,919</w:t>
            </w:r>
          </w:p>
        </w:tc>
      </w:tr>
      <w:tr>
        <w:trPr>
          <w:trHeight w:hRule="exact" w:val="176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24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semi-volatile (area)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68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4.80 ± 0.018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ut,cc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68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3.62 ± 0.015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ut,cc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68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6.61 ± 0.025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am,cc,bm</w:t>
            </w:r>
          </w:p>
        </w:tc>
        <w:tc>
          <w:tcPr>
            <w:tcW w:type="dxa" w:w="22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68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3.62 ± 0.015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ut,am,bm</w:t>
            </w:r>
          </w:p>
        </w:tc>
      </w:tr>
      <w:tr>
        <w:trPr>
          <w:trHeight w:hRule="exact" w:val="164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Gallic (mg/L)</w:t>
            </w:r>
          </w:p>
        </w:tc>
        <w:tc>
          <w:tcPr>
            <w:tcW w:type="dxa" w:w="2080"/>
            <w:vMerge/>
            <w:tcBorders/>
          </w:tcPr>
          <w:p/>
        </w:tc>
        <w:tc>
          <w:tcPr>
            <w:tcW w:type="dxa" w:w="2080"/>
            <w:vMerge/>
            <w:tcBorders/>
          </w:tcPr>
          <w:p/>
        </w:tc>
        <w:tc>
          <w:tcPr>
            <w:tcW w:type="dxa" w:w="2080"/>
            <w:vMerge/>
            <w:tcBorders/>
          </w:tcPr>
          <w:p/>
        </w:tc>
        <w:tc>
          <w:tcPr>
            <w:tcW w:type="dxa" w:w="208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 (mg/L)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2.15 ± 0.006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cc, bm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1.59 ± 0.006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am, cc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2.04 ± 0.006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cc,bm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1.04 ± 0.005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am, bm</w:t>
            </w:r>
          </w:p>
        </w:tc>
      </w:tr>
      <w:tr>
        <w:trPr>
          <w:trHeight w:hRule="exact" w:val="160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Caffeic (mg/L)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0.37 ± 0.0007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bm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0.58 ± 0.001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am, cc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0.84 ± 0.002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am, cc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0.36 ± 0.003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bm</w:t>
            </w:r>
          </w:p>
        </w:tc>
      </w:tr>
      <w:tr>
        <w:trPr>
          <w:trHeight w:hRule="exact" w:val="160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Myrecetin (mg/L)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1.80 ± 0.009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cc, bm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1.12 ± 0.004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am, cc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1.2 ± 0.008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0.93 ± 0.006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am, bm</w:t>
            </w:r>
          </w:p>
        </w:tc>
      </w:tr>
      <w:tr>
        <w:trPr>
          <w:trHeight w:hRule="exact" w:val="180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Resveratrol (mg/L)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0.17 ± 0.001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cc, bm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0.34 ± 0.001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am, cc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0.12 ± 0.001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bm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0.08 ± 0.003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am, bm</w:t>
            </w:r>
          </w:p>
        </w:tc>
      </w:tr>
      <w:tr>
        <w:trPr>
          <w:trHeight w:hRule="exact" w:val="202"/>
        </w:trPr>
        <w:tc>
          <w:tcPr>
            <w:tcW w:type="dxa" w:w="1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12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Kaempferol (mg/L)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0.03 ± 0.002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0.08 ± 0.002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19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0.02 ± 0.004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cc</w:t>
            </w:r>
          </w:p>
        </w:tc>
        <w:tc>
          <w:tcPr>
            <w:tcW w:type="dxa" w:w="22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" w:after="0"/>
              <w:ind w:left="19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0.17 ± 0.007</w:t>
            </w:r>
            <w:r>
              <w:rPr>
                <w:rFonts w:ascii="AdvTT5235d5a9" w:hAnsi="AdvTT5235d5a9" w:eastAsia="AdvTT5235d5a9"/>
                <w:b w:val="0"/>
                <w:i w:val="0"/>
                <w:color w:val="2E3092"/>
                <w:sz w:val="9"/>
              </w:rPr>
              <w:t>ut, am, bm</w:t>
            </w:r>
          </w:p>
        </w:tc>
      </w:tr>
    </w:tbl>
    <w:p>
      <w:pPr>
        <w:autoSpaceDN w:val="0"/>
        <w:autoSpaceDE w:val="0"/>
        <w:widowControl/>
        <w:spacing w:line="170" w:lineRule="exact" w:before="62" w:after="776"/>
        <w:ind w:left="108" w:right="6912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9"/>
        </w:rPr>
        <w:t>am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: Statistical difference from AM group (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p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value &lt;0.05). </w:t>
      </w:r>
      <w:r>
        <w:br/>
      </w:r>
      <w:r>
        <w:rPr>
          <w:rFonts w:ascii="AdvTT5235d5a9" w:hAnsi="AdvTT5235d5a9" w:eastAsia="AdvTT5235d5a9"/>
          <w:b w:val="0"/>
          <w:i w:val="0"/>
          <w:color w:val="221F1F"/>
          <w:sz w:val="9"/>
        </w:rPr>
        <w:t>bm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: Statistical difference from BM group (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p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value &lt;0.05). </w:t>
      </w:r>
      <w:r>
        <w:br/>
      </w:r>
      <w:r>
        <w:rPr>
          <w:rFonts w:ascii="AdvTT5235d5a9" w:hAnsi="AdvTT5235d5a9" w:eastAsia="AdvTT5235d5a9"/>
          <w:b w:val="0"/>
          <w:i w:val="0"/>
          <w:color w:val="221F1F"/>
          <w:sz w:val="9"/>
        </w:rPr>
        <w:t>cc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: Statistical difference from CC group (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p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value &lt;0.05). </w:t>
      </w:r>
      <w:r>
        <w:br/>
      </w:r>
      <w:r>
        <w:rPr>
          <w:rFonts w:ascii="AdvTT5235d5a9" w:hAnsi="AdvTT5235d5a9" w:eastAsia="AdvTT5235d5a9"/>
          <w:b w:val="0"/>
          <w:i w:val="0"/>
          <w:color w:val="221F1F"/>
          <w:sz w:val="9"/>
        </w:rPr>
        <w:t>ut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: Statistical difference from UT group (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p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value &lt;0.05).</w:t>
      </w:r>
    </w:p>
    <w:p>
      <w:pPr>
        <w:sectPr>
          <w:type w:val="continuous"/>
          <w:pgSz w:w="11906" w:h="15874"/>
          <w:pgMar w:top="366" w:right="742" w:bottom="318" w:left="762" w:header="720" w:footer="720" w:gutter="0"/>
          <w:cols w:space="720" w:num="1" w:equalWidth="0"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16580" cy="23075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07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58" w:lineRule="exact" w:before="224" w:after="0"/>
        <w:ind w:left="892" w:right="0" w:firstLine="0"/>
        <w:jc w:val="left"/>
      </w:pPr>
      <w:r>
        <w:rPr>
          <w:w w:val="98.09230657724234"/>
          <w:rFonts w:ascii="AdvTT28000ce1.B" w:hAnsi="AdvTT28000ce1.B" w:eastAsia="AdvTT28000ce1.B"/>
          <w:b w:val="0"/>
          <w:i w:val="0"/>
          <w:color w:val="221F1F"/>
          <w:sz w:val="13"/>
        </w:rPr>
        <w:t>Fig. 3.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PCA score plot of the variables selected by the CFS.</w:t>
      </w:r>
    </w:p>
    <w:p>
      <w:pPr>
        <w:autoSpaceDN w:val="0"/>
        <w:autoSpaceDE w:val="0"/>
        <w:widowControl/>
        <w:spacing w:line="210" w:lineRule="exact" w:before="306" w:after="0"/>
        <w:ind w:left="2" w:right="168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separation between BM and CC can be observed. The samples of AM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UT are separated from BM and CC, but there is an overlap between these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classes. The variables selected by CFS showed more discriminative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power than all phenolic and volatile compounds when analyzing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distance among the samples.</w:t>
      </w:r>
    </w:p>
    <w:p>
      <w:pPr>
        <w:autoSpaceDN w:val="0"/>
        <w:autoSpaceDE w:val="0"/>
        <w:widowControl/>
        <w:spacing w:line="208" w:lineRule="exact" w:before="8" w:after="0"/>
        <w:ind w:left="2" w:right="170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variables selected by CFS were submitted to a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lter method of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feature selection, the RFI. This method ranks the features according to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cations performed by the Random Forest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er by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use of one variable at time as predictor. The feature selection performed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by the CFS aimed to reduce the number of variables and the RFI goal was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ordering the features wherein the variables were selected and applied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to the predictor according to the importance of each one.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Fig. 4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shows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importance of each variable according to RFI.</w:t>
      </w:r>
    </w:p>
    <w:p>
      <w:pPr>
        <w:autoSpaceDN w:val="0"/>
        <w:autoSpaceDE w:val="0"/>
        <w:widowControl/>
        <w:spacing w:line="200" w:lineRule="exact" w:before="424" w:after="0"/>
        <w:ind w:left="2" w:right="0" w:firstLine="0"/>
        <w:jc w:val="left"/>
      </w:pP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>3.3. Classi</w:t>
      </w:r>
      <w:r>
        <w:rPr>
          <w:rFonts w:ascii="fb" w:hAnsi="fb" w:eastAsia="fb"/>
          <w:b w:val="0"/>
          <w:i w:val="0"/>
          <w:color w:val="221F1F"/>
          <w:sz w:val="16"/>
        </w:rPr>
        <w:t>fi</w:t>
      </w:r>
      <w:r>
        <w:rPr>
          <w:rFonts w:ascii="AdvTT94c8263f.I" w:hAnsi="AdvTT94c8263f.I" w:eastAsia="AdvTT94c8263f.I"/>
          <w:b w:val="0"/>
          <w:i w:val="0"/>
          <w:color w:val="221F1F"/>
          <w:sz w:val="16"/>
        </w:rPr>
        <w:t>cation results</w:t>
      </w:r>
    </w:p>
    <w:p>
      <w:pPr>
        <w:autoSpaceDN w:val="0"/>
        <w:autoSpaceDE w:val="0"/>
        <w:widowControl/>
        <w:spacing w:line="202" w:lineRule="exact" w:before="216" w:after="0"/>
        <w:ind w:left="0" w:right="0" w:firstLine="0"/>
        <w:jc w:val="center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Based on the information of the RFI, we performed 13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</w:t>
      </w:r>
    </w:p>
    <w:p>
      <w:pPr>
        <w:sectPr>
          <w:type w:val="continuous"/>
          <w:pgSz w:w="11906" w:h="15874"/>
          <w:pgMar w:top="366" w:right="742" w:bottom="318" w:left="762" w:header="720" w:footer="720" w:gutter="0"/>
          <w:cols w:space="720" w:num="2" w:equalWidth="0"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52140" cy="20396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03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58" w:lineRule="exact" w:before="224" w:after="0"/>
        <w:ind w:left="306" w:right="0" w:firstLine="0"/>
        <w:jc w:val="left"/>
      </w:pPr>
      <w:r>
        <w:rPr>
          <w:w w:val="98.09230657724234"/>
          <w:rFonts w:ascii="AdvTT28000ce1.B" w:hAnsi="AdvTT28000ce1.B" w:eastAsia="AdvTT28000ce1.B"/>
          <w:b w:val="0"/>
          <w:i w:val="0"/>
          <w:color w:val="221F1F"/>
          <w:sz w:val="13"/>
        </w:rPr>
        <w:t>Fig. 4.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Importance ranking of chemical compounds selected by CFS according to RFI.</w:t>
      </w:r>
    </w:p>
    <w:p>
      <w:pPr>
        <w:autoSpaceDN w:val="0"/>
        <w:autoSpaceDE w:val="0"/>
        <w:widowControl/>
        <w:spacing w:line="208" w:lineRule="exact" w:before="470" w:after="0"/>
        <w:ind w:left="168" w:right="20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models. It is presented the model ID, the variables used as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input to SVM and the accuracy values for each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model.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higher result is the one that used nine variables, catechin, gallic,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octanoic acid, myricetin, caffeic, isobutanol, resveratrol, kaempferol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and ORAC, with 93.97% of accuracy. Just one variable results in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lower accuracy, 68.49%. These value increases when variables are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added. The peak of accuracy occurs with the #09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model.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This value decreases and stabilizes between a range of values when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more variables are added.</w:t>
      </w:r>
    </w:p>
    <w:p>
      <w:pPr>
        <w:autoSpaceDN w:val="0"/>
        <w:autoSpaceDE w:val="0"/>
        <w:widowControl/>
        <w:spacing w:line="210" w:lineRule="exact" w:before="6" w:after="262"/>
        <w:ind w:left="168" w:right="20" w:firstLine="238"/>
        <w:jc w:val="both"/>
      </w:pPr>
      <w:r>
        <w:rPr>
          <w:rFonts w:ascii="AdvTT5235d5a9" w:hAnsi="AdvTT5235d5a9" w:eastAsia="AdvTT5235d5a9"/>
          <w:b w:val="0"/>
          <w:i w:val="0"/>
          <w:color w:val="2E3092"/>
          <w:sz w:val="16"/>
        </w:rPr>
        <w:t>Table 3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shows the confusion matrix of the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model #09.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All samples of CC class were correctly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ed. One sample of BM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class, two samples of AM class, and two samples of UT class were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misclassi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ed. These results suggest that the CC class is the purest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among them, in which the nine chemical components of the subset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#09 is able to correctly classify all the samples. The other data classes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have few samples that were misclassi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ed, indicating that there is a little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similarity among the others commercial categories. However, the classi-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 model achieved a good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 rate of 93.97%.</w:t>
      </w:r>
    </w:p>
    <w:p>
      <w:pPr>
        <w:sectPr>
          <w:type w:val="nextColumn"/>
          <w:pgSz w:w="11906" w:h="15874"/>
          <w:pgMar w:top="366" w:right="742" w:bottom="318" w:left="762" w:header="720" w:footer="720" w:gutter="0"/>
          <w:cols w:space="720" w:num="2" w:equalWidth="0"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tabs>
          <w:tab w:pos="5360" w:val="left"/>
        </w:tabs>
        <w:autoSpaceDE w:val="0"/>
        <w:widowControl/>
        <w:spacing w:line="202" w:lineRule="exact" w:before="0" w:after="0"/>
        <w:ind w:left="2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models as follows. The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rst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 model used only the most im-</w:t>
      </w:r>
      <w:r>
        <w:tab/>
      </w: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>4. Discussion</w:t>
      </w:r>
    </w:p>
    <w:p>
      <w:pPr>
        <w:autoSpaceDN w:val="0"/>
        <w:autoSpaceDE w:val="0"/>
        <w:widowControl/>
        <w:spacing w:line="202" w:lineRule="exact" w:before="6" w:after="8"/>
        <w:ind w:left="2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portant variable (catechin), the second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 model used the</w:t>
      </w:r>
    </w:p>
    <w:p>
      <w:pPr>
        <w:sectPr>
          <w:type w:val="continuous"/>
          <w:pgSz w:w="11906" w:h="15874"/>
          <w:pgMar w:top="366" w:right="742" w:bottom="318" w:left="762" w:header="720" w:footer="720" w:gutter="0"/>
          <w:cols w:space="720" w:num="1" w:equalWidth="0"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2" w:right="32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two most important variables (catechin and gallic), and so forth, until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thirteenth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model, which used the thirteen variables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selected by CFS.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Table 2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shows the results obtained from these thirteen</w:t>
      </w:r>
    </w:p>
    <w:p>
      <w:pPr>
        <w:sectPr>
          <w:type w:val="continuous"/>
          <w:pgSz w:w="11906" w:h="15874"/>
          <w:pgMar w:top="366" w:right="742" w:bottom="318" w:left="762" w:header="720" w:footer="720" w:gutter="0"/>
          <w:cols w:space="720" w:num="2" w:equalWidth="0"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3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160</w:t>
      </w:r>
    </w:p>
    <w:p>
      <w:pPr>
        <w:sectPr>
          <w:type w:val="nextColumn"/>
          <w:pgSz w:w="11906" w:h="15874"/>
          <w:pgMar w:top="366" w:right="742" w:bottom="318" w:left="762" w:header="720" w:footer="720" w:gutter="0"/>
          <w:cols w:space="720" w:num="2" w:equalWidth="0"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sectPr>
          <w:pgSz w:w="11906" w:h="15874"/>
          <w:pgMar w:top="366" w:right="740" w:bottom="318" w:left="762" w:header="720" w:footer="720" w:gutter="0"/>
          <w:cols w:space="720" w:num="2" w:equalWidth="0"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2" w:right="0" w:firstLine="0"/>
        <w:jc w:val="left"/>
      </w:pP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N.L. da Costa, L.A. Valentin, I.A. Castro et al.</w:t>
      </w:r>
    </w:p>
    <w:p>
      <w:pPr>
        <w:autoSpaceDN w:val="0"/>
        <w:autoSpaceDE w:val="0"/>
        <w:widowControl/>
        <w:spacing w:line="158" w:lineRule="exact" w:before="244" w:after="0"/>
        <w:ind w:left="2" w:right="0" w:firstLine="0"/>
        <w:jc w:val="left"/>
      </w:pPr>
      <w:r>
        <w:rPr>
          <w:w w:val="98.09230657724234"/>
          <w:rFonts w:ascii="AdvTT28000ce1.B" w:hAnsi="AdvTT28000ce1.B" w:eastAsia="AdvTT28000ce1.B"/>
          <w:b w:val="0"/>
          <w:i w:val="0"/>
          <w:color w:val="221F1F"/>
          <w:sz w:val="13"/>
        </w:rPr>
        <w:t>Table 2</w:t>
      </w:r>
    </w:p>
    <w:p>
      <w:pPr>
        <w:autoSpaceDN w:val="0"/>
        <w:autoSpaceDE w:val="0"/>
        <w:widowControl/>
        <w:spacing w:line="162" w:lineRule="exact" w:before="14" w:after="70"/>
        <w:ind w:left="2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Results from classi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fi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cation with SVM associated to feature selection.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68"/>
        <w:gridCol w:w="3468"/>
        <w:gridCol w:w="3468"/>
      </w:tblGrid>
      <w:tr>
        <w:trPr>
          <w:trHeight w:hRule="exact" w:val="264"/>
        </w:trPr>
        <w:tc>
          <w:tcPr>
            <w:tcW w:type="dxa" w:w="53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Model</w:t>
            </w:r>
          </w:p>
        </w:tc>
        <w:tc>
          <w:tcPr>
            <w:tcW w:type="dxa" w:w="3120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7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Variables</w:t>
            </w:r>
          </w:p>
        </w:tc>
        <w:tc>
          <w:tcPr>
            <w:tcW w:type="dxa" w:w="1364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0" w:right="120" w:firstLine="0"/>
              <w:jc w:val="righ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SVM (%)</w:t>
            </w:r>
          </w:p>
        </w:tc>
      </w:tr>
      <w:tr>
        <w:trPr>
          <w:trHeight w:hRule="exact" w:val="196"/>
        </w:trPr>
        <w:tc>
          <w:tcPr>
            <w:tcW w:type="dxa" w:w="53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4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#01</w:t>
            </w:r>
          </w:p>
        </w:tc>
        <w:tc>
          <w:tcPr>
            <w:tcW w:type="dxa" w:w="312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4" w:after="0"/>
              <w:ind w:left="7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</w:t>
            </w:r>
          </w:p>
        </w:tc>
        <w:tc>
          <w:tcPr>
            <w:tcW w:type="dxa" w:w="136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4" w:after="0"/>
              <w:ind w:left="0" w:right="306" w:firstLine="0"/>
              <w:jc w:val="righ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68.49</w:t>
            </w:r>
          </w:p>
        </w:tc>
      </w:tr>
      <w:tr>
        <w:trPr>
          <w:trHeight w:hRule="exact" w:val="180"/>
        </w:trPr>
        <w:tc>
          <w:tcPr>
            <w:tcW w:type="dxa" w:w="5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#02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7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</w:t>
            </w:r>
          </w:p>
        </w:tc>
        <w:tc>
          <w:tcPr>
            <w:tcW w:type="dxa" w:w="1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306" w:firstLine="0"/>
              <w:jc w:val="righ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80.16</w:t>
            </w:r>
          </w:p>
        </w:tc>
      </w:tr>
      <w:tr>
        <w:trPr>
          <w:trHeight w:hRule="exact" w:val="180"/>
        </w:trPr>
        <w:tc>
          <w:tcPr>
            <w:tcW w:type="dxa" w:w="5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#03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7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gallic, octanoic acid</w:t>
            </w:r>
          </w:p>
        </w:tc>
        <w:tc>
          <w:tcPr>
            <w:tcW w:type="dxa" w:w="1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306" w:firstLine="0"/>
              <w:jc w:val="righ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81.59</w:t>
            </w:r>
          </w:p>
        </w:tc>
      </w:tr>
      <w:tr>
        <w:trPr>
          <w:trHeight w:hRule="exact" w:val="144"/>
        </w:trPr>
        <w:tc>
          <w:tcPr>
            <w:tcW w:type="dxa" w:w="5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#04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7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gallic, octanoic acid, myrecetin</w:t>
            </w:r>
          </w:p>
        </w:tc>
        <w:tc>
          <w:tcPr>
            <w:tcW w:type="dxa" w:w="1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306" w:firstLine="0"/>
              <w:jc w:val="righ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85.69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66" w:right="740" w:bottom="318" w:left="762" w:header="720" w:footer="720" w:gutter="0"/>
          <w:cols w:space="720" w:num="2" w:equalWidth="0"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24" w:firstLine="0"/>
        <w:jc w:val="right"/>
      </w:pP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Arti</w:t>
      </w:r>
      <w:r>
        <w:rPr>
          <w:w w:val="98.09230657724234"/>
          <w:rFonts w:ascii="fb" w:hAnsi="fb" w:eastAsia="fb"/>
          <w:b w:val="0"/>
          <w:i w:val="0"/>
          <w:color w:val="221F1F"/>
          <w:sz w:val="13"/>
        </w:rPr>
        <w:t>fi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cial Intelligence in Agriculture 5 (2021) 157</w:t>
      </w:r>
      <w:r>
        <w:rPr>
          <w:w w:val="98.09230657724234"/>
          <w:rFonts w:ascii="20" w:hAnsi="20" w:eastAsia="20"/>
          <w:b w:val="0"/>
          <w:i w:val="0"/>
          <w:color w:val="221F1F"/>
          <w:sz w:val="13"/>
        </w:rPr>
        <w:t>–</w:t>
      </w: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162</w:t>
      </w:r>
    </w:p>
    <w:p>
      <w:pPr>
        <w:autoSpaceDN w:val="0"/>
        <w:autoSpaceDE w:val="0"/>
        <w:widowControl/>
        <w:spacing w:line="208" w:lineRule="exact" w:before="218" w:after="182"/>
        <w:ind w:left="170" w:right="22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problems, such as arti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cial neural networks, SVM, decision trees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random forest, that show a great potential and more advantages com-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pared to conventional ones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Jiménez-Carvelo et al., 2019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). Therefore,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our results strongly contribute as an application of machine learning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and feature selection methods to a wine database composed of four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commercial categories described on phenolic and volatile compounds.</w:t>
      </w:r>
    </w:p>
    <w:p>
      <w:pPr>
        <w:sectPr>
          <w:type w:val="nextColumn"/>
          <w:pgSz w:w="11906" w:h="15874"/>
          <w:pgMar w:top="366" w:right="740" w:bottom="318" w:left="762" w:header="720" w:footer="720" w:gutter="0"/>
          <w:cols w:space="720" w:num="2" w:equalWidth="0"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2601"/>
        <w:gridCol w:w="2601"/>
        <w:gridCol w:w="2601"/>
        <w:gridCol w:w="2601"/>
      </w:tblGrid>
      <w:tr>
        <w:trPr>
          <w:trHeight w:hRule="exact" w:val="1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#05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13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gallic, octanoic acid, myrecetin, caffeic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78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83.15</w:t>
            </w:r>
          </w:p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0" w:after="0"/>
              <w:ind w:left="322" w:right="0" w:firstLine="0"/>
              <w:jc w:val="left"/>
            </w:pPr>
            <w:r>
              <w:rPr>
                <w:rFonts w:ascii="AdvTT28000ce1.B" w:hAnsi="AdvTT28000ce1.B" w:eastAsia="AdvTT28000ce1.B"/>
                <w:b w:val="0"/>
                <w:i w:val="0"/>
                <w:color w:val="221F1F"/>
                <w:sz w:val="16"/>
              </w:rPr>
              <w:t>5. Conclusion</w:t>
            </w:r>
          </w:p>
        </w:tc>
      </w:tr>
      <w:tr>
        <w:trPr>
          <w:trHeight w:hRule="exact" w:val="1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#06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3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gallic, octanoic acid, myrecetin, caffeic, isobutanol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78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84.40</w:t>
            </w:r>
          </w:p>
        </w:tc>
        <w:tc>
          <w:tcPr>
            <w:tcW w:type="dxa" w:w="2601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#07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13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gallic, octanoic acid, myrecetin, caffeic, isobutanol,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78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86.63</w:t>
            </w:r>
          </w:p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0" w:after="0"/>
              <w:ind w:left="560" w:right="0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This work demonstrated the use of SVM and two feature selection</w:t>
            </w:r>
          </w:p>
        </w:tc>
      </w:tr>
      <w:tr>
        <w:trPr>
          <w:trHeight w:hRule="exact" w:val="171"/>
        </w:trPr>
        <w:tc>
          <w:tcPr>
            <w:tcW w:type="dxa" w:w="2601"/>
            <w:vMerge/>
            <w:tcBorders/>
          </w:tcPr>
          <w:p/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13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resveratrol</w:t>
            </w:r>
          </w:p>
        </w:tc>
        <w:tc>
          <w:tcPr>
            <w:tcW w:type="dxa" w:w="2601"/>
            <w:vMerge/>
            <w:tcBorders/>
          </w:tcPr>
          <w:p/>
        </w:tc>
        <w:tc>
          <w:tcPr>
            <w:tcW w:type="dxa" w:w="2601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#08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13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gallic, octanoic acid, myrecetin, caffeic, isobutanol,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78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88.99</w:t>
            </w:r>
          </w:p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322" w:right="0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methods to classify four commercial categories of South American</w:t>
            </w:r>
          </w:p>
        </w:tc>
      </w:tr>
      <w:tr>
        <w:trPr>
          <w:trHeight w:hRule="exact" w:val="42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66" w:after="0"/>
              <w:ind w:left="0" w:right="0" w:firstLine="0"/>
              <w:jc w:val="center"/>
            </w:pPr>
            <w:r>
              <w:rPr>
                <w:w w:val="98.09230657724234"/>
                <w:rFonts w:ascii="AdvTT28000ce1.B" w:hAnsi="AdvTT28000ce1.B" w:eastAsia="AdvTT28000ce1.B"/>
                <w:b w:val="0"/>
                <w:i w:val="0"/>
                <w:color w:val="221F1F"/>
                <w:sz w:val="13"/>
              </w:rPr>
              <w:t>#09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13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resveratrol, kaempferol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66" w:after="0"/>
              <w:ind w:left="78" w:right="0" w:firstLine="0"/>
              <w:jc w:val="left"/>
            </w:pPr>
            <w:r>
              <w:rPr>
                <w:w w:val="98.09230657724234"/>
                <w:rFonts w:ascii="AdvTT28000ce1.B" w:hAnsi="AdvTT28000ce1.B" w:eastAsia="AdvTT28000ce1.B"/>
                <w:b w:val="0"/>
                <w:i w:val="0"/>
                <w:color w:val="221F1F"/>
                <w:sz w:val="13"/>
              </w:rPr>
              <w:t>93.97</w:t>
            </w:r>
          </w:p>
        </w:tc>
        <w:tc>
          <w:tcPr>
            <w:tcW w:type="dxa" w:w="2601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601"/>
            <w:vMerge/>
            <w:tcBorders/>
          </w:tcPr>
          <w:p/>
        </w:tc>
        <w:tc>
          <w:tcPr>
            <w:tcW w:type="dxa" w:w="2601"/>
            <w:vMerge/>
            <w:tcBorders/>
          </w:tcPr>
          <w:p/>
        </w:tc>
        <w:tc>
          <w:tcPr>
            <w:tcW w:type="dxa" w:w="2601"/>
            <w:vMerge/>
            <w:tcBorders/>
          </w:tcPr>
          <w:p/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22" w:right="0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red wines (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“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Argentinean Malbec (AM)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”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,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 xml:space="preserve"> “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Brazilian Merlot (BM)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”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82"/>
        </w:trPr>
        <w:tc>
          <w:tcPr>
            <w:tcW w:type="dxa" w:w="2601"/>
            <w:vMerge/>
            <w:tcBorders/>
          </w:tcPr>
          <w:p/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130" w:right="0" w:firstLine="0"/>
              <w:jc w:val="left"/>
            </w:pPr>
            <w:r>
              <w:rPr>
                <w:w w:val="98.09230657724234"/>
                <w:rFonts w:ascii="AdvTT28000ce1.B" w:hAnsi="AdvTT28000ce1.B" w:eastAsia="AdvTT28000ce1.B"/>
                <w:b w:val="0"/>
                <w:i w:val="0"/>
                <w:color w:val="221F1F"/>
                <w:sz w:val="13"/>
              </w:rPr>
              <w:t>catechin, gallic, octanoic acid, myrecetin, caffeic, isobutanol,</w:t>
            </w:r>
          </w:p>
        </w:tc>
        <w:tc>
          <w:tcPr>
            <w:tcW w:type="dxa" w:w="2601"/>
            <w:vMerge/>
            <w:tcBorders/>
          </w:tcPr>
          <w:p/>
        </w:tc>
        <w:tc>
          <w:tcPr>
            <w:tcW w:type="dxa" w:w="2601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601"/>
            <w:vMerge/>
            <w:tcBorders/>
          </w:tcPr>
          <w:p/>
        </w:tc>
        <w:tc>
          <w:tcPr>
            <w:tcW w:type="dxa" w:w="2601"/>
            <w:vMerge/>
            <w:tcBorders/>
          </w:tcPr>
          <w:p/>
        </w:tc>
        <w:tc>
          <w:tcPr>
            <w:tcW w:type="dxa" w:w="2601"/>
            <w:vMerge/>
            <w:tcBorders/>
          </w:tcPr>
          <w:p/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322" w:right="0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“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Uruguayan Tannat (UT)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”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 xml:space="preserve"> and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 xml:space="preserve"> “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Chilean Carménère (CC)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”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). Among the</w:t>
            </w:r>
          </w:p>
        </w:tc>
      </w:tr>
      <w:tr>
        <w:trPr>
          <w:trHeight w:hRule="exact" w:val="150"/>
        </w:trPr>
        <w:tc>
          <w:tcPr>
            <w:tcW w:type="dxa" w:w="2601"/>
            <w:vMerge/>
            <w:tcBorders/>
          </w:tcPr>
          <w:p/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130" w:right="0" w:firstLine="0"/>
              <w:jc w:val="left"/>
            </w:pPr>
            <w:r>
              <w:rPr>
                <w:w w:val="98.09230657724234"/>
                <w:rFonts w:ascii="AdvTT28000ce1.B" w:hAnsi="AdvTT28000ce1.B" w:eastAsia="AdvTT28000ce1.B"/>
                <w:b w:val="0"/>
                <w:i w:val="0"/>
                <w:color w:val="221F1F"/>
                <w:sz w:val="13"/>
              </w:rPr>
              <w:t>resveratrol, kaempferol, orac</w:t>
            </w:r>
          </w:p>
        </w:tc>
        <w:tc>
          <w:tcPr>
            <w:tcW w:type="dxa" w:w="2601"/>
            <w:vMerge/>
            <w:tcBorders/>
          </w:tcPr>
          <w:p/>
        </w:tc>
        <w:tc>
          <w:tcPr>
            <w:tcW w:type="dxa" w:w="2601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#10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13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gallic, octanoic acid, myrecetin, caffeic, isobutanol,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0" w:after="0"/>
              <w:ind w:left="78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90.52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22" w:right="0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190 variables that described volatiles, semi-volatiles, antioxidant activ-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continuous"/>
          <w:pgSz w:w="11906" w:h="15874"/>
          <w:pgMar w:top="366" w:right="740" w:bottom="318" w:left="762" w:header="720" w:footer="720" w:gutter="0"/>
          <w:cols w:space="720" w:num="1" w:equalWidth="0"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6"/>
        <w:ind w:left="608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resveratrol, kaempferol, orac, 2-phenyletanol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3468"/>
        <w:gridCol w:w="3468"/>
        <w:gridCol w:w="3468"/>
      </w:tblGrid>
      <w:tr>
        <w:trPr>
          <w:trHeight w:hRule="exact" w:val="17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#11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gallic, octanoic acid, myrecetin, caffeic, isobutanol,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90.52</w:t>
            </w:r>
          </w:p>
        </w:tc>
      </w:tr>
    </w:tbl>
    <w:p>
      <w:pPr>
        <w:autoSpaceDN w:val="0"/>
        <w:autoSpaceDE w:val="0"/>
        <w:widowControl/>
        <w:spacing w:line="156" w:lineRule="exact" w:before="8" w:after="8"/>
        <w:ind w:left="608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resveratrol, kaempferol, orac, 2-phenyletanol, ethyl lactate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3468"/>
        <w:gridCol w:w="3468"/>
        <w:gridCol w:w="3468"/>
      </w:tblGrid>
      <w:tr>
        <w:trPr>
          <w:trHeight w:hRule="exact" w:val="17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#12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gallic, octanoic acid, myrecetin, caffeic, isobutanol,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88.43</w:t>
            </w:r>
          </w:p>
        </w:tc>
      </w:tr>
    </w:tbl>
    <w:p>
      <w:pPr>
        <w:autoSpaceDN w:val="0"/>
        <w:autoSpaceDE w:val="0"/>
        <w:widowControl/>
        <w:spacing w:line="168" w:lineRule="exact" w:before="0" w:after="8"/>
        <w:ind w:left="608" w:right="1008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resveratrol, kaempferol, orac, 2-phenyletanol, ethyl lactate, 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isorhamnetin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3468"/>
        <w:gridCol w:w="3468"/>
        <w:gridCol w:w="3468"/>
      </w:tblGrid>
      <w:tr>
        <w:trPr>
          <w:trHeight w:hRule="exact" w:val="17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#13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catechin, gallic, octanoic acid, myrecetin, caffeic, isobutanol,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89.54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608" w:right="1008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resveratrol, kaempferol, orac, 2-phenyletanol, ethyl lactate, 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isorhamnetin, sv(+) 16 - not identi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fi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ed semi-volatile</w:t>
      </w:r>
    </w:p>
    <w:p>
      <w:pPr>
        <w:autoSpaceDN w:val="0"/>
        <w:autoSpaceDE w:val="0"/>
        <w:widowControl/>
        <w:spacing w:line="176" w:lineRule="exact" w:before="738" w:after="0"/>
        <w:ind w:left="2" w:right="2592" w:firstLine="0"/>
        <w:jc w:val="left"/>
      </w:pPr>
      <w:r>
        <w:rPr>
          <w:w w:val="98.09230657724234"/>
          <w:rFonts w:ascii="AdvTT28000ce1.B" w:hAnsi="AdvTT28000ce1.B" w:eastAsia="AdvTT28000ce1.B"/>
          <w:b w:val="0"/>
          <w:i w:val="0"/>
          <w:color w:val="221F1F"/>
          <w:sz w:val="13"/>
        </w:rPr>
        <w:t xml:space="preserve">Table 3 </w:t>
      </w:r>
      <w:r>
        <w:br/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Confusion matrix of #09 classi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fi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cation model.</w:t>
      </w:r>
    </w:p>
    <w:p>
      <w:pPr>
        <w:sectPr>
          <w:type w:val="continuous"/>
          <w:pgSz w:w="11906" w:h="15874"/>
          <w:pgMar w:top="366" w:right="740" w:bottom="318" w:left="762" w:header="720" w:footer="720" w:gutter="0"/>
          <w:cols w:space="720" w:num="2" w:equalWidth="0">
            <w:col w:w="5190" w:space="0"/>
            <w:col w:w="5213" w:space="0"/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170" w:right="20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ity and phenolic compounds, 13 were selected by CFS. From this vari-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able subset nine chemicals were identi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ed by RFI with a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capacity greater than the set of 13 variables. The SVM was able to clas-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sify the samples according to their respective classes in an accuracy of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93.97%. The compounds selected were catechin, gallic, octanoic acid,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myricetin, caffeic, isobutanol, resveratrol, kaempferol, and ORAC. That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not only reduced the experimental cost effectively, but also made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analysis of the results more comprehensible due the reduced number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of variables. PCA was used to an exploratory analysis before and after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feature selection. The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rst plot did not show any patters or groups. On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the other hand, the PCA score plot based on the selected variables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shows some trends and separation among the classes.</w:t>
      </w:r>
    </w:p>
    <w:p>
      <w:pPr>
        <w:autoSpaceDN w:val="0"/>
        <w:autoSpaceDE w:val="0"/>
        <w:widowControl/>
        <w:spacing w:line="196" w:lineRule="exact" w:before="12" w:after="14"/>
        <w:ind w:left="408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One aspect that differentiates this research from the other studies</w:t>
      </w:r>
    </w:p>
    <w:p>
      <w:pPr>
        <w:sectPr>
          <w:type w:val="nextColumn"/>
          <w:pgSz w:w="11906" w:h="15874"/>
          <w:pgMar w:top="366" w:right="740" w:bottom="318" w:left="762" w:header="720" w:footer="720" w:gutter="0"/>
          <w:cols w:space="720" w:num="2" w:equalWidth="0">
            <w:col w:w="5190" w:space="0"/>
            <w:col w:w="5213" w:space="0"/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tabs>
          <w:tab w:pos="5360" w:val="left"/>
        </w:tabs>
        <w:autoSpaceDE w:val="0"/>
        <w:widowControl/>
        <w:spacing w:line="156" w:lineRule="exact" w:before="0" w:after="40"/>
        <w:ind w:left="1556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Prediction </w:t>
      </w:r>
      <w:r>
        <w:tab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that conducted wine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 is that we use feature selection tech-</w:t>
      </w:r>
    </w:p>
    <w:p>
      <w:pPr>
        <w:sectPr>
          <w:type w:val="continuous"/>
          <w:pgSz w:w="11906" w:h="15874"/>
          <w:pgMar w:top="366" w:right="740" w:bottom="318" w:left="762" w:header="720" w:footer="720" w:gutter="0"/>
          <w:cols w:space="720" w:num="1" w:equalWidth="0"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6"/>
        <w:gridCol w:w="1486"/>
        <w:gridCol w:w="1486"/>
        <w:gridCol w:w="1486"/>
        <w:gridCol w:w="1486"/>
        <w:gridCol w:w="1486"/>
        <w:gridCol w:w="1486"/>
      </w:tblGrid>
      <w:tr>
        <w:trPr>
          <w:trHeight w:hRule="exact" w:val="250"/>
        </w:trPr>
        <w:tc>
          <w:tcPr>
            <w:tcW w:type="dxa" w:w="838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2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AM</w:t>
            </w:r>
          </w:p>
        </w:tc>
        <w:tc>
          <w:tcPr>
            <w:tcW w:type="dxa" w:w="56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BM</w:t>
            </w:r>
          </w:p>
        </w:tc>
        <w:tc>
          <w:tcPr>
            <w:tcW w:type="dxa" w:w="56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CC</w:t>
            </w:r>
          </w:p>
        </w:tc>
        <w:tc>
          <w:tcPr>
            <w:tcW w:type="dxa" w:w="308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0" w:right="28" w:firstLine="0"/>
              <w:jc w:val="righ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UT</w:t>
            </w:r>
          </w:p>
        </w:tc>
        <w:tc>
          <w:tcPr>
            <w:tcW w:type="dxa" w:w="1696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0" w:after="0"/>
              <w:ind w:left="31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Correct classi</w:t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fi</w:t>
            </w: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cations</w:t>
            </w:r>
          </w:p>
        </w:tc>
      </w:tr>
      <w:tr>
        <w:trPr>
          <w:trHeight w:hRule="exact" w:val="196"/>
        </w:trPr>
        <w:tc>
          <w:tcPr>
            <w:tcW w:type="dxa" w:w="838"/>
            <w:vMerge w:val="restart"/>
            <w:tcBorders>
              <w:top w:sz="3.199999999999818" w:val="single" w:color="#221F1F"/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Reference</w:t>
            </w:r>
          </w:p>
        </w:tc>
        <w:tc>
          <w:tcPr>
            <w:tcW w:type="dxa" w:w="718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72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AM</w:t>
            </w:r>
          </w:p>
        </w:tc>
        <w:tc>
          <w:tcPr>
            <w:tcW w:type="dxa" w:w="342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24</w:t>
            </w:r>
          </w:p>
        </w:tc>
        <w:tc>
          <w:tcPr>
            <w:tcW w:type="dxa" w:w="560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4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–</w:t>
            </w:r>
          </w:p>
        </w:tc>
        <w:tc>
          <w:tcPr>
            <w:tcW w:type="dxa" w:w="560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304" w:firstLine="0"/>
              <w:jc w:val="righ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308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1696"/>
            <w:tcBorders>
              <w:top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31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92.30%</w:t>
            </w:r>
          </w:p>
        </w:tc>
      </w:tr>
      <w:tr>
        <w:trPr>
          <w:trHeight w:hRule="exact" w:val="180"/>
        </w:trPr>
        <w:tc>
          <w:tcPr>
            <w:tcW w:type="dxa" w:w="1486"/>
            <w:vMerge/>
            <w:tcBorders>
              <w:top w:sz="3.199999999999818" w:val="single" w:color="#221F1F"/>
              <w:bottom w:sz="4.0" w:val="single" w:color="#221F1F"/>
            </w:tcBorders>
          </w:tcPr>
          <w:p/>
        </w:tc>
        <w:tc>
          <w:tcPr>
            <w:tcW w:type="dxa" w:w="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172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BM</w:t>
            </w:r>
          </w:p>
        </w:tc>
        <w:tc>
          <w:tcPr>
            <w:tcW w:type="dxa" w:w="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–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9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0" w:right="304" w:firstLine="0"/>
              <w:jc w:val="righ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</w:t>
            </w:r>
          </w:p>
        </w:tc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–</w:t>
            </w:r>
          </w:p>
        </w:tc>
        <w:tc>
          <w:tcPr>
            <w:tcW w:type="dxa" w:w="1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" w:after="0"/>
              <w:ind w:left="31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90.00%</w:t>
            </w:r>
          </w:p>
        </w:tc>
      </w:tr>
      <w:tr>
        <w:trPr>
          <w:trHeight w:hRule="exact" w:val="160"/>
        </w:trPr>
        <w:tc>
          <w:tcPr>
            <w:tcW w:type="dxa" w:w="1486"/>
            <w:vMerge/>
            <w:tcBorders>
              <w:top w:sz="3.199999999999818" w:val="single" w:color="#221F1F"/>
              <w:bottom w:sz="4.0" w:val="single" w:color="#221F1F"/>
            </w:tcBorders>
          </w:tcPr>
          <w:p/>
        </w:tc>
        <w:tc>
          <w:tcPr>
            <w:tcW w:type="dxa" w:w="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72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CC</w:t>
            </w:r>
          </w:p>
        </w:tc>
        <w:tc>
          <w:tcPr>
            <w:tcW w:type="dxa" w:w="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–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–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33</w:t>
            </w:r>
          </w:p>
        </w:tc>
        <w:tc>
          <w:tcPr>
            <w:tcW w:type="dxa" w:w="3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–</w:t>
            </w:r>
          </w:p>
        </w:tc>
        <w:tc>
          <w:tcPr>
            <w:tcW w:type="dxa" w:w="16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31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100%</w:t>
            </w:r>
          </w:p>
        </w:tc>
      </w:tr>
      <w:tr>
        <w:trPr>
          <w:trHeight w:hRule="exact" w:val="238"/>
        </w:trPr>
        <w:tc>
          <w:tcPr>
            <w:tcW w:type="dxa" w:w="1486"/>
            <w:vMerge/>
            <w:tcBorders>
              <w:top w:sz="3.199999999999818" w:val="single" w:color="#221F1F"/>
              <w:bottom w:sz="4.0" w:val="single" w:color="#221F1F"/>
            </w:tcBorders>
          </w:tcPr>
          <w:p/>
        </w:tc>
        <w:tc>
          <w:tcPr>
            <w:tcW w:type="dxa" w:w="71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0" w:after="0"/>
              <w:ind w:left="172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UT</w:t>
            </w:r>
          </w:p>
        </w:tc>
        <w:tc>
          <w:tcPr>
            <w:tcW w:type="dxa" w:w="34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0" w:after="0"/>
              <w:ind w:left="0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2</w:t>
            </w:r>
          </w:p>
        </w:tc>
        <w:tc>
          <w:tcPr>
            <w:tcW w:type="dxa" w:w="5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–</w:t>
            </w:r>
          </w:p>
        </w:tc>
        <w:tc>
          <w:tcPr>
            <w:tcW w:type="dxa" w:w="5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304" w:firstLine="0"/>
              <w:jc w:val="righ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–</w:t>
            </w:r>
          </w:p>
        </w:tc>
        <w:tc>
          <w:tcPr>
            <w:tcW w:type="dxa" w:w="30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0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12</w:t>
            </w:r>
          </w:p>
        </w:tc>
        <w:tc>
          <w:tcPr>
            <w:tcW w:type="dxa" w:w="169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0" w:after="0"/>
              <w:ind w:left="31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85.71%</w:t>
            </w:r>
          </w:p>
        </w:tc>
      </w:tr>
      <w:tr>
        <w:trPr>
          <w:trHeight w:hRule="exact" w:val="264"/>
        </w:trPr>
        <w:tc>
          <w:tcPr>
            <w:tcW w:type="dxa" w:w="83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2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0" w:right="0" w:firstLine="0"/>
              <w:jc w:val="center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Total Accuracy:</w:t>
            </w:r>
          </w:p>
        </w:tc>
        <w:tc>
          <w:tcPr>
            <w:tcW w:type="dxa" w:w="308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6"/>
            <w:tcBorders>
              <w:top w:sz="4.0" w:val="single" w:color="#221F1F"/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8" w:after="0"/>
              <w:ind w:left="316" w:right="0" w:firstLine="0"/>
              <w:jc w:val="left"/>
            </w:pPr>
            <w:r>
              <w:rPr>
                <w:w w:val="98.09230657724234"/>
                <w:rFonts w:ascii="AdvTT5235d5a9" w:hAnsi="AdvTT5235d5a9" w:eastAsia="AdvTT5235d5a9"/>
                <w:b w:val="0"/>
                <w:i w:val="0"/>
                <w:color w:val="221F1F"/>
                <w:sz w:val="13"/>
              </w:rPr>
              <w:t>93.97%</w:t>
            </w:r>
          </w:p>
        </w:tc>
      </w:tr>
    </w:tbl>
    <w:p>
      <w:pPr>
        <w:autoSpaceDN w:val="0"/>
        <w:autoSpaceDE w:val="0"/>
        <w:widowControl/>
        <w:spacing w:line="196" w:lineRule="exact" w:before="514" w:after="0"/>
        <w:ind w:left="2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However, as the results of this study demonstrated, there is some vari-</w:t>
      </w:r>
    </w:p>
    <w:p>
      <w:pPr>
        <w:autoSpaceDN w:val="0"/>
        <w:autoSpaceDE w:val="0"/>
        <w:widowControl/>
        <w:spacing w:line="202" w:lineRule="exact" w:before="14" w:after="0"/>
        <w:ind w:left="2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ables that do not contributed to the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 model. The use of all</w:t>
      </w:r>
    </w:p>
    <w:p>
      <w:pPr>
        <w:autoSpaceDN w:val="0"/>
        <w:autoSpaceDE w:val="0"/>
        <w:widowControl/>
        <w:spacing w:line="196" w:lineRule="exact" w:before="8" w:after="0"/>
        <w:ind w:left="2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chemicals resulted on a low predictive performance and there is no</w:t>
      </w:r>
    </w:p>
    <w:p>
      <w:pPr>
        <w:sectPr>
          <w:type w:val="continuous"/>
          <w:pgSz w:w="11906" w:h="15874"/>
          <w:pgMar w:top="366" w:right="740" w:bottom="318" w:left="762" w:header="720" w:footer="720" w:gutter="0"/>
          <w:cols w:space="720" w:num="2" w:equalWidth="0">
            <w:col w:w="5190" w:space="0"/>
            <w:col w:w="5213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170" w:right="22" w:firstLine="0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niques to identify a subset of chemical compounds that were able to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classify the data from multiple sources. In addition, our methodology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can be applied in other products and wines to identify the most impor-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tant chemicals which characterize the classes, reduce data dimensional-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ity, and improve the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cation rate.</w:t>
      </w:r>
    </w:p>
    <w:p>
      <w:pPr>
        <w:autoSpaceDN w:val="0"/>
        <w:autoSpaceDE w:val="0"/>
        <w:widowControl/>
        <w:spacing w:line="196" w:lineRule="exact" w:before="236" w:after="0"/>
        <w:ind w:left="170" w:right="0" w:firstLine="0"/>
        <w:jc w:val="left"/>
      </w:pPr>
      <w:r>
        <w:rPr>
          <w:rFonts w:ascii="AdvTT28000ce1.B" w:hAnsi="AdvTT28000ce1.B" w:eastAsia="AdvTT28000ce1.B"/>
          <w:b w:val="0"/>
          <w:i w:val="0"/>
          <w:color w:val="221F1F"/>
          <w:sz w:val="16"/>
        </w:rPr>
        <w:t>Declaration of Competing Interest</w:t>
      </w:r>
    </w:p>
    <w:p>
      <w:pPr>
        <w:autoSpaceDN w:val="0"/>
        <w:autoSpaceDE w:val="0"/>
        <w:widowControl/>
        <w:spacing w:line="206" w:lineRule="exact" w:before="220" w:after="170"/>
        <w:ind w:left="170" w:right="24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authors declare that they have no known competing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nancial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interests or personal relationships that could have appeared to in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fl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u-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ence the work reported in this paper.</w:t>
      </w:r>
    </w:p>
    <w:p>
      <w:pPr>
        <w:sectPr>
          <w:type w:val="nextColumn"/>
          <w:pgSz w:w="11906" w:h="15874"/>
          <w:pgMar w:top="366" w:right="740" w:bottom="318" w:left="762" w:header="720" w:footer="720" w:gutter="0"/>
          <w:cols w:space="720" w:num="2" w:equalWidth="0">
            <w:col w:w="5190" w:space="0"/>
            <w:col w:w="5213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5202"/>
        <w:gridCol w:w="5202"/>
      </w:tblGrid>
      <w:tr>
        <w:trPr>
          <w:trHeight w:hRule="exact" w:val="386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4" w:right="144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 xml:space="preserve">clear separation on the PCA score plot. The selection of a feature subset 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played an important role to classify the commercial categories of South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182" w:right="0" w:firstLine="0"/>
              <w:jc w:val="left"/>
            </w:pPr>
            <w:r>
              <w:rPr>
                <w:rFonts w:ascii="AdvTT28000ce1.B" w:hAnsi="AdvTT28000ce1.B" w:eastAsia="AdvTT28000ce1.B"/>
                <w:b w:val="0"/>
                <w:i w:val="0"/>
                <w:color w:val="221F1F"/>
                <w:sz w:val="16"/>
              </w:rPr>
              <w:t>References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continuous"/>
          <w:pgSz w:w="11906" w:h="15874"/>
          <w:pgMar w:top="366" w:right="740" w:bottom="318" w:left="762" w:header="720" w:footer="720" w:gutter="0"/>
          <w:cols w:space="720" w:num="1" w:equalWidth="0"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2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American wines.</w:t>
      </w:r>
    </w:p>
    <w:p>
      <w:pPr>
        <w:autoSpaceDN w:val="0"/>
        <w:autoSpaceDE w:val="0"/>
        <w:widowControl/>
        <w:spacing w:line="210" w:lineRule="exact" w:before="0" w:after="0"/>
        <w:ind w:left="2" w:right="30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It was found that a group of phenolic and volatile was the more dis-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criminative compounds. The model #09 used seven phenolic and two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volatile compounds. The ORAC was previously identi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ed by the use of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feature selection as one of the main chemicals that are able to classify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Chilean and Brazilian Sauvignon Cabernet wines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da Costa et al., 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2016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), Uruguayan and Brazilian Tannat wines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Costa et al., 2018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), and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South American Merlot wines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Costa et al., 2019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).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Zhang et al. (2010)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selected 11 volatiles compounds from Chinese red wines by the use of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stepwise linear discriminant analysis. The authors found that esters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and alcohols are responsible for varietal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of Chinese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Cabernet Sauvignon, Cabernet Gernischt and Merlot wines.</w:t>
      </w:r>
    </w:p>
    <w:p>
      <w:pPr>
        <w:autoSpaceDN w:val="0"/>
        <w:autoSpaceDE w:val="0"/>
        <w:widowControl/>
        <w:spacing w:line="208" w:lineRule="exact" w:before="8" w:after="0"/>
        <w:ind w:left="2" w:right="32" w:firstLine="238"/>
        <w:jc w:val="both"/>
      </w:pPr>
      <w:r>
        <w:rPr>
          <w:rFonts w:ascii="AdvTT5235d5a9" w:hAnsi="AdvTT5235d5a9" w:eastAsia="AdvTT5235d5a9"/>
          <w:b w:val="0"/>
          <w:i w:val="0"/>
          <w:color w:val="2E3092"/>
          <w:sz w:val="16"/>
        </w:rPr>
        <w:t>Márquez et al. (2008)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found that the variables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α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-terpineol,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5-methyl-2-furaldehyde, isoamyl alcohols, ethyl decanoate, hexanal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and p-cymene was the mainly descriptors to classify Andalusian sweet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wines. The study of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Mihnea et al. (2015)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correctly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ed all samples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of Mencía wines by the use of 22 of 42 variables, mainly alcohols, esters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and acids.</w:t>
      </w:r>
    </w:p>
    <w:p>
      <w:pPr>
        <w:autoSpaceDN w:val="0"/>
        <w:autoSpaceDE w:val="0"/>
        <w:widowControl/>
        <w:spacing w:line="210" w:lineRule="exact" w:before="0" w:after="0"/>
        <w:ind w:left="2" w:right="30" w:firstLine="238"/>
        <w:jc w:val="both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Although the use of variable selectors improves the performance of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models and reduces the experimental costs, there is little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research in the area of wine classi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cation using these techniques. The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future of food authentication depends on combining the information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from different analytical techniques (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>Villano et al., 2017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) and modeling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algorithms capable to handle the non-linearly of data and complex</w:t>
      </w:r>
    </w:p>
    <w:p>
      <w:pPr>
        <w:sectPr>
          <w:type w:val="continuous"/>
          <w:pgSz w:w="11906" w:h="15874"/>
          <w:pgMar w:top="366" w:right="740" w:bottom="318" w:left="762" w:header="720" w:footer="720" w:gutter="0"/>
          <w:cols w:space="720" w:num="2" w:equalWidth="0">
            <w:col w:w="5054" w:space="0"/>
            <w:col w:w="5349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3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161</w:t>
      </w:r>
    </w:p>
    <w:p>
      <w:pPr>
        <w:sectPr>
          <w:type w:val="nextColumn"/>
          <w:pgSz w:w="11906" w:h="15874"/>
          <w:pgMar w:top="366" w:right="740" w:bottom="318" w:left="762" w:header="720" w:footer="720" w:gutter="0"/>
          <w:cols w:space="720" w:num="2" w:equalWidth="0">
            <w:col w:w="5054" w:space="0"/>
            <w:col w:w="5349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sectPr>
          <w:pgSz w:w="11906" w:h="15874"/>
          <w:pgMar w:top="366" w:right="740" w:bottom="318" w:left="764" w:header="720" w:footer="720" w:gutter="0"/>
          <w:cols w:space="720" w:num="2" w:equalWidth="0">
            <w:col w:w="5054" w:space="0"/>
            <w:col w:w="5349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4" w:lineRule="exact" w:before="0" w:after="0"/>
        <w:ind w:left="0" w:right="0" w:firstLine="0"/>
        <w:jc w:val="left"/>
      </w:pPr>
      <w:r>
        <w:rPr>
          <w:w w:val="98.09230657724234"/>
          <w:rFonts w:ascii="AdvTT94c8263f.I" w:hAnsi="AdvTT94c8263f.I" w:eastAsia="AdvTT94c8263f.I"/>
          <w:b w:val="0"/>
          <w:i w:val="0"/>
          <w:color w:val="221F1F"/>
          <w:sz w:val="13"/>
        </w:rPr>
        <w:t>N.L. da Costa, L.A. Valentin, I.A. Castro et al.</w:t>
      </w:r>
    </w:p>
    <w:p>
      <w:pPr>
        <w:autoSpaceDN w:val="0"/>
        <w:autoSpaceDE w:val="0"/>
        <w:widowControl/>
        <w:spacing w:line="158" w:lineRule="exact" w:before="216" w:after="0"/>
        <w:ind w:left="238" w:right="32" w:hanging="238"/>
        <w:jc w:val="both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da Costa, N.L., Castro, I.A., Barbosa, R., 2016. Classi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fi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cation of cabernet sauvignon 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from two different countries in South America by chemical compounds and sup-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port vector machines. Appl. Artif. Intell. 30, 679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–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689.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5" w:history="1">
          <w:r>
            <w:rPr>
              <w:rStyle w:val="Hyperlink"/>
            </w:rPr>
            <w:t xml:space="preserve">https://doi.org/10.1080/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5" w:history="1">
          <w:r>
            <w:rPr>
              <w:rStyle w:val="Hyperlink"/>
            </w:rPr>
            <w:t>08839514.2016.1214416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.</w:t>
      </w:r>
    </w:p>
    <w:p>
      <w:pPr>
        <w:autoSpaceDN w:val="0"/>
        <w:autoSpaceDE w:val="0"/>
        <w:widowControl/>
        <w:spacing w:line="156" w:lineRule="exact" w:before="14" w:after="0"/>
        <w:ind w:left="0" w:right="0" w:firstLine="0"/>
        <w:jc w:val="center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Froz, B.R., de Carvalho Filho, A.O., Silva, A.C., de Paiva, A.C., Nunes, R.A., Gattass, M., 2017.</w:t>
      </w:r>
    </w:p>
    <w:p>
      <w:pPr>
        <w:autoSpaceDN w:val="0"/>
        <w:autoSpaceDE w:val="0"/>
        <w:widowControl/>
        <w:spacing w:line="158" w:lineRule="exact" w:before="6" w:after="0"/>
        <w:ind w:left="238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6" w:history="1">
          <w:r>
            <w:rPr>
              <w:rStyle w:val="Hyperlink"/>
            </w:rPr>
            <w:t>Lung nodule classi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6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i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6" w:history="1">
          <w:r>
            <w:rPr>
              <w:rStyle w:val="Hyperlink"/>
            </w:rPr>
            <w:t>cation using arti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6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i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6" w:history="1">
          <w:r>
            <w:rPr>
              <w:rStyle w:val="Hyperlink"/>
            </w:rPr>
            <w:t xml:space="preserve">cial crawlers, directional texture and support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6" w:history="1">
          <w:r>
            <w:rPr>
              <w:rStyle w:val="Hyperlink"/>
            </w:rPr>
            <w:t>vector machine. Expert Syst. Appl. 69, 176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6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6" w:history="1">
          <w:r>
            <w:rPr>
              <w:rStyle w:val="Hyperlink"/>
            </w:rPr>
            <w:t>188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6" w:after="0"/>
        <w:ind w:left="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Hall, M.A., 1999.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7" w:history="1">
          <w:r>
            <w:rPr>
              <w:rStyle w:val="Hyperlink"/>
            </w:rPr>
            <w:t xml:space="preserve">Correlation-Based Feature Selection for Machine Learning. University of </w:t>
          </w:r>
        </w:hyperlink>
      </w:r>
      <w:r>
        <w:tab/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7" w:history="1">
          <w:r>
            <w:rPr>
              <w:rStyle w:val="Hyperlink"/>
            </w:rPr>
            <w:t>Waikato Hamilton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2" w:lineRule="exact" w:before="8" w:after="0"/>
        <w:ind w:left="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Huang, D., Ou, B., Prior, R.L., 2005.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8" w:history="1">
          <w:r>
            <w:rPr>
              <w:rStyle w:val="Hyperlink"/>
            </w:rPr>
            <w:t xml:space="preserve">The chemistry behind antioxidant capacity assays. </w:t>
          </w:r>
        </w:hyperlink>
      </w:r>
      <w:r>
        <w:tab/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8" w:history="1">
          <w:r>
            <w:rPr>
              <w:rStyle w:val="Hyperlink"/>
            </w:rPr>
            <w:t>J. Agric. Food Chem. 53, 1841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8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8" w:history="1">
          <w:r>
            <w:rPr>
              <w:rStyle w:val="Hyperlink"/>
            </w:rPr>
            <w:t>1856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.</w:t>
      </w:r>
    </w:p>
    <w:p>
      <w:pPr>
        <w:autoSpaceDN w:val="0"/>
        <w:autoSpaceDE w:val="0"/>
        <w:widowControl/>
        <w:spacing w:line="158" w:lineRule="exact" w:before="14" w:after="0"/>
        <w:ind w:left="238" w:right="32" w:hanging="238"/>
        <w:jc w:val="both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Jaitz, L., Siegl, K., Eder, R., Rak, G., Abranko, L., Koellensperger, G., Hann, S., 2010.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9" w:history="1">
          <w:r>
            <w:rPr>
              <w:rStyle w:val="Hyperlink"/>
            </w:rPr>
            <w:t>LC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9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9" w:history="1">
          <w:r>
            <w:rPr>
              <w:rStyle w:val="Hyperlink"/>
            </w:rPr>
            <w:t xml:space="preserve">MS/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9" w:history="1">
          <w:r>
            <w:rPr>
              <w:rStyle w:val="Hyperlink"/>
            </w:rPr>
            <w:t>MS analysis of phenols for classi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9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i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9" w:history="1">
          <w:r>
            <w:rPr>
              <w:rStyle w:val="Hyperlink"/>
            </w:rPr>
            <w:t xml:space="preserve">cation of red wine according to geographic origin,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9" w:history="1">
          <w:r>
            <w:rPr>
              <w:rStyle w:val="Hyperlink"/>
            </w:rPr>
            <w:t>grape variety and vintage. Food Chem. 122, 366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9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29" w:history="1">
          <w:r>
            <w:rPr>
              <w:rStyle w:val="Hyperlink"/>
            </w:rPr>
            <w:t>372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.</w:t>
      </w:r>
    </w:p>
    <w:p>
      <w:pPr>
        <w:autoSpaceDN w:val="0"/>
        <w:autoSpaceDE w:val="0"/>
        <w:widowControl/>
        <w:spacing w:line="160" w:lineRule="exact" w:before="8" w:after="0"/>
        <w:ind w:left="238" w:right="32" w:hanging="238"/>
        <w:jc w:val="both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Jiménez-Carvelo, A.M., González-Casado, A., Bagur-González, M.G., Cuadros-Rodríguez, L., 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2019. Alternative data mining/machine learning methods for the analytical evalua-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tion of food quality and authenticity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–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 a review. Food Res. Int. 122, 25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–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39.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0" w:history="1">
          <w:r>
            <w:rPr>
              <w:rStyle w:val="Hyperlink"/>
            </w:rPr>
            <w:t xml:space="preserve">https://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0" w:history="1">
          <w:r>
            <w:rPr>
              <w:rStyle w:val="Hyperlink"/>
            </w:rPr>
            <w:t>doi.org/10.1016/j.foodres.2019.03.063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2" w:lineRule="exact" w:before="8" w:after="0"/>
        <w:ind w:left="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Li, H., Liang, Y., Xu, Q., 2009.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1" w:history="1">
          <w:r>
            <w:rPr>
              <w:rStyle w:val="Hyperlink"/>
            </w:rPr>
            <w:t xml:space="preserve">Support vector machines and its applications in chemistry. </w:t>
          </w:r>
        </w:hyperlink>
      </w:r>
      <w:r>
        <w:tab/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1" w:history="1">
          <w:r>
            <w:rPr>
              <w:rStyle w:val="Hyperlink"/>
            </w:rPr>
            <w:t>Chemom. Intell. Lab. Syst. 95, 188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1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1" w:history="1">
          <w:r>
            <w:rPr>
              <w:rStyle w:val="Hyperlink"/>
            </w:rPr>
            <w:t>198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.</w:t>
      </w:r>
    </w:p>
    <w:p>
      <w:pPr>
        <w:autoSpaceDN w:val="0"/>
        <w:autoSpaceDE w:val="0"/>
        <w:widowControl/>
        <w:spacing w:line="160" w:lineRule="exact" w:before="8" w:after="0"/>
        <w:ind w:left="238" w:right="30" w:hanging="238"/>
        <w:jc w:val="both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Llobodanin, L.G., Barroso, L.P., Castro, I.A., 2014.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2" w:history="1">
          <w:r>
            <w:rPr>
              <w:rStyle w:val="Hyperlink"/>
            </w:rPr>
            <w:t xml:space="preserve">Prediction of the functionality of young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2" w:history="1">
          <w:r>
            <w:rPr>
              <w:rStyle w:val="Hyperlink"/>
            </w:rPr>
            <w:t xml:space="preserve">South American red wines based on chemical parameters. Aust. J. Grape Wine Res.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2" w:history="1">
          <w:r>
            <w:rPr>
              <w:rStyle w:val="Hyperlink"/>
            </w:rPr>
            <w:t>20, 15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2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2" w:history="1">
          <w:r>
            <w:rPr>
              <w:rStyle w:val="Hyperlink"/>
            </w:rPr>
            <w:t>24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.</w:t>
      </w:r>
    </w:p>
    <w:p>
      <w:pPr>
        <w:autoSpaceDN w:val="0"/>
        <w:autoSpaceDE w:val="0"/>
        <w:widowControl/>
        <w:spacing w:line="160" w:lineRule="exact" w:before="8" w:after="0"/>
        <w:ind w:left="238" w:right="32" w:hanging="238"/>
        <w:jc w:val="both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 xml:space="preserve">Maione, C., de Oliveira Souza, V.C., Togni, L.R., da Costa, J.L., Campiglia, A.D., Barbosa, F., 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Barbosa, R.M., 2018.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3" w:history="1">
          <w:r>
            <w:rPr>
              <w:rStyle w:val="Hyperlink"/>
            </w:rPr>
            <w:t>Establishing chemical pro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3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i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3" w:history="1">
          <w:r>
            <w:rPr>
              <w:rStyle w:val="Hyperlink"/>
            </w:rPr>
            <w:t xml:space="preserve">ling for ecstasy tablets based on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3" w:history="1">
          <w:r>
            <w:rPr>
              <w:rStyle w:val="Hyperlink"/>
            </w:rPr>
            <w:t xml:space="preserve">trace element levels and support vector machine. Neural Comput. &amp; Applic. 30,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3" w:history="1">
          <w:r>
            <w:rPr>
              <w:rStyle w:val="Hyperlink"/>
            </w:rPr>
            <w:t>947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3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3" w:history="1">
          <w:r>
            <w:rPr>
              <w:rStyle w:val="Hyperlink"/>
            </w:rPr>
            <w:t>955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6" w:after="0"/>
        <w:ind w:left="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Márquez, R., Castro, R., Natera, R., García-Barroso, C., 2008.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4" w:history="1">
          <w:r>
            <w:rPr>
              <w:rStyle w:val="Hyperlink"/>
            </w:rPr>
            <w:t xml:space="preserve">Characterisation of the volatile </w:t>
          </w:r>
        </w:hyperlink>
      </w:r>
      <w:r>
        <w:tab/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4" w:history="1">
          <w:r>
            <w:rPr>
              <w:rStyle w:val="Hyperlink"/>
            </w:rPr>
            <w:t>fraction of Andalusian sweet wines. Eur. Food Res. Technol. 226, 1479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.</w:t>
      </w:r>
    </w:p>
    <w:p>
      <w:pPr>
        <w:autoSpaceDN w:val="0"/>
        <w:autoSpaceDE w:val="0"/>
        <w:widowControl/>
        <w:spacing w:line="160" w:lineRule="exact" w:before="10" w:after="0"/>
        <w:ind w:left="238" w:right="32" w:hanging="238"/>
        <w:jc w:val="both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Mihnea, M., González-SanJosé, M.L., Ortega-Heras, M., Pérez-Magariño, S., 2015.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5" w:history="1">
          <w:r>
            <w:rPr>
              <w:rStyle w:val="Hyperlink"/>
            </w:rPr>
            <w:t>A com-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5" w:history="1">
          <w:r>
            <w:rPr>
              <w:rStyle w:val="Hyperlink"/>
            </w:rPr>
            <w:t>parative study of the volatile content of Mencía wines obtained using different pre-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5" w:history="1">
          <w:r>
            <w:rPr>
              <w:rStyle w:val="Hyperlink"/>
            </w:rPr>
            <w:t>fermentative maceration techniques. LWT-Food Sci. Technol. 64, 32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5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5" w:history="1">
          <w:r>
            <w:rPr>
              <w:rStyle w:val="Hyperlink"/>
            </w:rPr>
            <w:t>41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.</w:t>
      </w:r>
    </w:p>
    <w:p>
      <w:pPr>
        <w:autoSpaceDN w:val="0"/>
        <w:autoSpaceDE w:val="0"/>
        <w:widowControl/>
        <w:spacing w:line="158" w:lineRule="exact" w:before="14" w:after="0"/>
        <w:ind w:left="238" w:right="30" w:hanging="238"/>
        <w:jc w:val="both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Pisano, P.L., Silva, M.F., Olivieri, A.C., 2015.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6" w:history="1">
          <w:r>
            <w:rPr>
              <w:rStyle w:val="Hyperlink"/>
            </w:rPr>
            <w:t>Anthocyanins as markers for the classi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6" w:history="1">
          <w:r>
            <w:rPr>
              <w:rStyle w:val="Hyperlink"/>
            </w:rPr>
            <w:t>f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i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6" w:history="1">
          <w:r>
            <w:rPr>
              <w:rStyle w:val="Hyperlink"/>
            </w:rPr>
            <w:t xml:space="preserve">cation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6" w:history="1">
          <w:r>
            <w:rPr>
              <w:rStyle w:val="Hyperlink"/>
            </w:rPr>
            <w:t xml:space="preserve">of Argentinean wines according to botanical and geographical origin. Chemometric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6" w:history="1">
          <w:r>
            <w:rPr>
              <w:rStyle w:val="Hyperlink"/>
            </w:rPr>
            <w:t xml:space="preserve">modeling of liquid chromatography-mass spectrometry data. Food Chem. 175, 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6" w:history="1">
          <w:r>
            <w:rPr>
              <w:rStyle w:val="Hyperlink"/>
            </w:rPr>
            <w:t>174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6" w:history="1">
          <w:r>
            <w:rPr>
              <w:rStyle w:val="Hyperlink"/>
            </w:rPr>
            <w:t>–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hyperlink r:id="rId36" w:history="1">
          <w:r>
            <w:rPr>
              <w:rStyle w:val="Hyperlink"/>
            </w:rPr>
            <w:t>180</w:t>
          </w:r>
        </w:hyperlink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.</w:t>
      </w:r>
    </w:p>
    <w:p>
      <w:pPr>
        <w:sectPr>
          <w:type w:val="continuous"/>
          <w:pgSz w:w="11906" w:h="15874"/>
          <w:pgMar w:top="366" w:right="740" w:bottom="318" w:left="764" w:header="720" w:footer="720" w:gutter="0"/>
          <w:cols w:space="720" w:num="2" w:equalWidth="0">
            <w:col w:w="5052" w:space="0"/>
            <w:col w:w="5349" w:space="0"/>
            <w:col w:w="5054" w:space="0"/>
            <w:col w:w="5349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10403" w:space="0"/>
            <w:col w:w="5190" w:space="0"/>
            <w:col w:w="5213" w:space="0"/>
            <w:col w:w="5054" w:space="0"/>
            <w:col w:w="5348" w:space="0"/>
            <w:col w:w="10402" w:space="0"/>
            <w:col w:w="5191" w:space="0"/>
            <w:col w:w="5210" w:space="0"/>
            <w:col w:w="10402" w:space="0"/>
            <w:col w:w="4890" w:space="0"/>
            <w:col w:w="5512" w:space="0"/>
            <w:col w:w="10401" w:space="0"/>
            <w:col w:w="5188" w:space="0"/>
            <w:col w:w="5213" w:space="0"/>
            <w:col w:w="10401" w:space="0"/>
            <w:col w:w="5190" w:space="0"/>
            <w:col w:w="5211" w:space="0"/>
            <w:col w:w="5052" w:space="0"/>
            <w:col w:w="5349" w:space="0"/>
            <w:col w:w="10401" w:space="0"/>
            <w:col w:w="5190" w:space="0"/>
            <w:col w:w="5211" w:space="0"/>
            <w:col w:w="10401" w:space="0"/>
            <w:col w:w="5190" w:space="0"/>
            <w:col w:w="5211" w:space="0"/>
            <w:col w:w="10408" w:space="0"/>
            <w:col w:w="5190" w:space="0"/>
            <w:col w:w="5218" w:space="0"/>
            <w:col w:w="10408" w:space="0"/>
            <w:col w:w="5191" w:space="0"/>
            <w:col w:w="5216" w:space="0"/>
            <w:col w:w="10408" w:space="0"/>
          </w:cols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30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162</w:t>
      </w:r>
    </w:p>
    <w:sectPr w:rsidR="00FC693F" w:rsidRPr="0006063C" w:rsidSect="00034616">
      <w:type w:val="nextColumn"/>
      <w:pgSz w:w="11906" w:h="15874"/>
      <w:pgMar w:top="366" w:right="740" w:bottom="318" w:left="764" w:header="720" w:footer="720" w:gutter="0"/>
      <w:cols w:space="720" w:num="2" w:equalWidth="0">
        <w:col w:w="5052" w:space="0"/>
        <w:col w:w="5349" w:space="0"/>
        <w:col w:w="5054" w:space="0"/>
        <w:col w:w="5349" w:space="0"/>
        <w:col w:w="10403" w:space="0"/>
        <w:col w:w="5190" w:space="0"/>
        <w:col w:w="5213" w:space="0"/>
        <w:col w:w="10403" w:space="0"/>
        <w:col w:w="5190" w:space="0"/>
        <w:col w:w="5213" w:space="0"/>
        <w:col w:w="10403" w:space="0"/>
        <w:col w:w="5190" w:space="0"/>
        <w:col w:w="5213" w:space="0"/>
        <w:col w:w="5054" w:space="0"/>
        <w:col w:w="5348" w:space="0"/>
        <w:col w:w="10402" w:space="0"/>
        <w:col w:w="5191" w:space="0"/>
        <w:col w:w="5210" w:space="0"/>
        <w:col w:w="10402" w:space="0"/>
        <w:col w:w="4890" w:space="0"/>
        <w:col w:w="5512" w:space="0"/>
        <w:col w:w="10401" w:space="0"/>
        <w:col w:w="5188" w:space="0"/>
        <w:col w:w="5213" w:space="0"/>
        <w:col w:w="10401" w:space="0"/>
        <w:col w:w="5190" w:space="0"/>
        <w:col w:w="5211" w:space="0"/>
        <w:col w:w="5052" w:space="0"/>
        <w:col w:w="5349" w:space="0"/>
        <w:col w:w="10401" w:space="0"/>
        <w:col w:w="5190" w:space="0"/>
        <w:col w:w="5211" w:space="0"/>
        <w:col w:w="10401" w:space="0"/>
        <w:col w:w="5190" w:space="0"/>
        <w:col w:w="5211" w:space="0"/>
        <w:col w:w="10408" w:space="0"/>
        <w:col w:w="5190" w:space="0"/>
        <w:col w:w="5218" w:space="0"/>
        <w:col w:w="10408" w:space="0"/>
        <w:col w:w="5191" w:space="0"/>
        <w:col w:w="5216" w:space="0"/>
        <w:col w:w="104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ia.2021.07.00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/science/journal/" TargetMode="External"/><Relationship Id="rId12" Type="http://schemas.openxmlformats.org/officeDocument/2006/relationships/hyperlink" Target="http://www.keaipublishing.com/en/journals/artificial-intelligence-in-agriculture/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yperlink" Target="mailto:nattane.luiza@ifgoiano.edu.br" TargetMode="External"/><Relationship Id="rId17" Type="http://schemas.openxmlformats.org/officeDocument/2006/relationships/hyperlink" Target="mailto:leonardo.valentin@usp.br" TargetMode="External"/><Relationship Id="rId18" Type="http://schemas.openxmlformats.org/officeDocument/2006/relationships/hyperlink" Target="mailto:inar@usp.br" TargetMode="External"/><Relationship Id="rId19" Type="http://schemas.openxmlformats.org/officeDocument/2006/relationships/hyperlink" Target="mailto:rommel@inf.ufg.br" TargetMode="External"/><Relationship Id="rId20" Type="http://schemas.openxmlformats.org/officeDocument/2006/relationships/hyperlink" Target="http://www.abs-sp.com.br" TargetMode="External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yperlink" Target="https://doi.org/10.1080/08839514.2016.1214416" TargetMode="External"/><Relationship Id="rId26" Type="http://schemas.openxmlformats.org/officeDocument/2006/relationships/hyperlink" Target="http://refhub.elsevier.com/S2589-7217(21)00022-2/rf0070" TargetMode="External"/><Relationship Id="rId27" Type="http://schemas.openxmlformats.org/officeDocument/2006/relationships/hyperlink" Target="http://refhub.elsevier.com/S2589-7217(21)00022-2/rf0075" TargetMode="External"/><Relationship Id="rId28" Type="http://schemas.openxmlformats.org/officeDocument/2006/relationships/hyperlink" Target="http://refhub.elsevier.com/S2589-7217(21)00022-2/rf0080" TargetMode="External"/><Relationship Id="rId29" Type="http://schemas.openxmlformats.org/officeDocument/2006/relationships/hyperlink" Target="http://refhub.elsevier.com/S2589-7217(21)00022-2/rf0085" TargetMode="External"/><Relationship Id="rId30" Type="http://schemas.openxmlformats.org/officeDocument/2006/relationships/hyperlink" Target="https://doi.org/10.1016/j.foodres.2019.03.063" TargetMode="External"/><Relationship Id="rId31" Type="http://schemas.openxmlformats.org/officeDocument/2006/relationships/hyperlink" Target="http://refhub.elsevier.com/S2589-7217(21)00022-2/rf0095" TargetMode="External"/><Relationship Id="rId32" Type="http://schemas.openxmlformats.org/officeDocument/2006/relationships/hyperlink" Target="http://refhub.elsevier.com/S2589-7217(21)00022-2/rf0100" TargetMode="External"/><Relationship Id="rId33" Type="http://schemas.openxmlformats.org/officeDocument/2006/relationships/hyperlink" Target="http://refhub.elsevier.com/S2589-7217(21)00022-2/rf0105" TargetMode="External"/><Relationship Id="rId34" Type="http://schemas.openxmlformats.org/officeDocument/2006/relationships/hyperlink" Target="http://refhub.elsevier.com/S2589-7217(21)00022-2/rf0110" TargetMode="External"/><Relationship Id="rId35" Type="http://schemas.openxmlformats.org/officeDocument/2006/relationships/hyperlink" Target="http://refhub.elsevier.com/S2589-7217(21)00022-2/rf0115" TargetMode="External"/><Relationship Id="rId36" Type="http://schemas.openxmlformats.org/officeDocument/2006/relationships/hyperlink" Target="http://refhub.elsevier.com/S2589-7217(21)00022-2/rf0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