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6346190</wp:posOffset>
            </wp:positionH>
            <wp:positionV relativeFrom="page">
              <wp:posOffset>2151380</wp:posOffset>
            </wp:positionV>
            <wp:extent cx="359410" cy="35941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2146300</wp:posOffset>
            </wp:positionV>
            <wp:extent cx="368300" cy="368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222"/>
        <w:ind w:left="0" w:right="0" w:firstLine="0"/>
        <w:jc w:val="center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Artificia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t>l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Intelligence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Life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Sciences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2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(2022)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100051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94"/>
        <w:gridCol w:w="3494"/>
        <w:gridCol w:w="3494"/>
      </w:tblGrid>
      <w:tr>
        <w:trPr>
          <w:trHeight w:hRule="exact" w:val="432"/>
        </w:trPr>
        <w:tc>
          <w:tcPr>
            <w:tcW w:type="dxa" w:w="1944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9460" cy="829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829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74"/>
            <w:tcBorders>
              <w:top w:sz="2.01600003242492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4" w:after="0"/>
              <w:ind w:left="0" w:right="2354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lists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available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at</w:t>
            </w:r>
            <w:r>
              <w:rPr>
                <w:rFonts w:ascii="CharisSIL" w:hAnsi="CharisSIL" w:eastAsia="CharisSIL"/>
                <w:b w:val="0"/>
                <w:i w:val="0"/>
                <w:color w:val="0080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6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1989" cy="901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89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88" w:after="0"/>
              <w:ind w:left="78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Artificial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Intelligence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the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Life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Sciences</w:t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>
              <w:bottom w:sz="23.975999832153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4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journal</w:t>
            </w: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homepage:</w:t>
            </w:r>
            <w:r>
              <w:rPr>
                <w:rFonts w:ascii="UniversLTStd" w:hAnsi="UniversLTStd" w:eastAsia="UniversLTStd"/>
                <w:b w:val="0"/>
                <w:i w:val="0"/>
                <w:color w:val="0080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www.elsevier.com/locate/ailsci</w:t>
                </w:r>
              </w:hyperlink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80" w:lineRule="exact" w:before="704" w:after="120"/>
        <w:ind w:left="30" w:right="2592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7"/>
        </w:rPr>
        <w:t>Revisiting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active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discovery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through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science 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Jürgen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 xml:space="preserve">Bajorath </w:t>
      </w:r>
      <w:r>
        <w:br/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Department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of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Informatics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Data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B-IT,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LIMES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Program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Unit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Chemical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Biology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Medicinal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Chemistry,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Rheinische 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Friedrich-Wilhelms-Universität,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Friedrich-Hirzebruch-Allee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5/6,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Bonn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D-53115,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Germany</w:t>
      </w:r>
    </w:p>
    <w:p>
      <w:pPr>
        <w:sectPr>
          <w:pgSz w:w="11905" w:h="15878"/>
          <w:pgMar w:top="332" w:right="694" w:bottom="326" w:left="728" w:header="720" w:footer="720" w:gutter="0"/>
          <w:cols w:space="720" w:num="1" w:equalWidth="0"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(AL)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machine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(ML)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designed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minimize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amount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els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[1–3]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underlying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iterative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gradually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improve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performance.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labeled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unlabeled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strategies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introduced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attempting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balance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exploration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(sampling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exploitation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(focus-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outcomes).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interfaces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between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iterative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screening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[4]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case,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built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prioritize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screening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evalua-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identified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re-train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next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selection.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Iterative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refinement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aim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identifying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majority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number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database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tested.</w:t>
      </w:r>
    </w:p>
    <w:p>
      <w:pPr>
        <w:autoSpaceDN w:val="0"/>
        <w:autoSpaceDE w:val="0"/>
        <w:widowControl/>
        <w:spacing w:line="210" w:lineRule="exact" w:before="78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Despite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data-hungry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deep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discovery,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high-quality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vivo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limited.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major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reason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capable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operating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sparsely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spaces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attractive.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Moreover,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sometimes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pensive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time-consuming.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situations,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AL-driven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greatly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focusing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design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promising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although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already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two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decades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pharmaceutical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tinues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topical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–and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intellectually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stimulating– approach.</w:t>
      </w:r>
    </w:p>
    <w:p>
      <w:pPr>
        <w:autoSpaceDN w:val="0"/>
        <w:autoSpaceDE w:val="0"/>
        <w:widowControl/>
        <w:spacing w:line="210" w:lineRule="exact" w:before="78" w:after="0"/>
        <w:ind w:left="30" w:right="17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AILSCI,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Thompson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make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address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expensive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task,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binding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energy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(RBFE)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measure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tency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alterations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[5]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optimization,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1980s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become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candidates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synthesis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progress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power,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graphics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(GPU)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advances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conforma-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sampling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procedures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[8]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although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calculations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carried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scale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guide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candidate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selection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reduce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synthetic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efforts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[9]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continue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tationally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demanding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substantial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factor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larger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libraries,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pointed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Thompson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colleagues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[5]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time-consuming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exercise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expensive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efforts.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series,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multiple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pursued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parallel,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</w:p>
    <w:p>
      <w:pPr>
        <w:autoSpaceDN w:val="0"/>
        <w:autoSpaceDE w:val="0"/>
        <w:widowControl/>
        <w:spacing w:line="258" w:lineRule="exact" w:before="342" w:after="0"/>
        <w:ind w:left="270" w:right="0" w:firstLine="0"/>
        <w:jc w:val="left"/>
      </w:pP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E-mail</w:t>
      </w: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address: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4" w:history="1">
          <w:r>
            <w:rPr>
              <w:rStyle w:val="Hyperlink"/>
            </w:rPr>
            <w:t>bajorath@bit.uni-bonn.de</w:t>
          </w:r>
        </w:hyperlink>
      </w:r>
    </w:p>
    <w:p>
      <w:pPr>
        <w:sectPr>
          <w:type w:val="continuous"/>
          <w:pgSz w:w="11905" w:h="15878"/>
          <w:pgMar w:top="332" w:right="694" w:bottom="326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176" w:right="4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would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subjected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ultimately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likely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candidate(s)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potency.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pool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candidates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remains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iterative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followed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synthesis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readily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feasible;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pool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becomes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–or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sizeable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enumerated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investigated– RBFE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become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challenging.</w:t>
      </w:r>
    </w:p>
    <w:p>
      <w:pPr>
        <w:autoSpaceDN w:val="0"/>
        <w:tabs>
          <w:tab w:pos="416" w:val="left"/>
        </w:tabs>
        <w:autoSpaceDE w:val="0"/>
        <w:widowControl/>
        <w:spacing w:line="210" w:lineRule="exact" w:before="76" w:after="688"/>
        <w:ind w:left="176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reduce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magnitude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analysis?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carried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struc-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ture.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remaining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promising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candidates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re-build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reminiscent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iterative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screening,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continued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until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pre-defined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number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investigated,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aiming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identify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premise,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course,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expensive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analysis.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scheme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Thompson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Starting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congeneric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75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100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top-ranked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sampling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6%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[5]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;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impressive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Three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earlier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(includ-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two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preprints)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already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context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analysis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(using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distinct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system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set-ups),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first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[10]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success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identifying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scoring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comparably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sample.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Thompson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colleagues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beyond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earlier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several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benchmarking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RBFE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Therefore,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10,000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congeneric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them.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Notably,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authors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entire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library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RBFE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custom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ensure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reproducibility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enable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follow-up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investigations;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outstanding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science.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Moreover,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going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beyond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earlier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Thompson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systematically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explored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parameter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settings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>(i)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initial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subset,</w:t>
      </w:r>
      <w:r>
        <w:rPr>
          <w:rFonts w:ascii="CharisSIL" w:hAnsi="CharisSIL" w:eastAsia="CharisSIL"/>
          <w:b w:val="0"/>
          <w:i/>
          <w:color w:val="000000"/>
          <w:sz w:val="16"/>
        </w:rPr>
        <w:t>(ii)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number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compounds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sampled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iteration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/>
          <w:color w:val="000000"/>
          <w:sz w:val="16"/>
        </w:rPr>
        <w:t>(iii)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acquisition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function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instances).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Especially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acquisition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function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thought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robust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surprisingly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insensitive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alter-</w:t>
      </w:r>
    </w:p>
    <w:p>
      <w:pPr>
        <w:sectPr>
          <w:type w:val="nextColumn"/>
          <w:pgSz w:w="11905" w:h="15878"/>
          <w:pgMar w:top="332" w:right="694" w:bottom="326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66" w:after="0"/>
        <w:ind w:left="30" w:right="2592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 xml:space="preserve">https://doi.org/10.1016/j.ailsci.2022.100051 </w:t>
          </w:r>
        </w:hyperlink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2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December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2022;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Accepted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2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Dece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mber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2022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Available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online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5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December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2022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2667-3185/© 2022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Authors.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Published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by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Elsevi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B.V.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open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access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article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under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CC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BY-NC-ND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license 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(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)</w:t>
      </w:r>
    </w:p>
    <w:p>
      <w:pPr>
        <w:sectPr>
          <w:type w:val="continuous"/>
          <w:pgSz w:w="11905" w:h="15878"/>
          <w:pgMar w:top="332" w:right="694" w:bottom="326" w:left="728" w:header="720" w:footer="720" w:gutter="0"/>
          <w:cols w:space="720" w:num="1" w:equalWidth="0"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tabs>
          <w:tab w:pos="7258" w:val="left"/>
        </w:tabs>
        <w:autoSpaceDE w:val="0"/>
        <w:widowControl/>
        <w:spacing w:line="230" w:lineRule="exact" w:before="0" w:after="17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J.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Bajorath </w:t>
      </w:r>
      <w:r>
        <w:tab/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Artificial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Intelligence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the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2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(2022)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100051</w:t>
      </w:r>
    </w:p>
    <w:p>
      <w:pPr>
        <w:sectPr>
          <w:pgSz w:w="11905" w:h="15878"/>
          <w:pgMar w:top="338" w:right="716" w:bottom="252" w:left="758" w:header="720" w:footer="720" w:gutter="0"/>
          <w:cols w:space="720" w:num="1" w:equalWidth="0">
            <w:col w:w="10430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6" w:after="0"/>
        <w:ind w:left="0" w:right="176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native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parameter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settings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(including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random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selection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initial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greedy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(exploitation-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based)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acquisition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function).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influence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observed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number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sampled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iteration,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preference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comprising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60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[5]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served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insensitivity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parameter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settings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insensitivity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depend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characteristics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system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also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indicates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choice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acquisition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functions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assumed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sufficient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well-performing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models.</w:t>
      </w:r>
    </w:p>
    <w:p>
      <w:pPr>
        <w:autoSpaceDN w:val="0"/>
        <w:tabs>
          <w:tab w:pos="240" w:val="left"/>
        </w:tabs>
        <w:autoSpaceDE w:val="0"/>
        <w:widowControl/>
        <w:spacing w:line="210" w:lineRule="exact" w:before="78" w:after="0"/>
        <w:ind w:left="0" w:right="144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Thompson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insights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strongly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science.</w:t>
      </w:r>
    </w:p>
    <w:p>
      <w:pPr>
        <w:autoSpaceDN w:val="0"/>
        <w:autoSpaceDE w:val="0"/>
        <w:widowControl/>
        <w:spacing w:line="288" w:lineRule="exact" w:before="13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Declaration</w:t>
      </w:r>
      <w:r>
        <w:rPr>
          <w:rFonts w:ascii="CharisSIL" w:hAnsi="CharisSIL" w:eastAsia="CharisSIL"/>
          <w:b/>
          <w:i w:val="0"/>
          <w:color w:val="000000"/>
          <w:sz w:val="16"/>
        </w:rPr>
        <w:t>of</w:t>
      </w:r>
      <w:r>
        <w:rPr>
          <w:rFonts w:ascii="CharisSIL" w:hAnsi="CharisSIL" w:eastAsia="CharisSIL"/>
          <w:b/>
          <w:i w:val="0"/>
          <w:color w:val="000000"/>
          <w:sz w:val="16"/>
        </w:rPr>
        <w:t>Competing</w:t>
      </w:r>
      <w:r>
        <w:rPr>
          <w:rFonts w:ascii="CharisSIL" w:hAnsi="CharisSIL" w:eastAsia="CharisSIL"/>
          <w:b/>
          <w:i w:val="0"/>
          <w:color w:val="000000"/>
          <w:sz w:val="16"/>
        </w:rPr>
        <w:t>Interest</w:t>
      </w:r>
    </w:p>
    <w:p>
      <w:pPr>
        <w:autoSpaceDN w:val="0"/>
        <w:autoSpaceDE w:val="0"/>
        <w:widowControl/>
        <w:spacing w:line="208" w:lineRule="exact" w:before="210" w:after="0"/>
        <w:ind w:left="0" w:right="17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declare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competing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financial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relationships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appeared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influence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paper.</w:t>
      </w:r>
    </w:p>
    <w:p>
      <w:pPr>
        <w:autoSpaceDN w:val="0"/>
        <w:autoSpaceDE w:val="0"/>
        <w:widowControl/>
        <w:spacing w:line="288" w:lineRule="exact" w:before="76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Data</w:t>
      </w:r>
      <w:r>
        <w:rPr>
          <w:rFonts w:ascii="CharisSIL" w:hAnsi="CharisSIL" w:eastAsia="CharisSIL"/>
          <w:b/>
          <w:i w:val="0"/>
          <w:color w:val="000000"/>
          <w:sz w:val="16"/>
        </w:rPr>
        <w:t>Availability</w:t>
      </w:r>
    </w:p>
    <w:p>
      <w:pPr>
        <w:autoSpaceDN w:val="0"/>
        <w:autoSpaceDE w:val="0"/>
        <w:widowControl/>
        <w:spacing w:line="288" w:lineRule="exact" w:before="120" w:after="0"/>
        <w:ind w:left="24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No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described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article.</w:t>
      </w:r>
    </w:p>
    <w:p>
      <w:pPr>
        <w:autoSpaceDN w:val="0"/>
        <w:autoSpaceDE w:val="0"/>
        <w:widowControl/>
        <w:spacing w:line="288" w:lineRule="exact" w:before="8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References</w:t>
      </w:r>
    </w:p>
    <w:p>
      <w:pPr>
        <w:sectPr>
          <w:type w:val="continuous"/>
          <w:pgSz w:w="11905" w:h="15878"/>
          <w:pgMar w:top="338" w:right="716" w:bottom="252" w:left="758" w:header="720" w:footer="720" w:gutter="0"/>
          <w:cols w:space="720" w:num="2" w:equalWidth="0">
            <w:col w:w="5204" w:space="0"/>
            <w:col w:w="5225" w:space="0"/>
            <w:col w:w="10430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tabs>
          <w:tab w:pos="498" w:val="left"/>
        </w:tabs>
        <w:autoSpaceDE w:val="0"/>
        <w:widowControl/>
        <w:spacing w:line="160" w:lineRule="exact" w:before="70" w:after="0"/>
        <w:ind w:left="248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Reker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D.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Practical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considerations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active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machine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discovery.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 xml:space="preserve">Drug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Discov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Today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Technol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2019;32:73–9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498" w:val="left"/>
        </w:tabs>
        <w:autoSpaceDE w:val="0"/>
        <w:widowControl/>
        <w:spacing w:line="160" w:lineRule="exact" w:before="70" w:after="0"/>
        <w:ind w:left="248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Yu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Li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X,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Zheng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M.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Current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status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active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discovery.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Artif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 xml:space="preserve">Intell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Life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Sci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2021;1:100023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498" w:val="left"/>
        </w:tabs>
        <w:autoSpaceDE w:val="0"/>
        <w:widowControl/>
        <w:spacing w:line="158" w:lineRule="exact" w:before="72" w:after="0"/>
        <w:ind w:left="248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[4]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Bajorath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J.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Integration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virtual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high-throughput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screening.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Nat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Dis-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cov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2002;1:882–94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0"/>
        <w:ind w:left="498" w:right="22" w:hanging="2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[5]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Thompson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Walters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WP,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Fenga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JA,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Pabon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NA,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Xu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H,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Goldman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BB,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Moustakas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 xml:space="preserve">D,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Schmidt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York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F.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Optimizing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active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free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energy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calculations.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 xml:space="preserve">Artif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Intell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Life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Sci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2022;2:100050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30" w:lineRule="exact" w:before="0" w:after="0"/>
        <w:ind w:left="248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[6]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Kollman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PM.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Molecular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modeling.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Phys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1987;38:303–16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0"/>
        <w:ind w:left="498" w:right="24" w:hanging="2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[7]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Beveridge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DL,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Dicapua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FM.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Free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energy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via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molecular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simulation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: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applica-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tions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to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chemical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biomolecular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systems.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Biophys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Biophys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 xml:space="preserve">Chem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1989;18:431–92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498" w:val="left"/>
        </w:tabs>
        <w:autoSpaceDE w:val="0"/>
        <w:widowControl/>
        <w:spacing w:line="160" w:lineRule="exact" w:before="70" w:after="0"/>
        <w:ind w:left="248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[8]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Abel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Wang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L,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Harder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ED,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Berne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Friesner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RA.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Advancing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 xml:space="preserve">discovery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through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enhanced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free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energy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calculations.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Acc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Res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2017;50:1625–32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906"/>
        <w:ind w:left="144" w:right="20" w:firstLine="0"/>
        <w:jc w:val="righ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[9]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Schindler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CEM,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Baumann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H,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Blum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Böse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Buchstaller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HP,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Burgdorf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Cappel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D,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Chekler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E,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Czodrowski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P,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Dorsch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Eguida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MKI,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Follows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Fuchs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Grädler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U,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Gunera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Johnson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Jorand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Lebrun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Karra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S,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Klein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Knehans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Koetzner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L,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Krier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Leiendecker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Leuthner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Mochalkin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I,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Musil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Neagu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Ripp-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F,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Schiemann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Schulz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Steinbrecher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Tanzer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EM,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Unzue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Lopez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Via-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cava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Follis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Wegener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Kuhn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Large-scale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assessment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binding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free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energy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calculations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active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discovery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projects.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Inf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Model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2020;60:5457–74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[10]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Konze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Bos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PH,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Dahlgren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MK,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Leswing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K,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Tubert-Brohman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I,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Bortolato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A,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Robbason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B,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Abel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Bhat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Reaction-based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enumeration,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active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learning,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 xml:space="preserve">and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free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energy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calculations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to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rapidly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explore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synthetically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tractable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chemical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 xml:space="preserve">space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optimize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potency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cyclin-dependent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kinase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inhibitors.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Inf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 xml:space="preserve">Model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2019;59:3782–93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.</w:t>
          </w:r>
        </w:hyperlink>
      </w:r>
    </w:p>
    <w:p>
      <w:pPr>
        <w:sectPr>
          <w:type w:val="nextColumn"/>
          <w:pgSz w:w="11905" w:h="15878"/>
          <w:pgMar w:top="338" w:right="716" w:bottom="252" w:left="758" w:header="720" w:footer="720" w:gutter="0"/>
          <w:cols w:space="720" w:num="2" w:equalWidth="0">
            <w:col w:w="5204" w:space="0"/>
            <w:col w:w="5225" w:space="0"/>
            <w:col w:w="10430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70" w:after="0"/>
        <w:ind w:left="322" w:right="5402" w:hanging="2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>[1]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Warmuth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MK,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Liao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Rätsch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G,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Mathieson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Putta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S,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Lemmen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C.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Active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 xml:space="preserve">learning </w:t>
          </w:r>
        </w:hyperlink>
      </w:r>
      <w:r>
        <w:br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with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support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vector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machines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discovery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process.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Inf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Comput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 xml:space="preserve">Sci </w:t>
          </w:r>
        </w:hyperlink>
      </w:r>
      <w:r>
        <w:br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2003;43:667–73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30" w:lineRule="exact" w:before="8198" w:after="0"/>
        <w:ind w:left="0" w:right="0" w:firstLine="0"/>
        <w:jc w:val="center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2</w:t>
      </w:r>
    </w:p>
    <w:sectPr w:rsidR="00FC693F" w:rsidRPr="0006063C" w:rsidSect="00034616">
      <w:type w:val="continuous"/>
      <w:pgSz w:w="11905" w:h="15878"/>
      <w:pgMar w:top="338" w:right="716" w:bottom="252" w:left="758" w:header="720" w:footer="720" w:gutter="0"/>
      <w:cols w:space="720" w:num="1" w:equalWidth="0">
        <w:col w:w="10430" w:space="0"/>
        <w:col w:w="5204" w:space="0"/>
        <w:col w:w="5225" w:space="0"/>
        <w:col w:w="10430" w:space="0"/>
        <w:col w:w="10482" w:space="0"/>
        <w:col w:w="5234" w:space="0"/>
        <w:col w:w="5248" w:space="0"/>
        <w:col w:w="104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lsci.2022.10005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ilsci" TargetMode="External"/><Relationship Id="rId14" Type="http://schemas.openxmlformats.org/officeDocument/2006/relationships/hyperlink" Target="mailto:bajorath@bit.uni-bonn.de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refhub.elsevier.com/S2667-3185(22)00021-6/sbref0002" TargetMode="External"/><Relationship Id="rId19" Type="http://schemas.openxmlformats.org/officeDocument/2006/relationships/hyperlink" Target="http://refhub.elsevier.com/S2667-3185(22)00021-6/sbref0003" TargetMode="External"/><Relationship Id="rId20" Type="http://schemas.openxmlformats.org/officeDocument/2006/relationships/hyperlink" Target="http://refhub.elsevier.com/S2667-3185(22)00021-6/sbref0004" TargetMode="External"/><Relationship Id="rId21" Type="http://schemas.openxmlformats.org/officeDocument/2006/relationships/hyperlink" Target="http://refhub.elsevier.com/S2667-3185(22)00021-6/sbref0005" TargetMode="External"/><Relationship Id="rId22" Type="http://schemas.openxmlformats.org/officeDocument/2006/relationships/hyperlink" Target="http://refhub.elsevier.com/S2667-3185(22)00021-6/sbref0006" TargetMode="External"/><Relationship Id="rId23" Type="http://schemas.openxmlformats.org/officeDocument/2006/relationships/hyperlink" Target="http://refhub.elsevier.com/S2667-3185(22)00021-6/sbref0007" TargetMode="External"/><Relationship Id="rId24" Type="http://schemas.openxmlformats.org/officeDocument/2006/relationships/hyperlink" Target="http://refhub.elsevier.com/S2667-3185(22)00021-6/sbref0009" TargetMode="External"/><Relationship Id="rId25" Type="http://schemas.openxmlformats.org/officeDocument/2006/relationships/hyperlink" Target="http://refhub.elsevier.com/S2667-3185(22)00021-6/sbref0010" TargetMode="External"/><Relationship Id="rId26" Type="http://schemas.openxmlformats.org/officeDocument/2006/relationships/hyperlink" Target="http://refhub.elsevier.com/S2667-3185(22)00021-6/sbref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