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83 – 88 </w:t>
            </w:r>
          </w:p>
        </w:tc>
        <w:tc>
          <w:tcPr>
            <w:tcW w:type="dxa" w:w="32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014" w:after="0"/>
        <w:ind w:left="15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2012 AASRI Conference on Modeling, Identification and Control </w:t>
      </w:r>
    </w:p>
    <w:p>
      <w:pPr>
        <w:autoSpaceDN w:val="0"/>
        <w:autoSpaceDE w:val="0"/>
        <w:widowControl/>
        <w:spacing w:line="230" w:lineRule="auto" w:before="262" w:after="0"/>
        <w:ind w:left="9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 xml:space="preserve">Rice Straw and Cornstarch Biodegradable Composites </w:t>
      </w:r>
    </w:p>
    <w:p>
      <w:pPr>
        <w:autoSpaceDN w:val="0"/>
        <w:autoSpaceDE w:val="0"/>
        <w:widowControl/>
        <w:spacing w:line="264" w:lineRule="auto" w:before="214" w:after="0"/>
        <w:ind w:left="2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6"/>
        </w:rPr>
        <w:t xml:space="preserve">Junjun Liu 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 xml:space="preserve">*, Chanjuan Jia 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 xml:space="preserve">, Chunxia He 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b</w:t>
      </w:r>
    </w:p>
    <w:p>
      <w:pPr>
        <w:autoSpaceDN w:val="0"/>
        <w:autoSpaceDE w:val="0"/>
        <w:widowControl/>
        <w:spacing w:line="257" w:lineRule="auto" w:before="166" w:after="0"/>
        <w:ind w:left="288" w:right="576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10"/>
        </w:rPr>
        <w:t>a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Xuzhou Institute of Technology, Xuzhou 221008, China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10"/>
        </w:rPr>
        <w:t>b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Key Laboratory of Intelligence Agricultural Equipment, College of Engineering, Nanjing Agricultural University, Nanjing 210031,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China </w:t>
      </w:r>
    </w:p>
    <w:p>
      <w:pPr>
        <w:autoSpaceDN w:val="0"/>
        <w:autoSpaceDE w:val="0"/>
        <w:widowControl/>
        <w:spacing w:line="233" w:lineRule="auto" w:before="946" w:after="0"/>
        <w:ind w:left="24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42" w:after="0"/>
        <w:ind w:left="246" w:right="482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The main goal of this work was to use rice straw (RS) in the production of environmentally sound composites using corn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based adhesives (CA). Treatments of RS with NaOH and hot-water were undertaken to evaluate the effect of such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treatments on the performance of produced composites. The influence of composite density and starch content on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properties of composites was also investigated. The microstructure of fractured surfaces was further observed. Results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showed that cornstarch based composites had higher flexural strength. Composites made from hot-water treated straw and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cornstarch had better interface and higher flexural strength, and flexural strength reached peak values at starch content of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10% and composite density of 0.7 g/cm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3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. Composites made from non-treated straw and cornstarch had lower moisture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absorption. Moisture absorption was increasing with starch content increasing and density decreasing. The composites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developed from this work may have potential application for ceiling panels and bulletin boards. </w:t>
      </w:r>
    </w:p>
    <w:p>
      <w:pPr>
        <w:autoSpaceDN w:val="0"/>
        <w:autoSpaceDE w:val="0"/>
        <w:widowControl/>
        <w:spacing w:line="230" w:lineRule="exact" w:before="228" w:after="0"/>
        <w:ind w:left="246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© 2012 Published by Elsevier B.V. Selection and/or peer rev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hyperlink r:id="rId12" w:history="1">
          <w:r>
            <w:rPr>
              <w:rStyle w:val="Hyperlink"/>
            </w:rPr>
            <w:t>iew under responsi</w:t>
          </w:r>
        </w:hyperlink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bility of American Applied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Science Research Institute </w:t>
      </w: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</w:p>
    <w:p>
      <w:pPr>
        <w:autoSpaceDN w:val="0"/>
        <w:autoSpaceDE w:val="0"/>
        <w:widowControl/>
        <w:spacing w:line="230" w:lineRule="auto" w:before="258" w:after="0"/>
        <w:ind w:left="24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Keywords: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Rice straw, Cornstarch, Biodegradable, Flexural strength, Moisture absorption, Composites</w:t>
      </w:r>
    </w:p>
    <w:p>
      <w:pPr>
        <w:autoSpaceDN w:val="0"/>
        <w:autoSpaceDE w:val="0"/>
        <w:widowControl/>
        <w:spacing w:line="233" w:lineRule="auto" w:before="464" w:after="0"/>
        <w:ind w:left="24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Introduction</w:t>
      </w:r>
    </w:p>
    <w:p>
      <w:pPr>
        <w:autoSpaceDN w:val="0"/>
        <w:autoSpaceDE w:val="0"/>
        <w:widowControl/>
        <w:spacing w:line="254" w:lineRule="auto" w:before="230" w:after="0"/>
        <w:ind w:left="246" w:right="452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Straw is rich in resources, with low density, renewable nature and lustration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[1]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starch is biodegradable,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renewable, with large sources and low price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 [2]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Crop straw and starch composites are provided with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lightweight, cheap price, renewable and biodegradable characteristic, etc, and other composite materials can </w:t>
      </w:r>
    </w:p>
    <w:p>
      <w:pPr>
        <w:autoSpaceDN w:val="0"/>
        <w:autoSpaceDE w:val="0"/>
        <w:widowControl/>
        <w:spacing w:line="245" w:lineRule="auto" w:before="430" w:after="0"/>
        <w:ind w:left="486" w:right="576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* Corresponding author. Tel.: +086-15050822151.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E-mail address: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walhfg96@yahoo.com.cn. </w:t>
      </w:r>
    </w:p>
    <w:p>
      <w:pPr>
        <w:autoSpaceDN w:val="0"/>
        <w:autoSpaceDE w:val="0"/>
        <w:widowControl/>
        <w:spacing w:line="200" w:lineRule="exact" w:before="1376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10.1016/j.aasri.2012.11.015 </w:t>
      </w:r>
    </w:p>
    <w:p>
      <w:pPr>
        <w:sectPr>
          <w:pgSz w:w="10885" w:h="14854"/>
          <w:pgMar w:top="438" w:right="640" w:bottom="218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6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Junjun Liu et al. /  AASRI Procedia  3 ( 2012 )  83 – 88 </w:t>
      </w:r>
    </w:p>
    <w:p>
      <w:pPr>
        <w:autoSpaceDN w:val="0"/>
        <w:autoSpaceDE w:val="0"/>
        <w:widowControl/>
        <w:spacing w:line="262" w:lineRule="auto" w:before="368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not match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 [3-8]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</w:t>
      </w:r>
    </w:p>
    <w:p>
      <w:pPr>
        <w:autoSpaceDN w:val="0"/>
        <w:autoSpaceDE w:val="0"/>
        <w:widowControl/>
        <w:spacing w:line="250" w:lineRule="auto" w:before="20" w:after="0"/>
        <w:ind w:left="162" w:right="2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Using straw and other agricultural residues for preparation of composite materials has become the focus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world. But the crushed materials (e.g. straw powder, rice husk powder, husk powder or extracted straw fiber)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 agricultural residues are the main materials of the composites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 [9-11]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and using discarded tires, formaldehyde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resins, polymers as matrix for preparation of composite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 [12-13]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Such composite materials have better water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resistance and acoustic insulation properties, higher internal bond strength and flexibility and flexural strength,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bigger fracture coefficient. But smashing agricultural residues and extracting fiber from straw waste lots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energy, and the matrix of the composites is difficult to degrade. </w:t>
      </w:r>
    </w:p>
    <w:p>
      <w:pPr>
        <w:autoSpaceDN w:val="0"/>
        <w:autoSpaceDE w:val="0"/>
        <w:widowControl/>
        <w:spacing w:line="247" w:lineRule="auto" w:before="20" w:after="0"/>
        <w:ind w:left="162" w:right="2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Energy saving and environmental protection are the world's urgent request. This research used rice straw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corn starch to prepare biodegradable composite materials, and focused on the influence of composite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density and starch content on flexural strength and effect of straw treatments on moisture absorption.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microstructure of fractured surfaces was further observed. </w:t>
      </w:r>
    </w:p>
    <w:p>
      <w:pPr>
        <w:autoSpaceDN w:val="0"/>
        <w:autoSpaceDE w:val="0"/>
        <w:widowControl/>
        <w:spacing w:line="233" w:lineRule="auto" w:before="260" w:after="0"/>
        <w:ind w:left="1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2.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Material and Methods </w:t>
      </w:r>
    </w:p>
    <w:p>
      <w:pPr>
        <w:autoSpaceDN w:val="0"/>
        <w:autoSpaceDE w:val="0"/>
        <w:widowControl/>
        <w:spacing w:line="233" w:lineRule="auto" w:before="258" w:after="0"/>
        <w:ind w:left="16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2.1.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Materials and equipments </w:t>
      </w:r>
    </w:p>
    <w:p>
      <w:pPr>
        <w:autoSpaceDN w:val="0"/>
        <w:autoSpaceDE w:val="0"/>
        <w:widowControl/>
        <w:spacing w:line="250" w:lineRule="auto" w:before="258" w:after="0"/>
        <w:ind w:left="162" w:right="5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Corn starch was food grade starch, Shandong Jincheng Food Co., Ltd. products. Rice straw was from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Liuhe, Nanjing, previous year products. NaOH, AR (Analytical reagent); Na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, AR; borax, AR; 30%H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AR; FeSO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4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·7H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O, AR, the reagents above mentioned were Nanjing Chemistry reagent Ltd. products. </w:t>
      </w:r>
    </w:p>
    <w:p>
      <w:pPr>
        <w:autoSpaceDN w:val="0"/>
        <w:autoSpaceDE w:val="0"/>
        <w:widowControl/>
        <w:spacing w:line="247" w:lineRule="auto" w:before="2" w:after="0"/>
        <w:ind w:left="162" w:right="52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Pressing equipment was XLB-DC magnetic plate vulcanizing machine, Rubber Machinery Co., Ltd.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Huzhou Shunli products. Performance testing machine was TMS-Pro, FTC products, US. Moisture absorption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testing instrument was HPX-16085 constant temperature and moisture case, Shanghai Xinmiao Medical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Treatment Ltd. products. Stereomicroscope was SMZ1000, Nikon Japan products. </w:t>
      </w:r>
    </w:p>
    <w:p>
      <w:pPr>
        <w:autoSpaceDN w:val="0"/>
        <w:autoSpaceDE w:val="0"/>
        <w:widowControl/>
        <w:spacing w:line="230" w:lineRule="auto" w:before="260" w:after="0"/>
        <w:ind w:left="16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2.2.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Sample preparation </w:t>
      </w:r>
    </w:p>
    <w:p>
      <w:pPr>
        <w:autoSpaceDN w:val="0"/>
        <w:autoSpaceDE w:val="0"/>
        <w:widowControl/>
        <w:spacing w:line="245" w:lineRule="auto" w:before="260" w:after="8"/>
        <w:ind w:left="162" w:right="0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RS was extensively washed with distilled water in order to remove impurities (mainly dust). This operation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was performed several times at room temperature and under vigorous stirring. After successive washings, 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3037"/>
        <w:gridCol w:w="3037"/>
        <w:gridCol w:w="3037"/>
      </w:tblGrid>
      <w:tr>
        <w:trPr>
          <w:trHeight w:hRule="exact" w:val="240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was dried in an air-circulated oven at 103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This material was stored in hermetic plastic containers in order 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 prevent microbial attack (i.e. fungi) before using it in followed treatments. Washed RS without any further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treatments was used as control and was labeled CRS. </w:t>
      </w:r>
    </w:p>
    <w:p>
      <w:pPr>
        <w:autoSpaceDN w:val="0"/>
        <w:autoSpaceDE w:val="0"/>
        <w:widowControl/>
        <w:spacing w:line="247" w:lineRule="auto" w:before="20" w:after="10"/>
        <w:ind w:left="162" w:right="58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Some components of cellulose fibres represent a hydrophobic blockage for fibre wetting and they must be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efficiently removed [14-15]. RS is rich in silica and waxes, deteriorating the properties and making RS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unsuitable for textile applications[15]. In order to improve the RS wettability and performance, different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treatments were applied. CRS was soaked in 2% NaOH solution, for 2 h at room temperature with occasional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shaking followed by washing with distilled water for several times to leach out the absorbed NaOH until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neutral was reached subsequently oven dried. The NaOH-treated CRS was labeled as NRS.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3037"/>
        <w:gridCol w:w="3037"/>
        <w:gridCol w:w="3037"/>
      </w:tblGrid>
      <w:tr>
        <w:trPr>
          <w:trHeight w:hRule="exact" w:val="240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2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CRS was soaked in hot-water, for 2 h at 100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followed by oven dried. The hot-water-treated CRS was 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labeled as HRS. </w:t>
      </w:r>
    </w:p>
    <w:p>
      <w:pPr>
        <w:autoSpaceDN w:val="0"/>
        <w:autoSpaceDE w:val="0"/>
        <w:widowControl/>
        <w:spacing w:line="247" w:lineRule="auto" w:before="20" w:after="0"/>
        <w:ind w:left="162" w:right="58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Cornstarch adhesives was prepared by the dispersion of the cornstarch (CS) powder in distilled water at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CS-to-water ratio 1:10 under stirring at room temperature for 2 h with 1.2wt% sodium thiosulfate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(Na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.5H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O) on dry basis of CS for preventing deterioration. The resultant adhesives were then ready to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 mixed with RS. </w:t>
      </w:r>
    </w:p>
    <w:p>
      <w:pPr>
        <w:autoSpaceDN w:val="0"/>
        <w:autoSpaceDE w:val="0"/>
        <w:widowControl/>
        <w:spacing w:line="245" w:lineRule="auto" w:before="20" w:after="0"/>
        <w:ind w:left="162" w:right="0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composites were prepared using a hot compression molding process. Treated and untreated CRS (1~2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cm length) were blended with starch adhesives in a high-speed mixer for 10 min at room temperature. The </w:t>
      </w:r>
    </w:p>
    <w:p>
      <w:pPr>
        <w:sectPr>
          <w:pgSz w:w="10885" w:h="14854"/>
          <w:pgMar w:top="368" w:right="1122" w:bottom="1260" w:left="652" w:header="720" w:footer="720" w:gutter="0"/>
          <w:cols w:space="720" w:num="1" w:equalWidth="0">
            <w:col w:w="9112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1320800</wp:posOffset>
            </wp:positionH>
            <wp:positionV relativeFrom="page">
              <wp:posOffset>5600700</wp:posOffset>
            </wp:positionV>
            <wp:extent cx="1993900" cy="13716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3835400</wp:posOffset>
            </wp:positionH>
            <wp:positionV relativeFrom="page">
              <wp:posOffset>5778500</wp:posOffset>
            </wp:positionV>
            <wp:extent cx="1841500" cy="12065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206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378" w:val="left"/>
        </w:tabs>
        <w:autoSpaceDE w:val="0"/>
        <w:widowControl/>
        <w:spacing w:line="176" w:lineRule="exact" w:before="0" w:after="0"/>
        <w:ind w:left="31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Junjun Liu et al. /  AASRI Procedia  3 ( 2012 )  83 – 88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85</w:t>
      </w:r>
    </w:p>
    <w:p>
      <w:pPr>
        <w:autoSpaceDN w:val="0"/>
        <w:autoSpaceDE w:val="0"/>
        <w:widowControl/>
        <w:spacing w:line="245" w:lineRule="auto" w:before="400" w:after="0"/>
        <w:ind w:left="190" w:right="590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equilibrated mixtures were subsequently hot-pressed into composites in a 10 cm×10 cm steel mould equipped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with stops to achieve the same thickness (4.4 mm) at certain manufacturing parameters. Fig.1 was composites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picture. </w:t>
      </w:r>
    </w:p>
    <w:p>
      <w:pPr>
        <w:autoSpaceDN w:val="0"/>
        <w:autoSpaceDE w:val="0"/>
        <w:widowControl/>
        <w:spacing w:line="240" w:lineRule="auto" w:before="4" w:after="0"/>
        <w:ind w:left="0" w:right="340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105660" cy="11874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118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28" w:val="left"/>
        </w:tabs>
        <w:autoSpaceDE w:val="0"/>
        <w:widowControl/>
        <w:spacing w:line="425" w:lineRule="auto" w:before="218" w:after="1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Fig.1 sample picture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2.3.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Testing method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Flexural strength and flexural modulus were studied in accordance with the GB/T 21723-2008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418"/>
        <w:gridCol w:w="2418"/>
        <w:gridCol w:w="2418"/>
        <w:gridCol w:w="2418"/>
      </w:tblGrid>
      <w:tr>
        <w:trPr>
          <w:trHeight w:hRule="exact" w:val="240"/>
        </w:trPr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"Wheat/rice-straw particleboard", loading speed was 10 mm/min. Rectangular sample: 100 mm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 mm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4.4 mm. Five replications were used to calculate mean value. </w:t>
      </w:r>
    </w:p>
    <w:p>
      <w:pPr>
        <w:autoSpaceDN w:val="0"/>
        <w:autoSpaceDE w:val="0"/>
        <w:widowControl/>
        <w:spacing w:line="233" w:lineRule="auto" w:before="18" w:after="238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Moisture absorption ratio of the composites was determined with equation: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935"/>
        <w:gridCol w:w="1935"/>
        <w:gridCol w:w="1935"/>
        <w:gridCol w:w="1935"/>
        <w:gridCol w:w="1935"/>
      </w:tblGrid>
      <w:tr>
        <w:trPr>
          <w:trHeight w:hRule="exact" w:val="820"/>
        </w:trPr>
        <w:tc>
          <w:tcPr>
            <w:tcW w:type="dxa" w:w="19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2" w:val="left"/>
                <w:tab w:pos="1074" w:val="left"/>
                <w:tab w:pos="1534" w:val="left"/>
                <w:tab w:pos="1702" w:val="left"/>
              </w:tabs>
              <w:autoSpaceDE w:val="0"/>
              <w:widowControl/>
              <w:spacing w:line="240" w:lineRule="auto" w:before="60" w:after="0"/>
              <w:ind w:left="6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25500" cy="889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=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m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  <w:p>
            <w:pPr>
              <w:autoSpaceDN w:val="0"/>
              <w:autoSpaceDE w:val="0"/>
              <w:widowControl/>
              <w:spacing w:line="262" w:lineRule="auto" w:before="0" w:after="0"/>
              <w:ind w:left="0" w:right="43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100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%</w:t>
            </w:r>
          </w:p>
        </w:tc>
        <w:tc>
          <w:tcPr>
            <w:tcW w:type="dxa" w:w="3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976" w:after="0"/>
              <w:ind w:left="22" w:right="0" w:firstLine="0"/>
              <w:jc w:val="left"/>
            </w:pPr>
            <w:r>
              <w:rPr>
                <w:w w:val="101.5339892843495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m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 xml:space="preserve"> - mass after moisture absorptio </w:t>
            </w:r>
            <w:r>
              <w:rPr>
                <w:w w:val="97.2439629690987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18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(1)</w:t>
            </w:r>
          </w:p>
        </w:tc>
      </w:tr>
      <w:tr>
        <w:trPr>
          <w:trHeight w:hRule="exact" w:val="520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where:</w:t>
            </w:r>
          </w:p>
        </w:tc>
        <w:tc>
          <w:tcPr>
            <w:tcW w:type="dxa" w:w="4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56" w:after="0"/>
              <w:ind w:left="0" w:right="0" w:firstLine="0"/>
              <w:jc w:val="center"/>
            </w:pPr>
            <w:r>
              <w:rPr>
                <w:w w:val="97.99586137135825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m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 xml:space="preserve"> -mass before moisture absorption (g), </w:t>
            </w:r>
            <w:r>
              <w:rPr>
                <w:w w:val="98.0763912200927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935"/>
            <w:vMerge/>
            <w:tcBorders/>
          </w:tcPr>
          <w:p/>
        </w:tc>
        <w:tc>
          <w:tcPr>
            <w:tcW w:type="dxa" w:w="193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67" w:lineRule="auto" w:before="154" w:after="0"/>
        <w:ind w:left="190" w:right="5184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3.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Results and discussion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3.1.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Comparison of flexural properties of composites </w:t>
      </w:r>
    </w:p>
    <w:p>
      <w:pPr>
        <w:autoSpaceDN w:val="0"/>
        <w:autoSpaceDE w:val="0"/>
        <w:widowControl/>
        <w:spacing w:line="230" w:lineRule="auto" w:before="352" w:after="66"/>
        <w:ind w:left="1152" w:right="0" w:firstLine="0"/>
        <w:jc w:val="left"/>
      </w:pPr>
      <w:r>
        <w:rPr>
          <w:w w:val="103.12855584280831"/>
          <w:rFonts w:ascii="TimesNewRoman" w:hAnsi="TimesNewRoman" w:eastAsia="TimesNewRoman"/>
          <w:b w:val="0"/>
          <w:i w:val="0"/>
          <w:color w:val="000000"/>
          <w:sz w:val="14"/>
        </w:rPr>
        <w:t>4.5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rHeight w:hRule="exact" w:val="226"/>
        </w:trPr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74" w:after="0"/>
              <w:ind w:left="0" w:right="282" w:firstLine="0"/>
              <w:jc w:val="right"/>
            </w:pPr>
            <w:r>
              <w:rPr>
                <w:w w:val="103.128555842808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Flexural strength[Mpa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28" w:firstLine="0"/>
              <w:jc w:val="right"/>
            </w:pPr>
            <w:r>
              <w:rPr>
                <w:w w:val="103.128555842808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38" w:after="0"/>
              <w:ind w:left="44" w:right="0" w:firstLine="0"/>
              <w:jc w:val="left"/>
            </w:pPr>
            <w:r>
              <w:rPr>
                <w:w w:val="103.128555842808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8</w:t>
            </w:r>
          </w:p>
        </w:tc>
        <w:tc>
          <w:tcPr>
            <w:tcW w:type="dxa" w:w="2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92" w:after="0"/>
              <w:ind w:left="0" w:right="0" w:firstLine="0"/>
              <w:jc w:val="center"/>
            </w:pPr>
            <w:r>
              <w:rPr>
                <w:w w:val="103.128555842808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non-treated</w:t>
            </w:r>
          </w:p>
        </w:tc>
        <w:tc>
          <w:tcPr>
            <w:tcW w:type="dxa" w:w="6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38" w:after="0"/>
              <w:ind w:left="0" w:right="154" w:firstLine="0"/>
              <w:jc w:val="right"/>
            </w:pPr>
            <w:r>
              <w:rPr>
                <w:w w:val="103.128555842808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14</w:t>
            </w:r>
          </w:p>
        </w:tc>
        <w:tc>
          <w:tcPr>
            <w:tcW w:type="dxa" w:w="36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6" w:after="0"/>
              <w:ind w:left="0" w:right="430" w:firstLine="0"/>
              <w:jc w:val="right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Flexural strength[Mpa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5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8" w:after="0"/>
              <w:ind w:left="24" w:right="0" w:firstLine="0"/>
              <w:jc w:val="left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0.5</w:t>
            </w:r>
          </w:p>
        </w:tc>
        <w:tc>
          <w:tcPr>
            <w:tcW w:type="dxa" w:w="31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6" w:after="0"/>
              <w:ind w:left="0" w:right="1150" w:firstLine="0"/>
              <w:jc w:val="right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non-treated</w:t>
            </w:r>
          </w:p>
        </w:tc>
      </w:tr>
      <w:tr>
        <w:trPr>
          <w:trHeight w:hRule="exact" w:val="180"/>
        </w:trPr>
        <w:tc>
          <w:tcPr>
            <w:tcW w:type="dxa" w:w="879"/>
            <w:vMerge/>
            <w:tcBorders/>
          </w:tcPr>
          <w:p/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0" w:firstLine="0"/>
              <w:jc w:val="center"/>
            </w:pPr>
            <w:r>
              <w:rPr>
                <w:w w:val="103.128555842808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3.5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1758"/>
            <w:gridSpan w:val="2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4.5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1758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1758"/>
            <w:gridSpan w:val="2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right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1758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79"/>
            <w:vMerge/>
            <w:tcBorders/>
          </w:tcPr>
          <w:p/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28" w:firstLine="0"/>
              <w:jc w:val="right"/>
            </w:pPr>
            <w:r>
              <w:rPr>
                <w:w w:val="103.128555842808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1758"/>
            <w:gridSpan w:val="2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3.5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1758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1758"/>
            <w:gridSpan w:val="2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right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1758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79"/>
            <w:vMerge/>
            <w:tcBorders/>
          </w:tcPr>
          <w:p/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w w:val="103.128555842808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2.5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1758"/>
            <w:gridSpan w:val="2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2.5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1758"/>
            <w:gridSpan w:val="2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879"/>
            <w:vMerge/>
            <w:tcBorders/>
          </w:tcPr>
          <w:p/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28" w:firstLine="0"/>
              <w:jc w:val="right"/>
            </w:pPr>
            <w:r>
              <w:rPr>
                <w:w w:val="103.128555842808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1758"/>
            <w:gridSpan w:val="2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right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1758"/>
            <w:gridSpan w:val="2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2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476" w:firstLine="0"/>
              <w:jc w:val="right"/>
            </w:pPr>
            <w:r>
              <w:rPr>
                <w:w w:val="103.128555842808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hot-water treated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1758"/>
            <w:gridSpan w:val="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1758"/>
            <w:gridSpan w:val="2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1.5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31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836" w:firstLine="0"/>
              <w:jc w:val="right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hot-water treated</w:t>
            </w:r>
          </w:p>
        </w:tc>
      </w:tr>
      <w:tr>
        <w:trPr>
          <w:trHeight w:hRule="exact" w:val="46"/>
        </w:trPr>
        <w:tc>
          <w:tcPr>
            <w:tcW w:type="dxa" w:w="879"/>
            <w:vMerge/>
            <w:tcBorders/>
          </w:tcPr>
          <w:p/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0" w:firstLine="0"/>
              <w:jc w:val="center"/>
            </w:pPr>
            <w:r>
              <w:rPr>
                <w:w w:val="103.128555842808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1.5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2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628" w:firstLine="0"/>
              <w:jc w:val="right"/>
            </w:pPr>
            <w:r>
              <w:rPr>
                <w:w w:val="103.128555842808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NaOH treated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right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1758"/>
            <w:gridSpan w:val="2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1758"/>
            <w:gridSpan w:val="2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3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988" w:firstLine="0"/>
              <w:jc w:val="right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NaOH treated</w:t>
            </w:r>
          </w:p>
        </w:tc>
      </w:tr>
      <w:tr>
        <w:trPr>
          <w:trHeight w:hRule="exact" w:val="102"/>
        </w:trPr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1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2" w:after="0"/>
              <w:ind w:left="0" w:right="0" w:firstLine="0"/>
              <w:jc w:val="center"/>
            </w:pPr>
            <w:r>
              <w:rPr>
                <w:w w:val="103.128555842808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1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2" w:after="0"/>
              <w:ind w:left="0" w:right="0" w:firstLine="0"/>
              <w:jc w:val="center"/>
            </w:pPr>
            <w:r>
              <w:rPr>
                <w:w w:val="103.128555842808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0.5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18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32" w:val="left"/>
              </w:tabs>
              <w:autoSpaceDE w:val="0"/>
              <w:widowControl/>
              <w:spacing w:line="230" w:lineRule="auto" w:before="402" w:after="0"/>
              <w:ind w:left="388" w:right="0" w:firstLine="0"/>
              <w:jc w:val="left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0.6 </w:t>
            </w:r>
            <w:r>
              <w:tab/>
            </w: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0.7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Density [g·cm</w:t>
            </w:r>
            <w:r>
              <w:rPr>
                <w:w w:val="98.94999504089355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-3</w:t>
            </w: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1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2" w:after="0"/>
              <w:ind w:left="0" w:right="666" w:firstLine="0"/>
              <w:jc w:val="right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0.8</w:t>
            </w:r>
          </w:p>
        </w:tc>
      </w:tr>
      <w:tr>
        <w:trPr>
          <w:trHeight w:hRule="exact" w:val="68"/>
        </w:trPr>
        <w:tc>
          <w:tcPr>
            <w:tcW w:type="dxa" w:w="879"/>
            <w:vMerge/>
            <w:tcBorders/>
          </w:tcPr>
          <w:p/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28" w:firstLine="0"/>
              <w:jc w:val="right"/>
            </w:pPr>
            <w:r>
              <w:rPr>
                <w:w w:val="103.128555842808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right"/>
            </w:pPr>
            <w:r>
              <w:rPr>
                <w:w w:val="102.70784241812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2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w w:val="103.128555842808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Starch mass fraction [%]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</w:tr>
    </w:tbl>
    <w:p>
      <w:pPr>
        <w:autoSpaceDN w:val="0"/>
        <w:tabs>
          <w:tab w:pos="2580" w:val="left"/>
        </w:tabs>
        <w:autoSpaceDE w:val="0"/>
        <w:widowControl/>
        <w:spacing w:line="374" w:lineRule="auto" w:before="48" w:after="0"/>
        <w:ind w:left="190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a. starch content                                                               b. density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Fig. 2  Relationship between starch content (density) and flexural strength of composites. </w:t>
      </w:r>
    </w:p>
    <w:p>
      <w:pPr>
        <w:sectPr>
          <w:pgSz w:w="10885" w:h="14854"/>
          <w:pgMar w:top="368" w:right="532" w:bottom="784" w:left="680" w:header="720" w:footer="720" w:gutter="0"/>
          <w:cols w:space="720" w:num="1" w:equalWidth="0">
            <w:col w:w="9674" w:space="0"/>
            <w:col w:w="9112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2374900</wp:posOffset>
            </wp:positionH>
            <wp:positionV relativeFrom="page">
              <wp:posOffset>5499100</wp:posOffset>
            </wp:positionV>
            <wp:extent cx="2082800" cy="12446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244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46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Junjun Liu et al. /  AASRI Procedia  3 ( 2012 )  83 – 88 </w:t>
      </w:r>
    </w:p>
    <w:p>
      <w:pPr>
        <w:autoSpaceDN w:val="0"/>
        <w:autoSpaceDE w:val="0"/>
        <w:widowControl/>
        <w:spacing w:line="250" w:lineRule="auto" w:before="398" w:after="0"/>
        <w:ind w:left="162" w:right="6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Fig. 2 showed the relationship between starch content (density) and flexural strength of cornstarch based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composites. From fig. 2a, flexural strength increased and then decreased with increasing of starch content,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reached the peak value at starch mass fraction of 10%. The flexural strength decreased with increasing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starch mass fraction above 10%. This could be accounted for that the relative starch dosage was less, adhesive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had weakened solidification and could not glue the rice straw completely, so the flexural strength was lower at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starch mass fraction below 10%. Interfacial area of straw was definite, and maximum utilized quantity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starch mantled straw existed. Excrescent starch adhesive made the composite internal structure looser at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starch mass fraction above 10%, and the flexural strength decreased. </w:t>
      </w:r>
    </w:p>
    <w:p>
      <w:pPr>
        <w:autoSpaceDN w:val="0"/>
        <w:autoSpaceDE w:val="0"/>
        <w:widowControl/>
        <w:spacing w:line="250" w:lineRule="auto" w:before="20" w:after="0"/>
        <w:ind w:left="162" w:right="0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From fig. 2b, flexural strength increased with increasing of composite density, increased significantly with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increasing of density at 0.6~0.7 g/cm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, decreased slightly with increasing of density above 0.7 g/cm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This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could be accounted for looser internal structure, more moisture content of composites and weakened adhesive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solidification, and the flexural properties were lower at density below 0.7 g/cm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. When density was 0.7 g/cm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moisture content was appropriate, starch adhesive diffuses uniformly and could glue the rice straw completely,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flexural strength and flexural elastic modulus reached the peak value. The flexural properties decreased with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increasing of density above 0.7 g/cm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this was due to more compact internal structure and more difficult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starch adhesive diffusion. </w:t>
      </w:r>
    </w:p>
    <w:p>
      <w:pPr>
        <w:autoSpaceDN w:val="0"/>
        <w:autoSpaceDE w:val="0"/>
        <w:widowControl/>
        <w:spacing w:line="250" w:lineRule="auto" w:before="18" w:after="0"/>
        <w:ind w:left="162" w:right="6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From fig. 2, flexural strength of cornstarch based composites from hot-water treated straw was higher,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flexural strength of cornstarch based composites of NaOH treated straw was worst. This may be due to higher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SiO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content of straw themselves, and SiO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forms a non-polar surface structure in fiber, weakening adhesive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adsorption. Meanwhile, there was a wax layer on straw surface, making less friction between straw and more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difficult for starch adhesive to permeate through straw, it was difficult to form "gel nails" in bonding process.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All above mentioned had negative impact on composites manufacture, and decreased flexural properties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composites. Hot-water treatments could reduce SiO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and wax content of straw effectively, making better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cementation of straw and starch adhesive, and also preserving straw fibers, so composites  from hot-water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treated had higher flexural properties. However, NaOH treatments could hydrolyze straw cellulose, making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straw looser and softer, lower polymerization of straw cellulose and lower flexural properties of composites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from NaOH treated straw. </w:t>
      </w:r>
    </w:p>
    <w:p>
      <w:pPr>
        <w:autoSpaceDN w:val="0"/>
        <w:autoSpaceDE w:val="0"/>
        <w:widowControl/>
        <w:spacing w:line="230" w:lineRule="auto" w:before="260" w:after="0"/>
        <w:ind w:left="16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3.2.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Comparison of moisture absorption of composites </w:t>
      </w:r>
    </w:p>
    <w:p>
      <w:pPr>
        <w:autoSpaceDN w:val="0"/>
        <w:autoSpaceDE w:val="0"/>
        <w:widowControl/>
        <w:spacing w:line="230" w:lineRule="auto" w:before="352" w:after="14"/>
        <w:ind w:left="0" w:right="6100" w:firstLine="0"/>
        <w:jc w:val="right"/>
      </w:pPr>
      <w:r>
        <w:rPr>
          <w:w w:val="103.24427740914481"/>
          <w:rFonts w:ascii="TimesNewRoman" w:hAnsi="TimesNewRoman" w:eastAsia="TimesNewRoman"/>
          <w:b w:val="0"/>
          <w:i w:val="0"/>
          <w:color w:val="000000"/>
          <w:sz w:val="14"/>
        </w:rPr>
        <w:t>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3041"/>
        <w:gridCol w:w="3041"/>
        <w:gridCol w:w="3041"/>
      </w:tblGrid>
      <w:tr>
        <w:trPr>
          <w:trHeight w:hRule="exact" w:val="18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8" w:after="0"/>
              <w:ind w:left="0" w:right="0" w:firstLine="0"/>
              <w:jc w:val="center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Moisture absorption[%]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44" w:right="0" w:firstLine="0"/>
              <w:jc w:val="left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9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0" w:after="0"/>
              <w:ind w:left="0" w:right="1494" w:firstLine="0"/>
              <w:jc w:val="right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hot-water treated</w:t>
            </w:r>
          </w:p>
        </w:tc>
      </w:tr>
      <w:tr>
        <w:trPr>
          <w:trHeight w:hRule="exact" w:val="180"/>
        </w:trPr>
        <w:tc>
          <w:tcPr>
            <w:tcW w:type="dxa" w:w="3041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44" w:right="0" w:firstLine="0"/>
              <w:jc w:val="left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8</w:t>
            </w:r>
          </w:p>
        </w:tc>
        <w:tc>
          <w:tcPr>
            <w:tcW w:type="dxa" w:w="304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41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44" w:right="0" w:firstLine="0"/>
              <w:jc w:val="left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7</w:t>
            </w:r>
          </w:p>
        </w:tc>
        <w:tc>
          <w:tcPr>
            <w:tcW w:type="dxa" w:w="3041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41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44" w:right="0" w:firstLine="0"/>
              <w:jc w:val="left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304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41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44" w:right="0" w:firstLine="0"/>
              <w:jc w:val="left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3041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41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44" w:right="0" w:firstLine="0"/>
              <w:jc w:val="left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3041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41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44" w:right="0" w:firstLine="0"/>
              <w:jc w:val="left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304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41"/>
            <w:vMerge/>
            <w:tcBorders/>
          </w:tcPr>
          <w:p/>
        </w:tc>
        <w:tc>
          <w:tcPr>
            <w:tcW w:type="dxa" w:w="3041"/>
            <w:vMerge/>
            <w:tcBorders/>
          </w:tcPr>
          <w:p/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1648" w:firstLine="0"/>
              <w:jc w:val="right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NaOH treated</w:t>
            </w:r>
          </w:p>
        </w:tc>
      </w:tr>
      <w:tr>
        <w:trPr>
          <w:trHeight w:hRule="exact" w:val="60"/>
        </w:trPr>
        <w:tc>
          <w:tcPr>
            <w:tcW w:type="dxa" w:w="3041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44" w:right="0" w:firstLine="0"/>
              <w:jc w:val="left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04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41"/>
            <w:vMerge/>
            <w:tcBorders/>
          </w:tcPr>
          <w:p/>
        </w:tc>
        <w:tc>
          <w:tcPr>
            <w:tcW w:type="dxa" w:w="3041"/>
            <w:vMerge/>
            <w:tcBorders/>
          </w:tcPr>
          <w:p/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810" w:firstLine="0"/>
              <w:jc w:val="right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non-treated</w:t>
            </w:r>
          </w:p>
        </w:tc>
      </w:tr>
      <w:tr>
        <w:trPr>
          <w:trHeight w:hRule="exact" w:val="206"/>
        </w:trPr>
        <w:tc>
          <w:tcPr>
            <w:tcW w:type="dxa" w:w="3041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44" w:right="0" w:firstLine="0"/>
              <w:jc w:val="left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30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4" w:after="28"/>
        <w:ind w:left="0" w:right="6100" w:firstLine="0"/>
        <w:jc w:val="right"/>
      </w:pPr>
      <w:r>
        <w:rPr>
          <w:w w:val="103.24427740914481"/>
          <w:rFonts w:ascii="TimesNewRoman" w:hAnsi="TimesNewRoman" w:eastAsia="TimesNewRoman"/>
          <w:b w:val="0"/>
          <w:i w:val="0"/>
          <w:color w:val="000000"/>
          <w:sz w:val="14"/>
        </w:rPr>
        <w:t>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>
        <w:trPr>
          <w:trHeight w:hRule="exact" w:val="170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178" w:firstLine="0"/>
              <w:jc w:val="right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7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24" w:right="0" w:firstLine="0"/>
              <w:jc w:val="left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18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54" w:right="0" w:firstLine="0"/>
              <w:jc w:val="left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24</w:t>
            </w:r>
          </w:p>
        </w:tc>
      </w:tr>
      <w:tr>
        <w:trPr>
          <w:trHeight w:hRule="exact" w:val="328"/>
        </w:trPr>
        <w:tc>
          <w:tcPr>
            <w:tcW w:type="dxa" w:w="50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46" w:firstLine="0"/>
              <w:jc w:val="right"/>
            </w:pPr>
            <w:r>
              <w:rPr>
                <w:w w:val="103.2442774091448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Duration [h]</w:t>
            </w:r>
          </w:p>
        </w:tc>
        <w:tc>
          <w:tcPr>
            <w:tcW w:type="dxa" w:w="1014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4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. </w:t>
            </w:r>
          </w:p>
        </w:tc>
        <w:tc>
          <w:tcPr>
            <w:tcW w:type="dxa" w:w="1014"/>
            <w:vMerge/>
            <w:tcBorders/>
          </w:tcPr>
          <w:p/>
        </w:tc>
        <w:tc>
          <w:tcPr>
            <w:tcW w:type="dxa" w:w="1014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50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Fig. 3  Comparison of moisture absorption of composites at RH 95% and 23.8</w:t>
            </w:r>
          </w:p>
        </w:tc>
        <w:tc>
          <w:tcPr>
            <w:tcW w:type="dxa" w:w="1014"/>
            <w:vMerge/>
            <w:tcBorders/>
          </w:tcPr>
          <w:p/>
        </w:tc>
        <w:tc>
          <w:tcPr>
            <w:tcW w:type="dxa" w:w="1014"/>
            <w:vMerge/>
            <w:tcBorders/>
          </w:tcPr>
          <w:p/>
        </w:tc>
        <w:tc>
          <w:tcPr>
            <w:tcW w:type="dxa" w:w="1014"/>
            <w:vMerge/>
            <w:tcBorders/>
          </w:tcPr>
          <w:p/>
        </w:tc>
        <w:tc>
          <w:tcPr>
            <w:tcW w:type="dxa" w:w="101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00" w:after="0"/>
        <w:ind w:left="162" w:right="0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Fig. 3 showed moisture absorption of cornstarch based composites. From fig. 3, moisture absorption rate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non-treated straw based composites increased slower and was smaller. This could be accounted for the </w:t>
      </w:r>
    </w:p>
    <w:p>
      <w:pPr>
        <w:sectPr>
          <w:pgSz w:w="10885" w:h="14854"/>
          <w:pgMar w:top="368" w:right="1110" w:bottom="1306" w:left="652" w:header="720" w:footer="720" w:gutter="0"/>
          <w:cols w:space="720" w:num="1" w:equalWidth="0">
            <w:col w:w="9124" w:space="0"/>
            <w:col w:w="9674" w:space="0"/>
            <w:col w:w="9112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1193800</wp:posOffset>
            </wp:positionH>
            <wp:positionV relativeFrom="page">
              <wp:posOffset>1485900</wp:posOffset>
            </wp:positionV>
            <wp:extent cx="2019300" cy="11938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93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1485900</wp:posOffset>
            </wp:positionV>
            <wp:extent cx="2070100" cy="11938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193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88" w:val="left"/>
        </w:tabs>
        <w:autoSpaceDE w:val="0"/>
        <w:widowControl/>
        <w:spacing w:line="176" w:lineRule="exact" w:before="0" w:after="0"/>
        <w:ind w:left="29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Junjun Liu et al. /  AASRI Procedia  3 ( 2012 )  83 – 88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87</w:t>
      </w:r>
    </w:p>
    <w:p>
      <w:pPr>
        <w:autoSpaceDN w:val="0"/>
        <w:autoSpaceDE w:val="0"/>
        <w:widowControl/>
        <w:spacing w:line="245" w:lineRule="auto" w:before="400" w:after="446"/>
        <w:ind w:left="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existence of SiO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and wax on straw surface, preventing water-soluble reagent penetrating through straw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effectively, so non-treated straw based composites showed better water resistance.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0.0" w:type="dxa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>
        <w:trPr>
          <w:trHeight w:hRule="exact" w:val="222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6" w:after="0"/>
              <w:ind w:left="0" w:right="364" w:firstLine="0"/>
              <w:jc w:val="right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Moisture absorption[%]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02" w:after="0"/>
              <w:ind w:left="54" w:right="0" w:firstLine="0"/>
              <w:jc w:val="left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02" w:after="0"/>
              <w:ind w:left="0" w:right="0" w:firstLine="0"/>
              <w:jc w:val="center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02" w:after="0"/>
              <w:ind w:left="0" w:right="2" w:firstLine="0"/>
              <w:jc w:val="right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02" w:after="0"/>
              <w:ind w:left="0" w:right="0" w:firstLine="0"/>
              <w:jc w:val="center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02" w:after="0"/>
              <w:ind w:left="70" w:right="0" w:firstLine="0"/>
              <w:jc w:val="left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02" w:after="0"/>
              <w:ind w:left="0" w:right="0" w:firstLine="0"/>
              <w:jc w:val="center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0" w:after="0"/>
              <w:ind w:left="0" w:right="84" w:firstLine="0"/>
              <w:jc w:val="right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8%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02" w:after="0"/>
              <w:ind w:left="48" w:right="0" w:firstLine="0"/>
              <w:jc w:val="left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24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2" w:after="0"/>
              <w:ind w:left="0" w:right="350" w:firstLine="0"/>
              <w:jc w:val="right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Moisture absorption[%]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9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02" w:after="0"/>
              <w:ind w:left="46" w:right="0" w:firstLine="0"/>
              <w:jc w:val="left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02" w:after="0"/>
              <w:ind w:left="0" w:right="0" w:firstLine="0"/>
              <w:jc w:val="center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02" w:after="0"/>
              <w:ind w:left="0" w:right="14" w:firstLine="0"/>
              <w:jc w:val="right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02" w:after="0"/>
              <w:ind w:left="0" w:right="0" w:firstLine="0"/>
              <w:jc w:val="center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02" w:after="0"/>
              <w:ind w:left="62" w:right="0" w:firstLine="0"/>
              <w:jc w:val="left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02" w:after="0"/>
              <w:ind w:left="0" w:right="0" w:firstLine="0"/>
              <w:jc w:val="center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58" w:after="0"/>
              <w:ind w:left="0" w:right="84" w:firstLine="0"/>
              <w:jc w:val="right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0.5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02" w:after="0"/>
              <w:ind w:left="112" w:right="0" w:firstLine="0"/>
              <w:jc w:val="left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24</w:t>
            </w:r>
          </w:p>
        </w:tc>
      </w:tr>
      <w:tr>
        <w:trPr>
          <w:trHeight w:hRule="exact" w:val="180"/>
        </w:trPr>
        <w:tc>
          <w:tcPr>
            <w:tcW w:type="dxa" w:w="468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9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8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46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8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7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46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7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46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46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6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12" w:firstLine="0"/>
              <w:jc w:val="right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10%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84" w:firstLine="0"/>
              <w:jc w:val="right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0.6</w:t>
            </w:r>
          </w:p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2" w:after="0"/>
              <w:ind w:left="0" w:right="0" w:firstLine="0"/>
              <w:jc w:val="center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6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12" w:firstLine="0"/>
              <w:jc w:val="right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12%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84" w:firstLine="0"/>
              <w:jc w:val="right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0.7</w:t>
            </w:r>
          </w:p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46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12" w:firstLine="0"/>
              <w:jc w:val="right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14%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84" w:firstLine="0"/>
              <w:jc w:val="right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0.8</w:t>
            </w:r>
          </w:p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468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468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4" w:after="0"/>
              <w:ind w:left="0" w:right="250" w:firstLine="0"/>
              <w:jc w:val="right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18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8" w:after="0"/>
              <w:ind w:left="0" w:right="0" w:firstLine="0"/>
              <w:jc w:val="center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4" w:after="0"/>
              <w:ind w:left="0" w:right="0" w:firstLine="0"/>
              <w:jc w:val="center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18</w:t>
            </w:r>
          </w:p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09279305594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Duration [h]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w w:val="102.8942857469831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Duration [h]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8" w:after="162"/>
        <w:ind w:left="13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a. different cornstarch content composites             b. different density of cornstarch composites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2"/>
        <w:gridCol w:w="3122"/>
        <w:gridCol w:w="3122"/>
      </w:tblGrid>
      <w:tr>
        <w:trPr>
          <w:trHeight w:hRule="exact" w:val="298"/>
        </w:trPr>
        <w:tc>
          <w:tcPr>
            <w:tcW w:type="dxa" w:w="4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Fig. 4  Comparison of moisture absorption of composites at RH 95% and 23.8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247" w:lineRule="auto" w:before="200" w:after="0"/>
        <w:ind w:left="0" w:right="472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Fig. 4a showed moisture absorption of different cornstarch content composites. From fig. 4a, composites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had faster increasing in prophase and higher moisture absorption rate at cornstarch mass fraction of 14%,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other three kinds composites had similar moisture absorption curves. This could be accounted for more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existence of hydrophile starch on surface and in interior of composites at starch mass fraction of 14%, leading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 more starch content higher moisture absorption ratio and faster increasing in prophase. </w:t>
      </w:r>
    </w:p>
    <w:p>
      <w:pPr>
        <w:autoSpaceDN w:val="0"/>
        <w:tabs>
          <w:tab w:pos="238" w:val="left"/>
          <w:tab w:pos="6750" w:val="left"/>
          <w:tab w:pos="6952" w:val="left"/>
        </w:tabs>
        <w:autoSpaceDE w:val="0"/>
        <w:widowControl/>
        <w:spacing w:line="240" w:lineRule="auto" w:before="18" w:after="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Fig. 4b showed moisture absorption of different density cornstarch based composites at starch mass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0.6 g/cm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composites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fraction of 10%. From fig.4b, moisture absorption rate of lower density (0.5</w:t>
      </w:r>
      <w:r>
        <w:drawing>
          <wp:inline xmlns:a="http://schemas.openxmlformats.org/drawingml/2006/main" xmlns:pic="http://schemas.openxmlformats.org/drawingml/2006/picture">
            <wp:extent cx="38100" cy="381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increased faster than others. This could be accounted for lower density less tightness of composites, leading to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more moisture absorption ratio at same phase. Moreover, composites had similar equilibrium moisture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absorption rate due to same weight of straw and starch. </w:t>
      </w:r>
    </w:p>
    <w:p>
      <w:pPr>
        <w:autoSpaceDN w:val="0"/>
        <w:autoSpaceDE w:val="0"/>
        <w:widowControl/>
        <w:spacing w:line="230" w:lineRule="auto" w:before="260" w:after="0"/>
        <w:ind w:left="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3.3.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Fractured surfaces microstructure of composites </w:t>
      </w:r>
    </w:p>
    <w:p>
      <w:pPr>
        <w:autoSpaceDN w:val="0"/>
        <w:tabs>
          <w:tab w:pos="3158" w:val="left"/>
          <w:tab w:pos="5786" w:val="left"/>
        </w:tabs>
        <w:autoSpaceDE w:val="0"/>
        <w:widowControl/>
        <w:spacing w:line="240" w:lineRule="auto" w:before="240" w:after="0"/>
        <w:ind w:left="5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06550" cy="12115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2115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606549" cy="121158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6549" cy="12115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606550" cy="12115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211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6" w:lineRule="auto" w:before="0" w:after="0"/>
        <w:ind w:left="112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a. hot-water treated                                        b. NaOH treated                                        c. non-treated</w:t>
      </w:r>
      <w:r>
        <w:rPr>
          <w:rFonts w:ascii="ËÎÌå" w:hAnsi="ËÎÌå" w:eastAsia="ËÎÌå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222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Fig. 5  Microstructure surface of composites. </w:t>
      </w:r>
    </w:p>
    <w:p>
      <w:pPr>
        <w:autoSpaceDN w:val="0"/>
        <w:autoSpaceDE w:val="0"/>
        <w:widowControl/>
        <w:spacing w:line="245" w:lineRule="auto" w:before="260" w:after="0"/>
        <w:ind w:left="0" w:right="47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Fig. 5(a, b, c) showed fractured surfaces microstructure of composites from straw with different treatments.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From the figure, hot water and NaOH treatments could reduce SiO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and wax content of straw effectively,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improving the interphase boundary of matrix and reinforcement, and composites from hot water and NaOH </w:t>
      </w:r>
    </w:p>
    <w:p>
      <w:pPr>
        <w:sectPr>
          <w:pgSz w:w="10885" w:h="14854"/>
          <w:pgMar w:top="368" w:right="648" w:bottom="1360" w:left="870" w:header="720" w:footer="720" w:gutter="0"/>
          <w:cols w:space="720" w:num="1" w:equalWidth="0">
            <w:col w:w="9368" w:space="0"/>
            <w:col w:w="9124" w:space="0"/>
            <w:col w:w="9674" w:space="0"/>
            <w:col w:w="9112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92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Junjun Liu et al. /  AASRI Procedia  3 ( 2012 )  83 – 88 </w:t>
      </w:r>
    </w:p>
    <w:p>
      <w:pPr>
        <w:autoSpaceDN w:val="0"/>
        <w:autoSpaceDE w:val="0"/>
        <w:widowControl/>
        <w:spacing w:line="245" w:lineRule="auto" w:before="398" w:after="0"/>
        <w:ind w:left="202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treated straw had less stratification and crack. NaOH treatments could hydrolyze straw cellulose, making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straw looser and softer and composite from NaOH treated had lower flexural properties. </w:t>
      </w:r>
    </w:p>
    <w:p>
      <w:pPr>
        <w:autoSpaceDN w:val="0"/>
        <w:autoSpaceDE w:val="0"/>
        <w:widowControl/>
        <w:spacing w:line="230" w:lineRule="auto" w:before="260" w:after="0"/>
        <w:ind w:left="20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4.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Conclusions </w:t>
      </w:r>
    </w:p>
    <w:p>
      <w:pPr>
        <w:autoSpaceDN w:val="0"/>
        <w:tabs>
          <w:tab w:pos="438" w:val="left"/>
        </w:tabs>
        <w:autoSpaceDE w:val="0"/>
        <w:widowControl/>
        <w:spacing w:line="245" w:lineRule="auto" w:before="260" w:after="0"/>
        <w:ind w:left="202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Composites from hot-water treated straw and cornstarch had better interface and higher flexural properties,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and flexural strength reached peak values at starch mass fraction of 10% and density of 0.7 g/cm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</w:t>
      </w:r>
    </w:p>
    <w:p>
      <w:pPr>
        <w:autoSpaceDN w:val="0"/>
        <w:autoSpaceDE w:val="0"/>
        <w:widowControl/>
        <w:spacing w:line="245" w:lineRule="auto" w:before="20" w:after="0"/>
        <w:ind w:left="200" w:right="44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Composites from non-treated straw and cornstarch had lesser moisture absorption ratio, and equilibrium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moisture absorption rate was 8.48%. Moisture absorption ratio increased with starch content increasing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density of composites decreasing. </w:t>
      </w:r>
    </w:p>
    <w:p>
      <w:pPr>
        <w:autoSpaceDN w:val="0"/>
        <w:autoSpaceDE w:val="0"/>
        <w:widowControl/>
        <w:spacing w:line="230" w:lineRule="auto" w:before="486" w:after="0"/>
        <w:ind w:left="20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auto" w:before="202" w:after="0"/>
        <w:ind w:left="2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1"/>
        </w:rPr>
        <w:t>[1]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Tong Jin, Ma Yunhai, Ren Luquan. Naturally biological materials and their tribology: a review [J]. </w:t>
      </w:r>
    </w:p>
    <w:p>
      <w:pPr>
        <w:autoSpaceDN w:val="0"/>
        <w:tabs>
          <w:tab w:pos="4576" w:val="left"/>
        </w:tabs>
        <w:autoSpaceDE w:val="0"/>
        <w:widowControl/>
        <w:spacing w:line="240" w:lineRule="auto" w:before="6" w:after="0"/>
        <w:ind w:left="202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Tribology, 2001, 21(4):315-320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[2]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CHEN Xiaolei, SHI Jiangao, WANG Lei. Degradability of Poly(lactic-acid)/Starch Composite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Seawater [J]. Marine</w:t>
      </w:r>
      <w:r>
        <w:rPr>
          <w:rFonts w:ascii="ËÎÌå" w:hAnsi="ËÎÌå" w:eastAsia="ËÎÌå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Fisheries, 2009, (31)4:420-425 (in Chinese)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[3]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Reddy, N, Yang, Y. Preparation and characterization of long natural cellulose fibers from wheat straw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[J]. J Agric Food Chem, 2007, 55:8570-8575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[4]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ZHOU Dingguo, ZHANG Yang. The Development of Straw-based Composites Industry in China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[J].CHINA WOOD INDUSTRY, 2007, (21)1:5-8 (in Chinese)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[5]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Schirp A, Loge F, Englund K. Pilot-scale production and material properties of extruded straw</w:t>
      </w:r>
      <w:r>
        <w:rPr>
          <w:rFonts w:ascii="TimesNewRoman" w:hAnsi="TimesNewRoman" w:eastAsia="TimesNewRoman"/>
          <w:b w:val="0"/>
          <w:i w:val="0"/>
          <w:strike/>
          <w:color w:val="221F1F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plastic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composites based on untreated and fungal-treated wheat straw [J]. For Prod J, 2006b,56:90-96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[6]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Alemdar A, Sain M. Biocomposites from wheat straw nanofibers:morphology, thermal and mechanical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properties [J]. Compos Sci Technol, 2008,68:557-565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[7]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Li X, Wang S, Duan L. Particulate and trace gas emissions from open burning of wheat straw and corn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stover in China [J]. Environ Sci Technol , 2007,41:6052-6058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[8]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Panthapulakkal S, Sain M. Injection molded wheat straw and corn stem filled polypropylene composites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[J]. J Polym Environ, 2006, 14:265-272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[9]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Han Seung Yang, Dae Jun Kim, Young Kyu Lee. Possibility of using waste tire composites reinforced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with rice straw as construction materials [J]. Bioresource Technology , 2004, 95: 61-65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[10]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Soren Halvarsson, Hakan Edlund, Magnus Norgren. Properties of medium-density fibreboard (MDF)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based on wheat straw and melamine modified urea formaldehyde (UMF) resin [J]. Industrial Crops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Products , 2008,28:37-46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[11]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Xuan Kuang, Rui Kuang, Xiaodong Zheng. Mechanical properties and size stability of wheat straw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recycled LDPE composites coupled by waterborne coupling agents [J]. Carbohydrate Polymers, 2010,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80:927-933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[12]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Andrzej K Bledzki, Abdullah A Mamun, Jürgen Volk. Physical, chemical and surface properties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wheat husk, rye husk and soft wood and their polypropylene composites [J]. Composites: Part A, 2010,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41:480-488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[13]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Yi Zou, Shah Huda, Yiqi Yang. Lightweight composites from long wheat straw and polypropylene web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[J]. Bioresource Technology, 2010, 101:2026-2033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[14]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Leiva P, Ciannamea E M, Ruseckaite R A, Stefani P M. Medium-density particleboards from rice husks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soybean protein concentrate [J]. J Appl Polym Sci, 2007, 106: 1301-1306 </w:t>
      </w:r>
      <w:r>
        <w:br/>
      </w:r>
      <w:r>
        <w:tab/>
      </w:r>
      <w:r>
        <w:drawing>
          <wp:inline xmlns:a="http://schemas.openxmlformats.org/drawingml/2006/main" xmlns:pic="http://schemas.openxmlformats.org/drawingml/2006/picture">
            <wp:extent cx="2743200" cy="127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[15]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Ndazi B S, Karlsson S, Tesha J V, Nyanumwa C </w:t>
      </w:r>
    </w:p>
    <w:p>
      <w:pPr>
        <w:autoSpaceDN w:val="0"/>
        <w:autoSpaceDE w:val="0"/>
        <w:widowControl/>
        <w:spacing w:line="230" w:lineRule="auto" w:before="2" w:after="0"/>
        <w:ind w:left="2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 use as composite panels [J]. Compos Part A, 2007, 38: 925-935 </w:t>
      </w:r>
    </w:p>
    <w:sectPr w:rsidR="00FC693F" w:rsidRPr="0006063C" w:rsidSect="00034616">
      <w:pgSz w:w="10885" w:h="14854"/>
      <w:pgMar w:top="368" w:right="720" w:bottom="784" w:left="624" w:header="720" w:footer="720" w:gutter="0"/>
      <w:cols w:space="720" w:num="1" w:equalWidth="0">
        <w:col w:w="9542" w:space="0"/>
        <w:col w:w="9368" w:space="0"/>
        <w:col w:w="9124" w:space="0"/>
        <w:col w:w="9674" w:space="0"/>
        <w:col w:w="9112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