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.000000000000014" w:type="dxa"/>
      </w:tblPr>
      <w:tblGrid>
        <w:gridCol w:w="3207"/>
        <w:gridCol w:w="3207"/>
        <w:gridCol w:w="3207"/>
      </w:tblGrid>
      <w:tr>
        <w:trPr>
          <w:trHeight w:hRule="exact" w:val="264"/>
        </w:trPr>
        <w:tc>
          <w:tcPr>
            <w:tcW w:type="dxa" w:w="1860"/>
            <w:vMerge w:val="restart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4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453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53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76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202060"/>
                <w:sz w:val="18"/>
              </w:rPr>
              <w:t>www.sciencedirect.com</w:t>
            </w:r>
          </w:p>
        </w:tc>
        <w:tc>
          <w:tcPr>
            <w:tcW w:type="dxa" w:w="205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1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6"/>
              </w:rPr>
              <w:t>AASRI</w:t>
            </w:r>
          </w:p>
        </w:tc>
      </w:tr>
      <w:tr>
        <w:trPr>
          <w:trHeight w:hRule="exact" w:val="340"/>
        </w:trPr>
        <w:tc>
          <w:tcPr>
            <w:tcW w:type="dxa" w:w="3207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77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157729" cy="16890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29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07"/>
            <w:vMerge/>
            <w:tcBorders/>
          </w:tcPr>
          <w:p/>
        </w:tc>
      </w:tr>
      <w:tr>
        <w:trPr>
          <w:trHeight w:hRule="exact" w:val="550"/>
        </w:trPr>
        <w:tc>
          <w:tcPr>
            <w:tcW w:type="dxa" w:w="3207"/>
            <w:vMerge/>
            <w:tcBorders>
              <w:bottom w:sz="7.2000000000000455" w:val="single" w:color="#221F1F"/>
            </w:tcBorders>
          </w:tcPr>
          <w:p/>
        </w:tc>
        <w:tc>
          <w:tcPr>
            <w:tcW w:type="dxa" w:w="5648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58"/>
            <w:tcBorders>
              <w:bottom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34"/>
              </w:rPr>
              <w:t>Procedia</w:t>
            </w:r>
          </w:p>
        </w:tc>
      </w:tr>
      <w:tr>
        <w:trPr>
          <w:trHeight w:hRule="exact" w:val="264"/>
        </w:trPr>
        <w:tc>
          <w:tcPr>
            <w:tcW w:type="dxa" w:w="1860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648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1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1 ( 2012 )  359 – 364 </w:t>
            </w:r>
          </w:p>
        </w:tc>
        <w:tc>
          <w:tcPr>
            <w:tcW w:type="dxa" w:w="2058"/>
            <w:tcBorders>
              <w:top w:sz="7.200000000000045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2"/>
              </w:rPr>
              <w:t>www.elsevier.com/locate/procedia</w:t>
            </w:r>
          </w:p>
        </w:tc>
      </w:tr>
    </w:tbl>
    <w:p>
      <w:pPr>
        <w:autoSpaceDN w:val="0"/>
        <w:autoSpaceDE w:val="0"/>
        <w:widowControl/>
        <w:spacing w:line="272" w:lineRule="exact" w:before="1100" w:after="0"/>
        <w:ind w:left="89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2012 AASRI Conference on Computational Intelligence and Bioinformatics </w:t>
      </w:r>
    </w:p>
    <w:p>
      <w:pPr>
        <w:autoSpaceDN w:val="0"/>
        <w:tabs>
          <w:tab w:pos="3624" w:val="left"/>
        </w:tabs>
        <w:autoSpaceDE w:val="0"/>
        <w:widowControl/>
        <w:spacing w:line="400" w:lineRule="exact" w:before="240" w:after="0"/>
        <w:ind w:left="952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34"/>
        </w:rPr>
        <w:t xml:space="preserve">The Development and Research of Bioinformatics in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34"/>
        </w:rPr>
        <w:t>Neuroscience</w:t>
      </w:r>
    </w:p>
    <w:p>
      <w:pPr>
        <w:autoSpaceDN w:val="0"/>
        <w:autoSpaceDE w:val="0"/>
        <w:widowControl/>
        <w:spacing w:line="334" w:lineRule="exact" w:before="206" w:after="0"/>
        <w:ind w:left="105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Qing Xu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a,c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,Wuke Zhang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a,c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,Linfeng Hu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a,c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,Jiajiong Wang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b,c</w:t>
      </w: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>,Jia Jin</w:t>
      </w:r>
      <w:r>
        <w:rPr>
          <w:rFonts w:ascii="TimesNewRomanPSMT" w:hAnsi="TimesNewRomanPSMT" w:eastAsia="TimesNewRomanPSMT"/>
          <w:b w:val="0"/>
          <w:i w:val="0"/>
          <w:color w:val="000000"/>
          <w:sz w:val="17"/>
        </w:rPr>
        <w:t>a,c,*</w:t>
      </w:r>
    </w:p>
    <w:p>
      <w:pPr>
        <w:autoSpaceDN w:val="0"/>
        <w:autoSpaceDE w:val="0"/>
        <w:widowControl/>
        <w:spacing w:line="200" w:lineRule="exact" w:before="154" w:after="0"/>
        <w:ind w:left="1152" w:right="1728" w:firstLine="0"/>
        <w:jc w:val="center"/>
      </w:pPr>
      <w:r>
        <w:rPr>
          <w:rFonts w:ascii="Times" w:hAnsi="Times" w:eastAsia="Times"/>
          <w:b w:val="0"/>
          <w:i/>
          <w:color w:val="000000"/>
          <w:sz w:val="10"/>
        </w:rPr>
        <w:t>a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School of Management, Zhejiang University, Zijingang Campus, Hangzhou 310058,China </w:t>
      </w:r>
      <w:r>
        <w:br/>
      </w:r>
      <w:r>
        <w:rPr>
          <w:rFonts w:ascii="Times" w:hAnsi="Times" w:eastAsia="Times"/>
          <w:b w:val="0"/>
          <w:i/>
          <w:color w:val="000000"/>
          <w:sz w:val="10"/>
        </w:rPr>
        <w:t>b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College of Public Administration, Zhejiang University, Zijingang Campus, Hangzhou 310058, China </w:t>
      </w:r>
      <w:r>
        <w:rPr>
          <w:rFonts w:ascii="Times" w:hAnsi="Times" w:eastAsia="Times"/>
          <w:b w:val="0"/>
          <w:i/>
          <w:color w:val="000000"/>
          <w:sz w:val="10"/>
        </w:rPr>
        <w:t>c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Neuromanagment Lab, Zhejiang University, Yuquan Campus, Hangzhou 310027,China </w:t>
      </w:r>
    </w:p>
    <w:p>
      <w:pPr>
        <w:autoSpaceDN w:val="0"/>
        <w:autoSpaceDE w:val="0"/>
        <w:widowControl/>
        <w:spacing w:line="206" w:lineRule="exact" w:before="946" w:after="0"/>
        <w:ind w:left="12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8"/>
        </w:rPr>
        <w:t xml:space="preserve">Abstract </w:t>
      </w:r>
    </w:p>
    <w:p>
      <w:pPr>
        <w:autoSpaceDN w:val="0"/>
        <w:autoSpaceDE w:val="0"/>
        <w:widowControl/>
        <w:spacing w:line="206" w:lineRule="exact" w:before="220" w:after="0"/>
        <w:ind w:left="128" w:right="60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Recent years, the inter-discipline of bioinformatics and neuroscience has been developed with more and more researchers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studying in molecular and cellular level, which resulting huge number of publications and findings. A tool of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scientometrics, Citespace II was used to identify the hot topic and evolution map of this inter-discipline with the data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download from Web of Science. Five research clusters were found with the method of co-citation analysis. The evolution </w:t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map of knowledge base with 1991-2012 was described. </w:t>
      </w:r>
    </w:p>
    <w:p>
      <w:pPr>
        <w:autoSpaceDN w:val="0"/>
        <w:autoSpaceDE w:val="0"/>
        <w:widowControl/>
        <w:spacing w:line="230" w:lineRule="exact" w:before="232" w:after="0"/>
        <w:ind w:left="128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2012 Published by Elsevier B.V. Selection and/or peer review under responsibility of American Applied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Science Research Institute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>CC BY-NC-ND license.</w:t>
          </w:r>
        </w:hyperlink>
      </w:r>
    </w:p>
    <w:p>
      <w:pPr>
        <w:autoSpaceDN w:val="0"/>
        <w:autoSpaceDE w:val="0"/>
        <w:widowControl/>
        <w:spacing w:line="182" w:lineRule="exact" w:before="244" w:after="0"/>
        <w:ind w:left="128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Keywords</w:t>
      </w:r>
      <w:r>
        <w:rPr>
          <w:rFonts w:ascii="Times" w:hAnsi="Times" w:eastAsia="Times"/>
          <w:b/>
          <w:i w:val="0"/>
          <w:color w:val="000000"/>
          <w:sz w:val="16"/>
        </w:rPr>
        <w:t>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bioinformatics; neuroscience; CiteSpace II; </w:t>
      </w:r>
    </w:p>
    <w:p>
      <w:pPr>
        <w:autoSpaceDN w:val="0"/>
        <w:autoSpaceDE w:val="0"/>
        <w:widowControl/>
        <w:spacing w:line="230" w:lineRule="exact" w:before="462" w:after="0"/>
        <w:ind w:left="12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1. Introduction </w:t>
      </w:r>
    </w:p>
    <w:p>
      <w:pPr>
        <w:autoSpaceDN w:val="0"/>
        <w:autoSpaceDE w:val="0"/>
        <w:widowControl/>
        <w:spacing w:line="240" w:lineRule="exact" w:before="240" w:after="0"/>
        <w:ind w:left="128" w:right="56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Bioinformatics is an interdisciplinary science, which contains the acquisition, processing, storage,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distribution, analysis, interpretation and other aspects of biological information. Various tools of mathematics,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computer and biology are used in bioinformatics. It has been spanned from the original gene sequence </w:t>
      </w:r>
    </w:p>
    <w:p>
      <w:pPr>
        <w:autoSpaceDN w:val="0"/>
        <w:autoSpaceDE w:val="0"/>
        <w:widowControl/>
        <w:spacing w:line="200" w:lineRule="exact" w:before="950" w:after="0"/>
        <w:ind w:left="368" w:right="43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* Corresponding author. Tel.: +86-13675899085; fax: +86-0571-87952790. </w:t>
      </w:r>
      <w:r>
        <w:rPr>
          <w:rFonts w:ascii="Times" w:hAnsi="Times" w:eastAsia="Times"/>
          <w:b w:val="0"/>
          <w:i/>
          <w:color w:val="000000"/>
          <w:sz w:val="16"/>
        </w:rPr>
        <w:t>E-mail address: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jinjia.163@163.com. </w:t>
      </w:r>
    </w:p>
    <w:p>
      <w:pPr>
        <w:autoSpaceDN w:val="0"/>
        <w:autoSpaceDE w:val="0"/>
        <w:widowControl/>
        <w:spacing w:line="200" w:lineRule="exact" w:before="1290" w:after="0"/>
        <w:ind w:left="0" w:right="37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Published by Elsevier Ltd.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10.1016/j.aasri.2012.06.055 </w:t>
      </w:r>
    </w:p>
    <w:p>
      <w:pPr>
        <w:sectPr>
          <w:pgSz w:w="10885" w:h="14854"/>
          <w:pgMar w:top="438" w:right="640" w:bottom="318" w:left="624" w:header="720" w:footer="720" w:gutter="0"/>
          <w:cols w:space="720" w:num="1" w:equalWidth="0"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484" w:val="left"/>
        </w:tabs>
        <w:autoSpaceDE w:val="0"/>
        <w:widowControl/>
        <w:spacing w:line="180" w:lineRule="exact" w:before="0" w:after="0"/>
        <w:ind w:left="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360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Qing Xu et al. /  AASRI Procedia  1 ( 2012 )  359 – 364 </w:t>
      </w:r>
    </w:p>
    <w:p>
      <w:pPr>
        <w:autoSpaceDN w:val="0"/>
        <w:autoSpaceDE w:val="0"/>
        <w:widowControl/>
        <w:spacing w:line="240" w:lineRule="exact" w:before="352" w:after="0"/>
        <w:ind w:left="74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extended to gene function analysis and explained a large number of biological notions. Bioinformatics has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become one of the important frontiers of today's life sciences and natural sciences. </w:t>
      </w:r>
    </w:p>
    <w:p>
      <w:pPr>
        <w:autoSpaceDN w:val="0"/>
        <w:autoSpaceDE w:val="0"/>
        <w:widowControl/>
        <w:spacing w:line="240" w:lineRule="exact" w:before="0" w:after="0"/>
        <w:ind w:left="74" w:right="20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Neuroscience appeared in the 1960s and mainly studied the structure and function of nervous system.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Research at the molecular and cellular level is an important part of it. With the development of information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technology and molecular biotechnology, more and more bioinformatics knowledge, such as gene, are used by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neuroscience researchers. The interdisciplinary bring new development for bioinformatics and neuroscience. </w:t>
      </w:r>
    </w:p>
    <w:p>
      <w:pPr>
        <w:autoSpaceDN w:val="0"/>
        <w:autoSpaceDE w:val="0"/>
        <w:widowControl/>
        <w:spacing w:line="240" w:lineRule="exact" w:before="14" w:after="0"/>
        <w:ind w:left="74" w:right="21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Co-citation analysis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of the papers in the cross field of bioinformatics and neuroscience are used with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tool of scientometrics, CiteSpace II, which was developed by Professor Chen from Drexel University.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evolution processes of hot topic and frontier were mapped. </w:t>
      </w:r>
    </w:p>
    <w:p>
      <w:pPr>
        <w:autoSpaceDN w:val="0"/>
        <w:autoSpaceDE w:val="0"/>
        <w:widowControl/>
        <w:spacing w:line="228" w:lineRule="exact" w:before="252" w:after="0"/>
        <w:ind w:left="74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2. Data Source </w:t>
      </w:r>
    </w:p>
    <w:p>
      <w:pPr>
        <w:autoSpaceDN w:val="0"/>
        <w:autoSpaceDE w:val="0"/>
        <w:widowControl/>
        <w:spacing w:line="240" w:lineRule="exact" w:before="240" w:after="0"/>
        <w:ind w:left="74" w:right="212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data was downloaded from the Web of Science (WOS) database provided by American Institute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Scientific Information (ISI) in March 12, 2012. “Bioinformatics” was used to search the English articles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containing this keyword in title, abstract and keywords. The publication time range is 1899 to 2012. In total,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16031 articles were found. Setting “Neuroscience Neurology” as subject area, we get a total of 235 articles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2852 citation articles.  Because we find that the earliest article of 235 articles was published in 1991,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co-citation analysis of the papers starts from 1991 to 2012. </w:t>
      </w:r>
    </w:p>
    <w:p>
      <w:pPr>
        <w:autoSpaceDN w:val="0"/>
        <w:autoSpaceDE w:val="0"/>
        <w:widowControl/>
        <w:spacing w:line="228" w:lineRule="exact" w:before="252" w:after="0"/>
        <w:ind w:left="74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3. Data Analysis </w:t>
      </w:r>
    </w:p>
    <w:p>
      <w:pPr>
        <w:autoSpaceDN w:val="0"/>
        <w:autoSpaceDE w:val="0"/>
        <w:widowControl/>
        <w:spacing w:line="224" w:lineRule="exact" w:before="256" w:after="0"/>
        <w:ind w:left="74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3.1. The main research of bioinformatics in neuroscience </w:t>
      </w:r>
    </w:p>
    <w:p>
      <w:pPr>
        <w:autoSpaceDN w:val="0"/>
        <w:autoSpaceDE w:val="0"/>
        <w:widowControl/>
        <w:spacing w:line="240" w:lineRule="exact" w:before="240" w:after="0"/>
        <w:ind w:left="74" w:right="21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We use CiteSpace II to carry out the visualized analysis on the data. Various CiteSpace II options are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selected. These include (a) the time interval of analysis (1991-2012); (b) the unit of analysis (4 years); (c)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threshold value (2, 1, 10), (2, 1, 10), (2, 1, 10).Through the co-citation analysis of literatures, we obtained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network knowledge mapping of co-citation literatures (Fig. 1.), which included 312 nodes and 14552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connecting lines. Each node represents a piece of literature. The color in the center of the nodes represents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time of the literature to be cited for the first time whereas the exterior of the central part represent other time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being cited, corresponding to the color of the time line above the pattern. The radius of the nodes indicates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frequency of the literature to be cited by others. The bigger the radius is, the more frequent the literature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cited. The key nodes are those which surrounded by purple rings, connecting more than two different clusters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 most cases. They are the nodes with a high centrality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†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degree and frequency of being cited. These key nodes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may not only transit one time period to another, but also one field to another(Chen 2005). </w:t>
      </w:r>
    </w:p>
    <w:p>
      <w:pPr>
        <w:autoSpaceDN w:val="0"/>
        <w:autoSpaceDE w:val="0"/>
        <w:widowControl/>
        <w:spacing w:line="188" w:lineRule="exact" w:before="2124" w:after="0"/>
        <w:ind w:left="74" w:right="250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3"/>
        </w:rPr>
        <w:t>*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Co-citation analysis: if two literatures are simultaneously cited by another literature, these two build the relationship of co-citation. The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more the two literatures are co-cited, the tighter their relationship is. Co-citation analysis aims to pick out the different fields of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researches by the way of classifying the typical literatures in that subject according to the relationship mentioned above.</w:t>
      </w:r>
    </w:p>
    <w:p>
      <w:pPr>
        <w:autoSpaceDN w:val="0"/>
        <w:autoSpaceDE w:val="0"/>
        <w:widowControl/>
        <w:spacing w:line="190" w:lineRule="exact" w:before="90" w:after="0"/>
        <w:ind w:left="74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3"/>
        </w:rPr>
        <w:t>†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Centrality is an index quantizing the importance of a dot in the network. A high centrality dot is usually located on the path between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two different clusters. </w:t>
      </w:r>
    </w:p>
    <w:p>
      <w:pPr>
        <w:sectPr>
          <w:pgSz w:w="10885" w:h="14854"/>
          <w:pgMar w:top="368" w:right="1052" w:bottom="1150" w:left="624" w:header="720" w:footer="720" w:gutter="0"/>
          <w:cols w:space="720" w:num="1" w:equalWidth="0">
            <w:col w:w="9210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298" w:val="left"/>
        </w:tabs>
        <w:autoSpaceDE w:val="0"/>
        <w:widowControl/>
        <w:spacing w:line="176" w:lineRule="exact" w:before="0" w:after="0"/>
        <w:ind w:left="311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Qing Xu et al. /  AASRI Procedia  1 ( 2012 )  359 – 364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361</w:t>
      </w:r>
    </w:p>
    <w:p>
      <w:pPr>
        <w:autoSpaceDN w:val="0"/>
        <w:autoSpaceDE w:val="0"/>
        <w:widowControl/>
        <w:spacing w:line="240" w:lineRule="auto" w:before="352" w:after="0"/>
        <w:ind w:left="125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105909" cy="238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909" cy="238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0" w:lineRule="exact" w:before="218" w:after="0"/>
        <w:ind w:left="7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Fig. 1. Network Knowledge Mapping of Co-citation Literature of Bioinformatics in Neuroscience </w:t>
      </w:r>
    </w:p>
    <w:p>
      <w:pPr>
        <w:autoSpaceDN w:val="0"/>
        <w:autoSpaceDE w:val="0"/>
        <w:widowControl/>
        <w:spacing w:line="240" w:lineRule="exact" w:before="244" w:after="0"/>
        <w:ind w:left="70" w:right="566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network knowledge mapping of co-citation literature composed by these nodes are shown in Fig. 1.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According to the property of the key nodes and their space distribution, we divided the network knowledge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mapping into 5 clusters and we marked them by C1 to C5 in time sequence, shown in Fig. 1. These five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clusters represent the main research direction of Bioinformatics in Neuroscience. After reading and analyzing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typical literature (frequently cited literature) of the five clusters, we summarized the themes of the clusters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from C1 to C2 (shown in table 3). </w:t>
      </w:r>
    </w:p>
    <w:p>
      <w:pPr>
        <w:autoSpaceDN w:val="0"/>
        <w:autoSpaceDE w:val="0"/>
        <w:widowControl/>
        <w:spacing w:line="180" w:lineRule="exact" w:before="218" w:after="240"/>
        <w:ind w:left="7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Table 3. Themes of the clusters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0.0" w:type="dxa"/>
      </w:tblPr>
      <w:tblGrid>
        <w:gridCol w:w="3186"/>
        <w:gridCol w:w="3186"/>
        <w:gridCol w:w="3186"/>
      </w:tblGrid>
      <w:tr>
        <w:trPr>
          <w:trHeight w:hRule="exact" w:val="500"/>
        </w:trPr>
        <w:tc>
          <w:tcPr>
            <w:tcW w:type="dxa" w:w="1310"/>
            <w:tcBorders>
              <w:top w:sz="3.200000000000273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Cluster number </w:t>
            </w:r>
          </w:p>
        </w:tc>
        <w:tc>
          <w:tcPr>
            <w:tcW w:type="dxa" w:w="3880"/>
            <w:tcBorders>
              <w:top w:sz="3.200000000000273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8" w:after="0"/>
              <w:ind w:left="1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Theme of research </w:t>
            </w:r>
          </w:p>
        </w:tc>
        <w:tc>
          <w:tcPr>
            <w:tcW w:type="dxa" w:w="3334"/>
            <w:tcBorders>
              <w:top w:sz="3.200000000000273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8" w:after="0"/>
              <w:ind w:left="1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Time period of being cited </w:t>
            </w:r>
          </w:p>
        </w:tc>
      </w:tr>
      <w:tr>
        <w:trPr>
          <w:trHeight w:hRule="exact" w:val="232"/>
        </w:trPr>
        <w:tc>
          <w:tcPr>
            <w:tcW w:type="dxa" w:w="1310"/>
            <w:vMerge w:val="restart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4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C1</w:t>
            </w:r>
          </w:p>
        </w:tc>
        <w:tc>
          <w:tcPr>
            <w:tcW w:type="dxa" w:w="3880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The research tools and methods of gene expression and </w:t>
            </w:r>
          </w:p>
        </w:tc>
        <w:tc>
          <w:tcPr>
            <w:tcW w:type="dxa" w:w="3334"/>
            <w:vMerge w:val="restart"/>
            <w:tcBorders>
              <w:top w:sz="4.0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46" w:after="0"/>
              <w:ind w:left="1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2003~2006 </w:t>
            </w:r>
          </w:p>
        </w:tc>
      </w:tr>
      <w:tr>
        <w:trPr>
          <w:trHeight w:hRule="exact" w:val="300"/>
        </w:trPr>
        <w:tc>
          <w:tcPr>
            <w:tcW w:type="dxa" w:w="3186"/>
            <w:vMerge/>
            <w:tcBorders>
              <w:top w:sz="4.0" w:val="single" w:color="#000000"/>
            </w:tcBorders>
          </w:tcPr>
          <w:p/>
        </w:tc>
        <w:tc>
          <w:tcPr>
            <w:tcW w:type="dxa" w:w="3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" w:after="0"/>
              <w:ind w:left="1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sequence</w:t>
            </w:r>
          </w:p>
        </w:tc>
        <w:tc>
          <w:tcPr>
            <w:tcW w:type="dxa" w:w="3186"/>
            <w:vMerge/>
            <w:tcBorders>
              <w:top w:sz="4.0" w:val="single" w:color="#000000"/>
            </w:tcBorders>
          </w:tcPr>
          <w:p/>
        </w:tc>
      </w:tr>
      <w:tr>
        <w:trPr>
          <w:trHeight w:hRule="exact" w:val="420"/>
        </w:trPr>
        <w:tc>
          <w:tcPr>
            <w:tcW w:type="dxa" w:w="13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34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C2 </w:t>
            </w:r>
          </w:p>
        </w:tc>
        <w:tc>
          <w:tcPr>
            <w:tcW w:type="dxa" w:w="3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34" w:after="0"/>
              <w:ind w:left="1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Research on GABAB receptor </w:t>
            </w:r>
          </w:p>
        </w:tc>
        <w:tc>
          <w:tcPr>
            <w:tcW w:type="dxa" w:w="33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34" w:after="0"/>
              <w:ind w:left="1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2003~2006 </w:t>
            </w:r>
          </w:p>
        </w:tc>
      </w:tr>
      <w:tr>
        <w:trPr>
          <w:trHeight w:hRule="exact" w:val="300"/>
        </w:trPr>
        <w:tc>
          <w:tcPr>
            <w:tcW w:type="dxa" w:w="131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14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C3</w:t>
            </w:r>
          </w:p>
        </w:tc>
        <w:tc>
          <w:tcPr>
            <w:tcW w:type="dxa" w:w="3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14" w:after="0"/>
              <w:ind w:left="1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The application of the micro array technology in </w:t>
            </w:r>
          </w:p>
        </w:tc>
        <w:tc>
          <w:tcPr>
            <w:tcW w:type="dxa" w:w="333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14" w:after="0"/>
              <w:ind w:left="1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2007~2010 </w:t>
            </w:r>
          </w:p>
        </w:tc>
      </w:tr>
      <w:tr>
        <w:trPr>
          <w:trHeight w:hRule="exact" w:val="300"/>
        </w:trPr>
        <w:tc>
          <w:tcPr>
            <w:tcW w:type="dxa" w:w="3186"/>
            <w:vMerge/>
            <w:tcBorders/>
          </w:tcPr>
          <w:p/>
        </w:tc>
        <w:tc>
          <w:tcPr>
            <w:tcW w:type="dxa" w:w="3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4" w:after="0"/>
              <w:ind w:left="1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diseases study </w:t>
            </w:r>
          </w:p>
        </w:tc>
        <w:tc>
          <w:tcPr>
            <w:tcW w:type="dxa" w:w="3186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131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6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C4 </w:t>
            </w:r>
          </w:p>
        </w:tc>
        <w:tc>
          <w:tcPr>
            <w:tcW w:type="dxa" w:w="38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6" w:after="0"/>
              <w:ind w:left="1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The relationship between microRNA and diseases </w:t>
            </w:r>
          </w:p>
        </w:tc>
        <w:tc>
          <w:tcPr>
            <w:tcW w:type="dxa" w:w="33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06" w:after="0"/>
              <w:ind w:left="1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2011~2012 </w:t>
            </w:r>
          </w:p>
        </w:tc>
      </w:tr>
      <w:tr>
        <w:trPr>
          <w:trHeight w:hRule="exact" w:val="530"/>
        </w:trPr>
        <w:tc>
          <w:tcPr>
            <w:tcW w:type="dxa" w:w="131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5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C5 </w:t>
            </w:r>
          </w:p>
        </w:tc>
        <w:tc>
          <w:tcPr>
            <w:tcW w:type="dxa" w:w="3880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The research on the codon and transcriptional process </w:t>
            </w:r>
          </w:p>
        </w:tc>
        <w:tc>
          <w:tcPr>
            <w:tcW w:type="dxa" w:w="3334"/>
            <w:tcBorders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58" w:after="0"/>
              <w:ind w:left="13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2011~2012 </w:t>
            </w:r>
          </w:p>
        </w:tc>
      </w:tr>
    </w:tbl>
    <w:p>
      <w:pPr>
        <w:autoSpaceDN w:val="0"/>
        <w:autoSpaceDE w:val="0"/>
        <w:widowControl/>
        <w:spacing w:line="180" w:lineRule="exact" w:before="52" w:after="0"/>
        <w:ind w:left="7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Note: the cited literature refers to the original version of the literature represented by the nodes in Fig. 1. </w:t>
      </w:r>
    </w:p>
    <w:p>
      <w:pPr>
        <w:autoSpaceDN w:val="0"/>
        <w:autoSpaceDE w:val="0"/>
        <w:widowControl/>
        <w:spacing w:line="240" w:lineRule="exact" w:before="10" w:after="0"/>
        <w:ind w:left="70" w:right="564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C1 cluster is mainly about the tools and methods on gene expression and sequencing and the study period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focused on the 2003-2006.With the rapid development of Human Genome Project ,the data of the nucleic acid,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protein sequence and structure is exponential growing which leads to a higher requirement to the tools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methods. As early as 1990,Altschul proposed basic local alignment sequence search tool(BLAST),which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optimized the local similarity measures and became a fast sequence comparison methods(Altschul, Gish et al.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1990).Then in 1998,Eisen raised a system of cluster analysis and visualization presents the results. He </w:t>
      </w:r>
    </w:p>
    <w:p>
      <w:pPr>
        <w:sectPr>
          <w:pgSz w:w="10885" w:h="14854"/>
          <w:pgMar w:top="368" w:right="648" w:bottom="1182" w:left="680" w:header="720" w:footer="720" w:gutter="0"/>
          <w:cols w:space="720" w:num="1" w:equalWidth="0">
            <w:col w:w="9558" w:space="0"/>
            <w:col w:w="9210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484" w:val="left"/>
        </w:tabs>
        <w:autoSpaceDE w:val="0"/>
        <w:widowControl/>
        <w:spacing w:line="180" w:lineRule="exact" w:before="0" w:after="0"/>
        <w:ind w:left="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362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Qing Xu et al. /  AASRI Procedia  1 ( 2012 )  359 – 364 </w:t>
      </w:r>
    </w:p>
    <w:p>
      <w:pPr>
        <w:autoSpaceDN w:val="0"/>
        <w:autoSpaceDE w:val="0"/>
        <w:widowControl/>
        <w:spacing w:line="240" w:lineRule="exact" w:before="352" w:after="0"/>
        <w:ind w:left="68" w:right="20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analyzed the genome-wide expression data from DNA microarray hybridization and the output was displayed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graphically, covering the clustering and the underlying expression data simultaneously in a form intuitive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biologists. In the result, he found that genes of known similar function grouped together and a similar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tendency in human data .Thus he proposed that co-expression of genes of known function with poorly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characterized or novel genes may provide a simple means of gaining leaded to the functions of many genes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which information was available currently(Eisen, Spellman et al. 1998).At the same time, with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development of IT, network database arises which, to a certain extent ,solves the problem of the dispersion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biological knowledge. For example, Hosack introduced how to get intuitive graphical abstracts from DAVID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use them to make annotations and summaries of identifiers for gene and protein(Dennis Jr, Sherman et al.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2003). </w:t>
      </w:r>
    </w:p>
    <w:p>
      <w:pPr>
        <w:autoSpaceDN w:val="0"/>
        <w:autoSpaceDE w:val="0"/>
        <w:widowControl/>
        <w:spacing w:line="240" w:lineRule="exact" w:before="0" w:after="0"/>
        <w:ind w:left="68" w:right="144" w:firstLine="238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topic of researches in C2 cluster is GABAB receptors and citing articles are mainly published in 2003-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2006. GABAB receptors are widely present in the central and peripheral nervous system and participate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many important physiological activities and pathological changes working with Gi/o protein. And it has great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significance to study the function and regulation mechanism of GABAB receptor and reveal the molecular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mechanism of the GABAB receptor in pathogenic. Margeta-Mitrovic in 2001 analyzed the function of GB1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GB2 subunits in G protein coupling of GABAB receptors and found that only with GB2, G protein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coupling of GABAB receptors was also successfully completed. This result supported an important model: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single GPCR monomer with a specific G-protein contact is sufficient (to achieve its function) (Margeta-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Mitrovic, Jan et al. 2001). As of 2001, there is no direct evidence that GABAB receptors are present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arthropod. Mezler proposed the assumption of Drosophila has the GABAB three subclasses, and based it 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found the combined effect of two subclasses is similar to the effect of GABAB subclasses in mammals by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cloning and functional expression of the three subclasses of Drosophila(Mezler, Müller et al. 2001).It is new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indirect evidence for the presentation of GABAB receptors in arthropod body. </w:t>
      </w:r>
    </w:p>
    <w:p>
      <w:pPr>
        <w:autoSpaceDN w:val="0"/>
        <w:autoSpaceDE w:val="0"/>
        <w:widowControl/>
        <w:spacing w:line="240" w:lineRule="exact" w:before="0" w:after="0"/>
        <w:ind w:left="68" w:right="21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C3 cluster is focusing on the relationship between gene and diseases with the method of microarray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technology</w:t>
      </w:r>
      <w:r>
        <w:rPr>
          <w:rFonts w:ascii="SimSun" w:hAnsi="SimSun" w:eastAsia="SimSun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and the cited literature was published in the year from 2007 to 2010.In the post-gene era</w:t>
      </w:r>
      <w:r>
        <w:rPr>
          <w:rFonts w:ascii="SimSun" w:hAnsi="SimSun" w:eastAsia="SimSun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is a rapid expansion in the field of bioinformatics, making it an efficient mean to explore the cause of some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kinds of disease using the biological computation in which studying the complicated disease from a genetic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perspective has become a hot spot. The data mining methods in discovering morbigenous gene, such as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method based on biological network, sequence analysis, gene expression data, are extremely plentiful. Gene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expression microarray technology that rising in the post-gene era is the most used. Just as mentioned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cluster 3,it is applied to diagnose and cure autoimmune encephalomyelitis(Robinson, Fontoura et al. 2003)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gliomas(Rickman, Bobek et al. 2001). </w:t>
      </w:r>
    </w:p>
    <w:p>
      <w:pPr>
        <w:autoSpaceDN w:val="0"/>
        <w:autoSpaceDE w:val="0"/>
        <w:widowControl/>
        <w:spacing w:line="240" w:lineRule="exact" w:before="0" w:after="0"/>
        <w:ind w:left="68" w:right="20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The correlation between genetic expression and disease is discussed in C4 cluster from a microRNA angle,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the cited literature was published in the year from 2011 to 2012.In this area, explore the link between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disease and microRNA is an important direction. In 2005</w:t>
      </w:r>
      <w:r>
        <w:rPr>
          <w:rFonts w:ascii="SimSun" w:hAnsi="SimSun" w:eastAsia="SimSun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Lu et al. proposed to classify the cancer type by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microRNA expression profiles. They analyzed the expression of 217 microRNAs of the mammalian from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334 samples comprising some human caner samples. It is present that microRNA universally declines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tumor tissue compared to normal tissue(Lu, Getz et al. 2005).This finding has potential value for caner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diagnose. In 2009, the quantity and stability of the microRNA in the temporal neocortex of the Alzheimer’s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disease patients were measured by Sethi et al(Sethi and Lukiw 2009).In the same year, Liu et al tested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microRNAs in the spinal cord injury patients. The abnormal expression of the microRNA may contribute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study of the cause of spinal cord injury and the treatment after the injury(Liu, Wang et al. 2009). </w:t>
      </w:r>
    </w:p>
    <w:p>
      <w:pPr>
        <w:autoSpaceDN w:val="0"/>
        <w:autoSpaceDE w:val="0"/>
        <w:widowControl/>
        <w:spacing w:line="240" w:lineRule="exact" w:before="0" w:after="0"/>
        <w:ind w:left="68" w:right="21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C5 cluster focuses on codon and transcription related field and the cited literature was published in the year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from 2011 to 2012.Grantham put forward codon catalog and genome hypothesis that the genome instead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individual gene is the basic unit in codon selection in 1980(Grantham, Gautier et al. 1980).Then in 2000,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Nakaamura Yusuke find the P53AIP1.This gene has an important impact on cell apoptosis and its </w:t>
      </w:r>
    </w:p>
    <w:p>
      <w:pPr>
        <w:sectPr>
          <w:pgSz w:w="10885" w:h="14854"/>
          <w:pgMar w:top="368" w:right="1056" w:bottom="1256" w:left="624" w:header="720" w:footer="720" w:gutter="0"/>
          <w:cols w:space="720" w:num="1" w:equalWidth="0">
            <w:col w:w="9206" w:space="0"/>
            <w:col w:w="9558" w:space="0"/>
            <w:col w:w="9210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298" w:val="left"/>
        </w:tabs>
        <w:autoSpaceDE w:val="0"/>
        <w:widowControl/>
        <w:spacing w:line="176" w:lineRule="exact" w:before="0" w:after="0"/>
        <w:ind w:left="311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Qing Xu et al. /  AASRI Procedia  1 ( 2012 )  359 – 364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363</w:t>
      </w:r>
    </w:p>
    <w:p>
      <w:pPr>
        <w:autoSpaceDN w:val="0"/>
        <w:autoSpaceDE w:val="0"/>
        <w:widowControl/>
        <w:spacing w:line="240" w:lineRule="exact" w:before="354" w:after="0"/>
        <w:ind w:left="76" w:right="56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transcriptional activation can be regulated by the phosphorylation ser-46(Oda, Arakawa et al. 2000).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Castrochavez compared the common codons of men and other animals(drosophila, squid and so on)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revealed that the third distribution of the most common codons in humans is 12-8-2,CGA,nucleosides ending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while 13-6-3,UAG,nucleotide ending in squid(Castro-Chavez 2011). </w:t>
      </w:r>
    </w:p>
    <w:p>
      <w:pPr>
        <w:autoSpaceDN w:val="0"/>
        <w:autoSpaceDE w:val="0"/>
        <w:widowControl/>
        <w:spacing w:line="240" w:lineRule="exact" w:before="0" w:after="0"/>
        <w:ind w:left="76" w:right="56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From the analysis of the clustering, the intersection of bioinformatics and neuroscience appears abundantly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the past 10 years, mainly focusing on five fields: the research tools and methods in gene expression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sequencing study, GABAB receptor research, microarray technology applied in diseases, the relationship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microRNAs and diseases and the codon and transcription ,with a mainly object of gene. The evolutionary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relationships between each specifics cluster will be described in detail according to the timeline. </w:t>
      </w:r>
    </w:p>
    <w:p>
      <w:pPr>
        <w:autoSpaceDN w:val="0"/>
        <w:autoSpaceDE w:val="0"/>
        <w:widowControl/>
        <w:spacing w:line="224" w:lineRule="exact" w:before="256" w:after="0"/>
        <w:ind w:left="76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3.2. The development process of Bioinformatics in Neuroscience </w:t>
      </w:r>
    </w:p>
    <w:p>
      <w:pPr>
        <w:autoSpaceDN w:val="0"/>
        <w:autoSpaceDE w:val="0"/>
        <w:widowControl/>
        <w:spacing w:line="240" w:lineRule="exact" w:before="240" w:after="0"/>
        <w:ind w:left="76" w:right="432" w:firstLine="238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Using CiteSpace II to demonstrate the development of all the clusters dynamically, we can find that 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period from 1991 to 2002, the number of Crossover study of bioinformatics and neuroscience is small; From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2003 to 2006, the research about the tools and methods of gene expression and sequence appeared in large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number and the literatures form the C1 cluster; Like C1 cluster, the literatures about GABAB receptor form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C2 cluster during the same period and the literatures about the application of the micro array technology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diseases form the C3 cluster in the period from 2007 to 2010. C4 cluster is about the relationship between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microRNA and diseases and C5 cluster is about the codon and transcriptional process. Both of these two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clusters appeared in the last two years. C1 connects C3 through two key literatures (key nodes). One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key literatures studies the synchronization in complex networks(Arenas, Díaz-Guilera et al. 2008) and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other studies the structure of material produced by Relativistic Heavy Ion Collider</w:t>
      </w:r>
      <w:r>
        <w:rPr>
          <w:rFonts w:ascii="SimSun" w:hAnsi="SimSun" w:eastAsia="SimSun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RHIC</w:t>
      </w:r>
      <w:r>
        <w:rPr>
          <w:rFonts w:ascii="SimSun" w:hAnsi="SimSun" w:eastAsia="SimSun"/>
          <w:b w:val="0"/>
          <w:i w:val="0"/>
          <w:color w:val="000000"/>
          <w:sz w:val="20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(Adcox, Adler et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al. 2005).C1 connects C4 through one key literature which is about how to use the network database DAVID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 note and summarize gene or protein identifiers(Dennis Jr, Sherman et al. 2003). Theme of C3 and C4 is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study of principle of the disease from genetic point, and C3 focuses on microarray technology, while the C4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focuses on microRNA. It is easy to see that the researches in C3 and C4 cluster are based on the researches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C1 cluster and the three key literatures provide C3 and C4’s researches with theoretical and technical guidance.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C2 and C5 can be said to develop independently because they both have no contact with the other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clusters(seen in Fig. 1.). However, because the C5 is appearing in the last two years, the researches in C5 are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hot topics. </w:t>
      </w:r>
    </w:p>
    <w:p>
      <w:pPr>
        <w:autoSpaceDN w:val="0"/>
        <w:autoSpaceDE w:val="0"/>
        <w:widowControl/>
        <w:spacing w:line="228" w:lineRule="exact" w:before="252" w:after="0"/>
        <w:ind w:left="76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4. Conclusion </w:t>
      </w:r>
    </w:p>
    <w:p>
      <w:pPr>
        <w:autoSpaceDN w:val="0"/>
        <w:tabs>
          <w:tab w:pos="314" w:val="left"/>
        </w:tabs>
        <w:autoSpaceDE w:val="0"/>
        <w:widowControl/>
        <w:spacing w:line="240" w:lineRule="exact" w:before="240" w:after="0"/>
        <w:ind w:left="76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Bioinformatics and neuroscience are both important subjects in biological sciences and play a very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important role in the development of life sciences and natural sciences. Through the statistical and visual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analysis of the research literatures downloaded from the Web of Science database of which the theme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bioinformatics and subject area is “Neuroscience Neurology” with Citespace II, the study has the following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conclusions: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First, five research fields are found in the cross-cutting areas of Bioinformatics and Neuroscience. C1’s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theme is the research tools and methods of gene expression and sequence, C2’s theme is research on GABAB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receptor, C3’s theme is the application of the micro array technology in diseases study, C4’s theme is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relationship between microRNA and diseases and C5’s theme is the research on the codon and transcriptional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process. From the content of the research, we find that bioinformatics research in the field of neuroscience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mainly about the use of gene technology in disease study. </w:t>
      </w:r>
    </w:p>
    <w:p>
      <w:pPr>
        <w:autoSpaceDN w:val="0"/>
        <w:autoSpaceDE w:val="0"/>
        <w:widowControl/>
        <w:spacing w:line="240" w:lineRule="exact" w:before="0" w:after="0"/>
        <w:ind w:left="76" w:right="432" w:firstLine="238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Second, from the development process of the five clusters, we can see that researches of bioinformatics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neuroscience started after 2003. Between 1991 and 2003, there were almost no researches appearing. This </w:t>
      </w:r>
    </w:p>
    <w:p>
      <w:pPr>
        <w:sectPr>
          <w:pgSz w:w="10885" w:h="14854"/>
          <w:pgMar w:top="368" w:right="646" w:bottom="1256" w:left="680" w:header="720" w:footer="720" w:gutter="0"/>
          <w:cols w:space="720" w:num="1" w:equalWidth="0">
            <w:col w:w="9560" w:space="0"/>
            <w:col w:w="9206" w:space="0"/>
            <w:col w:w="9558" w:space="0"/>
            <w:col w:w="9210" w:space="0"/>
            <w:col w:w="96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484" w:val="left"/>
        </w:tabs>
        <w:autoSpaceDE w:val="0"/>
        <w:widowControl/>
        <w:spacing w:line="180" w:lineRule="exact" w:before="0" w:after="0"/>
        <w:ind w:left="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364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Qing Xu et al. /  AASRI Procedia  1 ( 2012 )  359 – 364 </w:t>
      </w:r>
    </w:p>
    <w:p>
      <w:pPr>
        <w:autoSpaceDN w:val="0"/>
        <w:autoSpaceDE w:val="0"/>
        <w:widowControl/>
        <w:spacing w:line="240" w:lineRule="exact" w:before="352" w:after="0"/>
        <w:ind w:left="72" w:right="20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happened because from 1991 to 2003 was the genomic era when the human genome project just began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bioinformatics had been formed, but still in its infancy and the subject knowledge and technology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bioinformatics was not mature. Therefore, few researches in the field of neuroscience appeared. From 2003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post-genomic era because the job of sequencing of the human genome project was basically completed. 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time, academia had a higher demand for gene sequencing and gene expression studies and the tools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methods of gene expression and sequencing was improved which not only promoted the development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bioinformatics, but also promoted the bioinformatics researches’ development in the field of neuroscience. </w:t>
      </w:r>
    </w:p>
    <w:p>
      <w:pPr>
        <w:autoSpaceDN w:val="0"/>
        <w:autoSpaceDE w:val="0"/>
        <w:widowControl/>
        <w:spacing w:line="228" w:lineRule="exact" w:before="476" w:after="0"/>
        <w:ind w:left="7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 xml:space="preserve">References </w:t>
      </w:r>
    </w:p>
    <w:p>
      <w:pPr>
        <w:autoSpaceDN w:val="0"/>
        <w:tabs>
          <w:tab w:pos="496" w:val="left"/>
        </w:tabs>
        <w:autoSpaceDE w:val="0"/>
        <w:widowControl/>
        <w:spacing w:line="226" w:lineRule="exact" w:before="202" w:after="0"/>
        <w:ind w:left="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[1]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Chen C. The centrality of pivotal points in the evolution of scientific networks: ACM; 2005. </w:t>
      </w:r>
    </w:p>
    <w:p>
      <w:pPr>
        <w:autoSpaceDN w:val="0"/>
        <w:tabs>
          <w:tab w:pos="496" w:val="left"/>
        </w:tabs>
        <w:autoSpaceDE w:val="0"/>
        <w:widowControl/>
        <w:spacing w:line="230" w:lineRule="exact" w:before="0" w:after="0"/>
        <w:ind w:left="72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[2]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Altschul SF, Gish W, Miller W, Myers EW,Lipman DJ. Basic local alignment search tool. Journal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molecular biology 1990;215:403-10. </w:t>
      </w:r>
    </w:p>
    <w:p>
      <w:pPr>
        <w:autoSpaceDN w:val="0"/>
        <w:tabs>
          <w:tab w:pos="496" w:val="left"/>
        </w:tabs>
        <w:autoSpaceDE w:val="0"/>
        <w:widowControl/>
        <w:spacing w:line="230" w:lineRule="exact" w:before="0" w:after="0"/>
        <w:ind w:left="72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[3]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Eisen MB, Spellman PT, Brown PO,Botstein D. Cluster analysis and display of genome-wide expression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patterns. Proceedings of the National Academy of Sciences 1998;95:14863. </w:t>
      </w:r>
    </w:p>
    <w:p>
      <w:pPr>
        <w:autoSpaceDN w:val="0"/>
        <w:tabs>
          <w:tab w:pos="496" w:val="left"/>
        </w:tabs>
        <w:autoSpaceDE w:val="0"/>
        <w:widowControl/>
        <w:spacing w:line="230" w:lineRule="exact" w:before="0" w:after="0"/>
        <w:ind w:left="72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[4]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Dennis Jr G, Sherman BT, Hosack DA, Yang J, Gao W, Lane HC,Lempicki RA. DAVID: database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annotation, visualization, and integrated discovery. Genome Biol 2003;4:P3. </w:t>
      </w:r>
    </w:p>
    <w:p>
      <w:pPr>
        <w:autoSpaceDN w:val="0"/>
        <w:tabs>
          <w:tab w:pos="498" w:val="left"/>
        </w:tabs>
        <w:autoSpaceDE w:val="0"/>
        <w:widowControl/>
        <w:spacing w:line="230" w:lineRule="exact" w:before="0" w:after="0"/>
        <w:ind w:left="72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[5]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Margeta-Mitrovic M, Jan YN,Jan LY. Function of GB1 and GB2 subunits in G protein coupling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GABAB receptors. Science's STKE 2001;98:14649. </w:t>
      </w:r>
    </w:p>
    <w:p>
      <w:pPr>
        <w:autoSpaceDN w:val="0"/>
        <w:tabs>
          <w:tab w:pos="496" w:val="left"/>
        </w:tabs>
        <w:autoSpaceDE w:val="0"/>
        <w:widowControl/>
        <w:spacing w:line="230" w:lineRule="exact" w:before="0" w:after="0"/>
        <w:ind w:left="72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[6]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Mezler M, Müller T,Raming K. Cloning and functional expression of GABAB receptors from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Drosophila. European Journal of Neuroscience 2001;13:477-86. </w:t>
      </w:r>
    </w:p>
    <w:p>
      <w:pPr>
        <w:autoSpaceDN w:val="0"/>
        <w:tabs>
          <w:tab w:pos="496" w:val="left"/>
        </w:tabs>
        <w:autoSpaceDE w:val="0"/>
        <w:widowControl/>
        <w:spacing w:line="230" w:lineRule="exact" w:before="0" w:after="0"/>
        <w:ind w:left="72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[7]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Robinson WH, Fontoura P, Lee BJ, de Vegvar HEN, Tom J, Pedotti R, DiGennaro CD, Mitchell DJ,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Fong D,Ho PPK. Protein microarrays guide tolerizing DNA vaccine treatment of autoimmune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encephalomyelitis. Nature biotechnology 2003;21:1033-9. </w:t>
      </w:r>
    </w:p>
    <w:p>
      <w:pPr>
        <w:autoSpaceDN w:val="0"/>
        <w:tabs>
          <w:tab w:pos="496" w:val="left"/>
        </w:tabs>
        <w:autoSpaceDE w:val="0"/>
        <w:widowControl/>
        <w:spacing w:line="230" w:lineRule="exact" w:before="0" w:after="0"/>
        <w:ind w:left="72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[8]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Rickman DS, Bobek MP, Misek DE, Kuick R, Blaivas M, Kurnit DM, Taylor J,Hanash SM. Distinctive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molecular profiles of high-grade and low-grade gliomas based on oligonucleotide microarray analysis. Cancer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research 2001;61:6885. </w:t>
      </w:r>
    </w:p>
    <w:p>
      <w:pPr>
        <w:autoSpaceDN w:val="0"/>
        <w:tabs>
          <w:tab w:pos="496" w:val="left"/>
        </w:tabs>
        <w:autoSpaceDE w:val="0"/>
        <w:widowControl/>
        <w:spacing w:line="230" w:lineRule="exact" w:before="0" w:after="0"/>
        <w:ind w:left="72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[9]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Lu J, Getz G, Miska EA, Alvarez-Saavedra E, Lamb J, Peck D, Sweet-Cordero A, Ebert BL, Mak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RH,Ferrando AA. MicroRNA expression profiles classify human cancers. nature 2005;435:834-8. </w:t>
      </w:r>
    </w:p>
    <w:p>
      <w:pPr>
        <w:autoSpaceDN w:val="0"/>
        <w:autoSpaceDE w:val="0"/>
        <w:widowControl/>
        <w:spacing w:line="228" w:lineRule="exact" w:before="4" w:after="0"/>
        <w:ind w:left="72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[10] Sethi P,Lukiw WJ. Micro-RNA abundance and stability in human brain: specific alterations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Alzheimer's disease temporal lobe neocortex. Neuroscience letters 2009;459:100-4. </w:t>
      </w:r>
    </w:p>
    <w:p>
      <w:pPr>
        <w:autoSpaceDN w:val="0"/>
        <w:autoSpaceDE w:val="0"/>
        <w:widowControl/>
        <w:spacing w:line="232" w:lineRule="exact" w:before="0" w:after="0"/>
        <w:ind w:left="72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[11] Liu NK, Wang XF, Lu QB,Xu XM. Altered microRNA expression following traumatic spinal cord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injury. Experimental neurology 2009;219:424-9. </w:t>
      </w:r>
    </w:p>
    <w:p>
      <w:pPr>
        <w:autoSpaceDN w:val="0"/>
        <w:autoSpaceDE w:val="0"/>
        <w:widowControl/>
        <w:spacing w:line="228" w:lineRule="exact" w:before="0" w:after="0"/>
        <w:ind w:left="72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[12] Grantham R, Gautier C, Gouy M, Mercier R,Pave A. Codon catalog usage and the genome hypothesis.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Nucleic acids research 1980;8:197-. </w:t>
      </w:r>
    </w:p>
    <w:p>
      <w:pPr>
        <w:autoSpaceDN w:val="0"/>
        <w:autoSpaceDE w:val="0"/>
        <w:widowControl/>
        <w:spacing w:line="230" w:lineRule="exact" w:before="2" w:after="0"/>
        <w:ind w:left="72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[13] Oda K, Arakawa H, Tanaka T, Matsuda K, Tanikawa C, Mori T, Nishimori H, Tamai K, Tokino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T,Nakamura Y. p53AIP1, a potential mediator of p53-dependent apoptosis, and its regulation by Ser-46-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phosphorylated p53. Cell 2000;102:849. </w:t>
      </w:r>
    </w:p>
    <w:p>
      <w:pPr>
        <w:autoSpaceDN w:val="0"/>
        <w:autoSpaceDE w:val="0"/>
        <w:widowControl/>
        <w:spacing w:line="228" w:lineRule="exact" w:before="2" w:after="0"/>
        <w:ind w:left="72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[14] Castro-Chavez F. Most used codons per amino acid and per genome in the code of man compared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other organisms according to the rotating circular genetic code. NeuroQuantology 2011;9. </w:t>
      </w:r>
    </w:p>
    <w:p>
      <w:pPr>
        <w:autoSpaceDN w:val="0"/>
        <w:autoSpaceDE w:val="0"/>
        <w:widowControl/>
        <w:spacing w:line="228" w:lineRule="exact" w:before="4" w:after="0"/>
        <w:ind w:left="72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[15] Arenas A, Díaz-Guilera A, Kurths J, Moreno Y,Zhou C. Synchronization in complex networks. Physics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Reports 2008;469:93-153. </w:t>
      </w:r>
    </w:p>
    <w:p>
      <w:pPr>
        <w:autoSpaceDN w:val="0"/>
        <w:autoSpaceDE w:val="0"/>
        <w:widowControl/>
        <w:spacing w:line="228" w:lineRule="exact" w:before="4" w:after="0"/>
        <w:ind w:left="72" w:right="23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[16] Adcox K, Adler S, Afanasiev S, Aidala C, Ajitanand N, Akiba Y, Al-Jamel A, Alexander J, Amirikas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R,Aoki K. Formation of dense partonic matter in relativistic nucleus–nucleus collisions at RHIC: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Experimental evaluation by the PHENIX Collaboration. Nuclear Physics A 2005;757:184-283. </w:t>
      </w:r>
    </w:p>
    <w:sectPr w:rsidR="00FC693F" w:rsidRPr="0006063C" w:rsidSect="00034616">
      <w:pgSz w:w="10885" w:h="14854"/>
      <w:pgMar w:top="368" w:right="1058" w:bottom="1440" w:left="624" w:header="720" w:footer="720" w:gutter="0"/>
      <w:cols w:space="720" w:num="1" w:equalWidth="0">
        <w:col w:w="9204" w:space="0"/>
        <w:col w:w="9560" w:space="0"/>
        <w:col w:w="9206" w:space="0"/>
        <w:col w:w="9558" w:space="0"/>
        <w:col w:w="9210" w:space="0"/>
        <w:col w:w="962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