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1445260</wp:posOffset>
            </wp:positionH>
            <wp:positionV relativeFrom="page">
              <wp:posOffset>572770</wp:posOffset>
            </wp:positionV>
            <wp:extent cx="327659" cy="32459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3245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571500</wp:posOffset>
            </wp:positionV>
            <wp:extent cx="4064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2"/>
        <w:gridCol w:w="3242"/>
        <w:gridCol w:w="3242"/>
      </w:tblGrid>
      <w:tr>
        <w:trPr>
          <w:trHeight w:hRule="exact" w:val="2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363393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2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2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6 ( 2014 )  123 – 130 </w:t>
            </w:r>
          </w:p>
        </w:tc>
        <w:tc>
          <w:tcPr>
            <w:tcW w:type="dxa" w:w="324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0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Computational Intelligence and Bioinformatics </w:t>
      </w:r>
    </w:p>
    <w:p>
      <w:pPr>
        <w:autoSpaceDN w:val="0"/>
        <w:autoSpaceDE w:val="0"/>
        <w:widowControl/>
        <w:spacing w:line="245" w:lineRule="auto" w:before="260" w:after="0"/>
        <w:ind w:left="576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The Developmental Changes of mRNAs Expression Levels of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GHSR Gene in Sheep </w:t>
      </w:r>
    </w:p>
    <w:p>
      <w:pPr>
        <w:autoSpaceDN w:val="0"/>
        <w:autoSpaceDE w:val="0"/>
        <w:widowControl/>
        <w:spacing w:line="230" w:lineRule="auto" w:before="2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Zhiguo Huang*, Chunhui Wei, Huibo Luo, Minghong Bian, Jie Deng, Yanmei Liu </w:t>
      </w:r>
    </w:p>
    <w:p>
      <w:pPr>
        <w:autoSpaceDN w:val="0"/>
        <w:autoSpaceDE w:val="0"/>
        <w:widowControl/>
        <w:spacing w:line="202" w:lineRule="exact" w:before="160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Liquor-making Biotechnology &amp; Application key Laboratory of Sichuan Province, Sichuan University of Science &amp; Engineering , Zigong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643000, China; </w:t>
      </w:r>
    </w:p>
    <w:p>
      <w:pPr>
        <w:autoSpaceDN w:val="0"/>
        <w:autoSpaceDE w:val="0"/>
        <w:widowControl/>
        <w:spacing w:line="206" w:lineRule="exact" w:before="946" w:after="0"/>
        <w:ind w:left="41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34" w:after="0"/>
        <w:ind w:left="418" w:right="41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Different age group of Male Kazak sheep and Xinjiang fine wool sheep were used in the current  study to investigate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developmental changes of GHSR mRNA expression. After measurement of body weight, hypothalamus and pituitary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were sampled to extract total RNA for determining the abundance of GHSR mRNA by RT-PCR and real-time PCR.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results indicated that: (1) For both breeds, body weight among different ages was significantly different (P&lt;0.05), and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from day 30 to 90, the Kazak’s was notable higher than the Xinjiang’s (P&lt;0.01); (2) Hypothalamus GHSR mRNAs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expression level increased firstly and then declined with growing in both breeds. From day 60 to 90, the mRNAs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expression level of the Kazak was extremely higher than that of the Xinjiang (P&lt;0.01); (3) Pituitary GHSR mRNAs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expression level increased with growing in both breeds, and was highly positively correlated with the cumulative growth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curves. From day 2 to 90, the pituitary GHSR expression level of the Kazak was extremely higher than that of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Xinjiang (P&lt;0.01). The results predicated that it may be pituitary GHSR but not hypothalamus GHSR through which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ghrelin influenced sheep growing. </w:t>
      </w:r>
    </w:p>
    <w:p>
      <w:pPr>
        <w:autoSpaceDN w:val="0"/>
        <w:autoSpaceDE w:val="0"/>
        <w:widowControl/>
        <w:spacing w:line="245" w:lineRule="auto" w:before="214" w:after="0"/>
        <w:ind w:left="41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© 2013 Zhiguo Huang � , Chunhui Wei, Huibo 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uo, Minghong Bian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Jie Deng,Yanmei Liu. Published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Elsevier B.V. Selection and/or peer review under responsibility of American Applied Science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Institute </w:t>
      </w:r>
    </w:p>
    <w:p>
      <w:pPr>
        <w:autoSpaceDN w:val="0"/>
        <w:autoSpaceDE w:val="0"/>
        <w:widowControl/>
        <w:spacing w:line="178" w:lineRule="exact" w:before="256" w:after="0"/>
        <w:ind w:left="41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Keywords: sheep, GHSR, expression, real-time PCR </w:t>
      </w:r>
    </w:p>
    <w:p>
      <w:pPr>
        <w:autoSpaceDN w:val="0"/>
        <w:autoSpaceDE w:val="0"/>
        <w:widowControl/>
        <w:spacing w:line="206" w:lineRule="exact" w:before="1174" w:after="0"/>
        <w:ind w:left="656" w:right="41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+86-813-5506666; Fax: +86-0813-5506666.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hzguo@suse.edu.cn. </w:t>
      </w:r>
    </w:p>
    <w:p>
      <w:pPr>
        <w:autoSpaceDN w:val="0"/>
        <w:autoSpaceDE w:val="0"/>
        <w:widowControl/>
        <w:spacing w:line="180" w:lineRule="exact" w:before="190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Published by Elsevier B. V. </w:t>
      </w: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Open access under</w:t>
      </w:r>
      <w:r>
        <w:rPr>
          <w:rFonts w:ascii="TimesNewRomanPSMT" w:hAnsi="TimesNewRomanPSMT" w:eastAsia="TimesNewRomanPSMT"/>
          <w:b w:val="0"/>
          <w:i w:val="0"/>
          <w:color w:val="0000FF"/>
          <w:sz w:val="1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14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10.1016/j.aasri.2014.05.018 </w:t>
      </w:r>
    </w:p>
    <w:p>
      <w:pPr>
        <w:sectPr>
          <w:pgSz w:w="10885" w:h="14854"/>
          <w:pgMar w:top="438" w:right="534" w:bottom="218" w:left="624" w:header="720" w:footer="720" w:gutter="0"/>
          <w:cols w:space="720" w:num="1" w:equalWidth="0"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Zhiguo Huang et al. /  AASRI Procedia  6 ( 2014 )  123 – 130 </w:t>
      </w:r>
    </w:p>
    <w:p>
      <w:pPr>
        <w:autoSpaceDN w:val="0"/>
        <w:autoSpaceDE w:val="0"/>
        <w:widowControl/>
        <w:spacing w:line="230" w:lineRule="exact" w:before="368" w:after="0"/>
        <w:ind w:left="27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5" w:lineRule="auto" w:before="250" w:after="0"/>
        <w:ind w:left="276" w:right="43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GHSR was a protein firstly identified from human and porcine hypothalamus and pituitary , which mainly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acts as promotion factor of GH secretion. Howard et al. (1996) cloned GHSR cDNA and proved that GHSR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a G protein-coupled receptor, being a seven transmembrane � helix protein receptor . There are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subtypes of GHSR , GHSR Ia and Ib . </w:t>
      </w:r>
    </w:p>
    <w:p>
      <w:pPr>
        <w:autoSpaceDN w:val="0"/>
        <w:autoSpaceDE w:val="0"/>
        <w:widowControl/>
        <w:spacing w:line="245" w:lineRule="auto" w:before="18" w:after="0"/>
        <w:ind w:left="276" w:right="43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expression of GHSR mRNA is researched by in situ hybridization or an RNase protection assay mainly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ventromedial nucleus of the hypothalamus and in the pituitary (Guan, X.M. et al . 1997). The main function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GHSR is to promote GH secretion and release in conjunction with GHS, which is closely correlative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animal growth. </w:t>
      </w:r>
    </w:p>
    <w:p>
      <w:pPr>
        <w:autoSpaceDN w:val="0"/>
        <w:autoSpaceDE w:val="0"/>
        <w:widowControl/>
        <w:spacing w:line="245" w:lineRule="auto" w:before="18" w:after="0"/>
        <w:ind w:left="276" w:right="43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article, male Kazak sheep and Xinjiang fine wool sheep, with different growth rates during the early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growth period, were selected to study the developmental changes of GHSR mRNA expression developmental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changes and explored the effect of GHSR on growing, so as to provide referrence for the study on sheep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growth. </w:t>
      </w:r>
    </w:p>
    <w:p>
      <w:pPr>
        <w:autoSpaceDN w:val="0"/>
        <w:autoSpaceDE w:val="0"/>
        <w:widowControl/>
        <w:spacing w:line="228" w:lineRule="exact" w:before="258" w:after="0"/>
        <w:ind w:left="27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Materials and Methods </w:t>
      </w:r>
    </w:p>
    <w:p>
      <w:pPr>
        <w:autoSpaceDN w:val="0"/>
        <w:autoSpaceDE w:val="0"/>
        <w:widowControl/>
        <w:spacing w:line="224" w:lineRule="exact" w:before="256" w:after="0"/>
        <w:ind w:left="2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2.1. Animals </w:t>
      </w:r>
    </w:p>
    <w:p>
      <w:pPr>
        <w:autoSpaceDN w:val="0"/>
        <w:autoSpaceDE w:val="0"/>
        <w:widowControl/>
        <w:spacing w:line="240" w:lineRule="exact" w:before="232" w:after="0"/>
        <w:ind w:left="27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Twenty-four male Kazak sheep and thirty male Xinjiang fine wool sheep, six for each different age group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(days 2, 30, 60, 90, and 120), were selected from the Ziniquan Sheep Pasture in Shihezi City of Xinjiang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Autonomous Region for the present study; however, there was no 120-day-old Kazak sheep.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measurement of body weight, animals were slaughtered for sampling hypothalamus and pituitary.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removed samples were stored at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70°C for total RNA analysis later. </w:t>
      </w:r>
    </w:p>
    <w:p>
      <w:pPr>
        <w:autoSpaceDN w:val="0"/>
        <w:autoSpaceDE w:val="0"/>
        <w:widowControl/>
        <w:spacing w:line="226" w:lineRule="exact" w:before="260" w:after="0"/>
        <w:ind w:left="2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2.2. Primer design </w:t>
      </w:r>
    </w:p>
    <w:p>
      <w:pPr>
        <w:autoSpaceDN w:val="0"/>
        <w:autoSpaceDE w:val="0"/>
        <w:widowControl/>
        <w:spacing w:line="245" w:lineRule="auto" w:before="250" w:after="0"/>
        <w:ind w:left="276" w:right="46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the gene sequences of ovine GHSR and GAPDH (glyceraldehyde-3-phosphate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dehydrogenase) mRNA, oligonucleotide primer sets for the three genes were designed using Primer premier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5.0 software and described in detail in table 1. GAPDH was used as an internal standard for the determination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targeted mRNA levels. </w:t>
      </w:r>
    </w:p>
    <w:p>
      <w:pPr>
        <w:autoSpaceDN w:val="0"/>
        <w:autoSpaceDE w:val="0"/>
        <w:widowControl/>
        <w:spacing w:line="233" w:lineRule="auto" w:before="222" w:after="244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1. Parameters of gene-specific primers for ghrelin, GHSR and GAPDH genes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2.0" w:type="dxa"/>
      </w:tblPr>
      <w:tblGrid>
        <w:gridCol w:w="1927"/>
        <w:gridCol w:w="1927"/>
        <w:gridCol w:w="1927"/>
        <w:gridCol w:w="1927"/>
        <w:gridCol w:w="1927"/>
      </w:tblGrid>
      <w:tr>
        <w:trPr>
          <w:trHeight w:hRule="exact" w:val="196"/>
        </w:trPr>
        <w:tc>
          <w:tcPr>
            <w:tcW w:type="dxa" w:w="776"/>
            <w:tcBorders>
              <w:top w:sz="12.0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Target </w:t>
            </w:r>
          </w:p>
        </w:tc>
        <w:tc>
          <w:tcPr>
            <w:tcW w:type="dxa" w:w="1400"/>
            <w:tcBorders>
              <w:top w:sz="12.0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GenBank </w:t>
            </w:r>
          </w:p>
        </w:tc>
        <w:tc>
          <w:tcPr>
            <w:tcW w:type="dxa" w:w="2880"/>
            <w:vMerge w:val="restart"/>
            <w:tcBorders>
              <w:top w:sz="12.0" w:val="single" w:color="#008000"/>
              <w:bottom w:sz="5.600000000000364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Primer Sequence </w:t>
            </w:r>
          </w:p>
        </w:tc>
        <w:tc>
          <w:tcPr>
            <w:tcW w:type="dxa" w:w="800"/>
            <w:tcBorders>
              <w:top w:sz="12.0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Product</w:t>
            </w:r>
          </w:p>
        </w:tc>
        <w:tc>
          <w:tcPr>
            <w:tcW w:type="dxa" w:w="1996"/>
            <w:vMerge w:val="restart"/>
            <w:tcBorders>
              <w:top w:sz="12.0" w:val="single" w:color="#008000"/>
              <w:bottom w:sz="5.600000000000364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Annealing temperature (ºC) </w:t>
            </w:r>
          </w:p>
        </w:tc>
      </w:tr>
      <w:tr>
        <w:trPr>
          <w:trHeight w:hRule="exact" w:val="196"/>
        </w:trPr>
        <w:tc>
          <w:tcPr>
            <w:tcW w:type="dxa" w:w="776"/>
            <w:tcBorders>
              <w:bottom w:sz="5.600000000000364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genes </w:t>
            </w:r>
          </w:p>
        </w:tc>
        <w:tc>
          <w:tcPr>
            <w:tcW w:type="dxa" w:w="1400"/>
            <w:tcBorders>
              <w:bottom w:sz="5.600000000000364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Accession number </w:t>
            </w:r>
          </w:p>
        </w:tc>
        <w:tc>
          <w:tcPr>
            <w:tcW w:type="dxa" w:w="1927"/>
            <w:vMerge/>
            <w:tcBorders>
              <w:top w:sz="12.0" w:val="single" w:color="#008000"/>
              <w:bottom w:sz="5.600000000000364" w:val="single" w:color="#008000"/>
            </w:tcBorders>
          </w:tcPr>
          <w:p/>
        </w:tc>
        <w:tc>
          <w:tcPr>
            <w:tcW w:type="dxa" w:w="800"/>
            <w:tcBorders>
              <w:bottom w:sz="5.600000000000364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Size (bp)</w:t>
            </w:r>
          </w:p>
        </w:tc>
        <w:tc>
          <w:tcPr>
            <w:tcW w:type="dxa" w:w="1927"/>
            <w:vMerge/>
            <w:tcBorders>
              <w:top w:sz="12.0" w:val="single" w:color="#008000"/>
              <w:bottom w:sz="5.600000000000364" w:val="single" w:color="#008000"/>
            </w:tcBorders>
          </w:tcPr>
          <w:p/>
        </w:tc>
      </w:tr>
      <w:tr>
        <w:trPr>
          <w:trHeight w:hRule="exact" w:val="284"/>
        </w:trPr>
        <w:tc>
          <w:tcPr>
            <w:tcW w:type="dxa" w:w="776"/>
            <w:vMerge w:val="restart"/>
            <w:tcBorders>
              <w:top w:sz="5.600000000000364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GHSR </w:t>
            </w:r>
          </w:p>
        </w:tc>
        <w:tc>
          <w:tcPr>
            <w:tcW w:type="dxa" w:w="1400"/>
            <w:tcBorders>
              <w:top w:sz="5.600000000000364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GenBank </w:t>
            </w:r>
          </w:p>
        </w:tc>
        <w:tc>
          <w:tcPr>
            <w:tcW w:type="dxa" w:w="2880"/>
            <w:tcBorders>
              <w:top w:sz="5.600000000000364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P1: 5’-CGACCCTCGGGACACTAA-3’</w:t>
            </w:r>
          </w:p>
        </w:tc>
        <w:tc>
          <w:tcPr>
            <w:tcW w:type="dxa" w:w="800"/>
            <w:vMerge w:val="restart"/>
            <w:tcBorders>
              <w:top w:sz="5.600000000000364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174 </w:t>
            </w:r>
          </w:p>
        </w:tc>
        <w:tc>
          <w:tcPr>
            <w:tcW w:type="dxa" w:w="1996"/>
            <w:vMerge w:val="restart"/>
            <w:tcBorders>
              <w:top w:sz="5.600000000000364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58 </w:t>
            </w:r>
          </w:p>
        </w:tc>
      </w:tr>
      <w:tr>
        <w:trPr>
          <w:trHeight w:hRule="exact" w:val="280"/>
        </w:trPr>
        <w:tc>
          <w:tcPr>
            <w:tcW w:type="dxa" w:w="1927"/>
            <w:vMerge/>
            <w:tcBorders>
              <w:top w:sz="5.600000000000364" w:val="single" w:color="#008000"/>
            </w:tcBorders>
          </w:tcPr>
          <w:p/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AF118636 </w:t>
            </w:r>
          </w:p>
        </w:tc>
        <w:tc>
          <w:tcPr>
            <w:tcW w:type="dxa" w:w="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P2: 5’-ACCACTTCGCTGCGTCTT-3’ </w:t>
            </w:r>
          </w:p>
        </w:tc>
        <w:tc>
          <w:tcPr>
            <w:tcW w:type="dxa" w:w="1927"/>
            <w:vMerge/>
            <w:tcBorders>
              <w:top w:sz="5.600000000000364" w:val="single" w:color="#008000"/>
            </w:tcBorders>
          </w:tcPr>
          <w:p/>
        </w:tc>
        <w:tc>
          <w:tcPr>
            <w:tcW w:type="dxa" w:w="1927"/>
            <w:vMerge/>
            <w:tcBorders>
              <w:top w:sz="5.600000000000364" w:val="single" w:color="#008000"/>
            </w:tcBorders>
          </w:tcPr>
          <w:p/>
        </w:tc>
      </w:tr>
      <w:tr>
        <w:trPr>
          <w:trHeight w:hRule="exact" w:val="280"/>
        </w:trPr>
        <w:tc>
          <w:tcPr>
            <w:tcW w:type="dxa" w:w="776"/>
            <w:vMerge w:val="restart"/>
            <w:tcBorders>
              <w:bottom w:sz="12.0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GAPDH </w:t>
            </w:r>
          </w:p>
        </w:tc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GenBank </w:t>
            </w:r>
          </w:p>
        </w:tc>
        <w:tc>
          <w:tcPr>
            <w:tcW w:type="dxa" w:w="2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P1: 5’-ACTTTGGCATCGTGGAGG-3’</w:t>
            </w:r>
          </w:p>
        </w:tc>
        <w:tc>
          <w:tcPr>
            <w:tcW w:type="dxa" w:w="800"/>
            <w:vMerge w:val="restart"/>
            <w:tcBorders>
              <w:bottom w:sz="12.0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379 </w:t>
            </w:r>
          </w:p>
        </w:tc>
        <w:tc>
          <w:tcPr>
            <w:tcW w:type="dxa" w:w="1996"/>
            <w:vMerge w:val="restart"/>
            <w:tcBorders>
              <w:bottom w:sz="12.0" w:val="single" w:color="#008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56 </w:t>
            </w:r>
          </w:p>
        </w:tc>
      </w:tr>
      <w:tr>
        <w:trPr>
          <w:trHeight w:hRule="exact" w:val="312"/>
        </w:trPr>
        <w:tc>
          <w:tcPr>
            <w:tcW w:type="dxa" w:w="1927"/>
            <w:vMerge/>
            <w:tcBorders>
              <w:bottom w:sz="12.0" w:val="single" w:color="#008000"/>
            </w:tcBorders>
          </w:tcPr>
          <w:p/>
        </w:tc>
        <w:tc>
          <w:tcPr>
            <w:tcW w:type="dxa" w:w="1400"/>
            <w:tcBorders>
              <w:bottom w:sz="12.0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AF030943 </w:t>
            </w:r>
          </w:p>
        </w:tc>
        <w:tc>
          <w:tcPr>
            <w:tcW w:type="dxa" w:w="2880"/>
            <w:tcBorders>
              <w:bottom w:sz="12.0" w:val="single" w:color="#008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P2: 5’-GAAGAGTGAGTGTCGCTGTTG-3’</w:t>
            </w:r>
          </w:p>
        </w:tc>
        <w:tc>
          <w:tcPr>
            <w:tcW w:type="dxa" w:w="1927"/>
            <w:vMerge/>
            <w:tcBorders>
              <w:bottom w:sz="12.0" w:val="single" w:color="#008000"/>
            </w:tcBorders>
          </w:tcPr>
          <w:p/>
        </w:tc>
        <w:tc>
          <w:tcPr>
            <w:tcW w:type="dxa" w:w="1927"/>
            <w:vMerge/>
            <w:tcBorders>
              <w:bottom w:sz="12.0" w:val="single" w:color="#008000"/>
            </w:tcBorders>
          </w:tcPr>
          <w:p/>
        </w:tc>
      </w:tr>
    </w:tbl>
    <w:p>
      <w:pPr>
        <w:autoSpaceDN w:val="0"/>
        <w:autoSpaceDE w:val="0"/>
        <w:widowControl/>
        <w:spacing w:line="224" w:lineRule="exact" w:before="258" w:after="0"/>
        <w:ind w:left="2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2.3. Total RNA extraction </w:t>
      </w:r>
    </w:p>
    <w:p>
      <w:pPr>
        <w:autoSpaceDN w:val="0"/>
        <w:autoSpaceDE w:val="0"/>
        <w:widowControl/>
        <w:spacing w:line="245" w:lineRule="auto" w:before="252" w:after="0"/>
        <w:ind w:left="276" w:right="46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the acid-guanidinium thiocyanate/phenol chloroform extraction method to extract the total RNA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hypothalamus and pituitary (GAO et al. 2003 ). RNA concentration and purity was detected by its optical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density ratio at 260/280 nm (OD260 /OD280=1.8–2.0). </w:t>
      </w:r>
    </w:p>
    <w:p>
      <w:pPr>
        <w:sectPr>
          <w:pgSz w:w="10885" w:h="14854"/>
          <w:pgMar w:top="368" w:right="596" w:bottom="798" w:left="652" w:header="720" w:footer="720" w:gutter="0"/>
          <w:cols w:space="720" w:num="1" w:equalWidth="0"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28" w:val="left"/>
        </w:tabs>
        <w:autoSpaceDE w:val="0"/>
        <w:widowControl/>
        <w:spacing w:line="176" w:lineRule="exact" w:before="0" w:after="0"/>
        <w:ind w:left="27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Zhiguo Huang et al. /  AASRI Procedia  6 ( 2014 )  123 – 130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125</w:t>
      </w:r>
    </w:p>
    <w:p>
      <w:pPr>
        <w:autoSpaceDN w:val="0"/>
        <w:autoSpaceDE w:val="0"/>
        <w:widowControl/>
        <w:spacing w:line="224" w:lineRule="exact" w:before="376" w:after="0"/>
        <w:ind w:left="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2.4. Reverse transcription (RT) </w:t>
      </w:r>
    </w:p>
    <w:p>
      <w:pPr>
        <w:autoSpaceDN w:val="0"/>
        <w:autoSpaceDE w:val="0"/>
        <w:widowControl/>
        <w:spacing w:line="238" w:lineRule="exact" w:before="252" w:after="0"/>
        <w:ind w:left="192" w:right="41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micrograms of total RNA was used for reverse transcription in a final volume of 25 �L containing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 U MMLV reverse transcriptase (Promega, Inc. Madison, USA), 20 U RNase inhibitor (Promega, Inc.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Madison, USA), 1 �g of random primer, 5 �L of 5×RT buffer (250 mmol/L Tris-HCl pH8.3, 50 mmol/L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MgCl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250 mmol/L KCl, 50 mmol/L DTT, 2.5 mmol/L Spermidine), and 0.4 mmol/L each of dNTP. RNA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sample, random primer, dNTP, and sterile H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 (final volume 10 �L) were first mixed in a 0.5-mL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microcentrifuge tube and incubated at 70ºC for 5 min, and cooled on ice for 2 min. The rest of the reagents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were then added into the reaction tube to a final volume of 25 �L and incubated at 37ºC for 1 h. The reaction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terminated by heating at 95ºC for 5 min and quickly cooled on ice. RT products were stored at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20ºC. </w:t>
      </w:r>
    </w:p>
    <w:p>
      <w:pPr>
        <w:autoSpaceDN w:val="0"/>
        <w:autoSpaceDE w:val="0"/>
        <w:widowControl/>
        <w:spacing w:line="224" w:lineRule="exact" w:before="262" w:after="0"/>
        <w:ind w:left="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2.5. Polymerase chain reaction (PCR) </w:t>
      </w:r>
    </w:p>
    <w:p>
      <w:pPr>
        <w:autoSpaceDN w:val="0"/>
        <w:autoSpaceDE w:val="0"/>
        <w:widowControl/>
        <w:spacing w:line="250" w:lineRule="auto" w:before="250" w:after="0"/>
        <w:ind w:left="192" w:right="41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RT products (0.5 μL) were amplified in a 10 μL PCR reaction containing 1 U Taq DNA polymerase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(TaKaRa, Inc. Dalian, China), 1 �L of 10×PCR buffer (100 mmol/L Tris-HCl pH 8.3, 500 mmol/L KCl), 0.25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mmol/L each of dNTP, 1.25 mmol/L MgCl2, and 0.5 �mol/L each of gene-specific primers. </w:t>
      </w:r>
    </w:p>
    <w:p>
      <w:pPr>
        <w:autoSpaceDN w:val="0"/>
        <w:autoSpaceDE w:val="0"/>
        <w:widowControl/>
        <w:spacing w:line="245" w:lineRule="auto" w:before="0" w:after="0"/>
        <w:ind w:left="192" w:right="41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following amplification conditions were used: one cycle of 1 min at 94ºC followed by 40 PCR cycles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30 s at 94ºC, 30 s at the annealing temperature of the primers, 30 s at 72ºC, and a final extension for 5 min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72ºC.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product of PCR was isolated by 8% polyacrylamide gel electrophoresis, after silver staining,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subsequently analyzed with a computer flatbed scanner. </w:t>
      </w:r>
    </w:p>
    <w:p>
      <w:pPr>
        <w:autoSpaceDN w:val="0"/>
        <w:autoSpaceDE w:val="0"/>
        <w:widowControl/>
        <w:spacing w:line="224" w:lineRule="exact" w:before="264" w:after="0"/>
        <w:ind w:left="1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2.6. Cloning and sequence analysis of the amplified fragments </w:t>
      </w:r>
    </w:p>
    <w:p>
      <w:pPr>
        <w:autoSpaceDN w:val="0"/>
        <w:autoSpaceDE w:val="0"/>
        <w:widowControl/>
        <w:spacing w:line="247" w:lineRule="auto" w:before="250" w:after="0"/>
        <w:ind w:left="192" w:right="41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PCR products were excised after being confirmed by electrophoresis on a 1% agarose gel and purified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V-gene DNA Purification Kit (V-gene Biotechnology, Ltd. Hangzhou, China) according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manufacturer’s manual and then cloned into pMD18-T simple vector. Subsequently, the ligation products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were transformed into JM109 cells. Positive clones based on blue-white selection were picked out for plasmid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extraction by V-gene Kit (V-gene Biotechnology, Ltd. Hangzhou, China) according to the manufacturer’s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recommendation and then identified by PCR using gene-specific primers. Plasmids containing inserts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right size were sequenced by Invitrogen Biotechnology Co., Ltd. (Shanghai, China). </w:t>
      </w:r>
    </w:p>
    <w:p>
      <w:pPr>
        <w:autoSpaceDN w:val="0"/>
        <w:autoSpaceDE w:val="0"/>
        <w:widowControl/>
        <w:spacing w:line="228" w:lineRule="exact" w:before="25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2.7.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Real-time polymerase chain reaction (real-time PCR)</w:t>
      </w:r>
    </w:p>
    <w:p>
      <w:pPr>
        <w:autoSpaceDN w:val="0"/>
        <w:autoSpaceDE w:val="0"/>
        <w:widowControl/>
        <w:spacing w:line="247" w:lineRule="auto" w:before="252" w:after="0"/>
        <w:ind w:left="192" w:right="41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abundance of GHSR mRNA was estimated by real-time reverse transcription polymerase chain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reaction with a fluorescence temperature cycler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(DNA Engine Opticon Real-time PCR Systems, MJ Research,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Inc., Waltham, Massachusetts, USA). The final reaction volume was 20 �L containing 1 �L of the 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products, 1 U EX Taq HS DNA polymerase (TaKaRa, Inc. Dalian, China), 4 �L of 5×PCR buffer, 0.3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mmol/L each of dNTP, 3.75 mmol/L MgCl2, 0.5 �mol/L each of primers, and 1 �L of 20×SYBR green. PCR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 were as follows: one cycle of 1 min at 95ºC; 45 PCR cycles of 10 s at 95ºC, 10 s at the annealing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temperature of the primers, 15 s at 72ºC, plate-reading; this was followed by an extension of 10 min at 72ºC;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plate-reading every other 0.2ºC from 65ºC to 94ºC for drawing melting curves; and then the reaction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stopped with an extension of 5 min at 72ºC. </w:t>
      </w:r>
    </w:p>
    <w:p>
      <w:pPr>
        <w:autoSpaceDN w:val="0"/>
        <w:tabs>
          <w:tab w:pos="430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reactions were repeated twice for every sample. Plasmid DNA with the targeted DNA fragment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diluted to gradient concentrations, which were used to draw quantitative standard curves. </w:t>
      </w:r>
    </w:p>
    <w:p>
      <w:pPr>
        <w:sectPr>
          <w:pgSz w:w="10885" w:h="14854"/>
          <w:pgMar w:top="368" w:right="532" w:bottom="798" w:left="850" w:header="720" w:footer="720" w:gutter="0"/>
          <w:cols w:space="720" w:num="1" w:equalWidth="0">
            <w:col w:w="9504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2946400</wp:posOffset>
            </wp:positionV>
            <wp:extent cx="2667000" cy="1790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9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Zhiguo Huang et al. /  AASRI Procedia  6 ( 2014 )  123 – 130 </w:t>
      </w:r>
    </w:p>
    <w:p>
      <w:pPr>
        <w:autoSpaceDN w:val="0"/>
        <w:autoSpaceDE w:val="0"/>
        <w:widowControl/>
        <w:spacing w:line="224" w:lineRule="exact" w:before="374" w:after="128"/>
        <w:ind w:left="2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2.8. Statistical analyses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7.99999999999997" w:type="dxa"/>
      </w:tblPr>
      <w:tblGrid>
        <w:gridCol w:w="3208"/>
        <w:gridCol w:w="3208"/>
        <w:gridCol w:w="3208"/>
      </w:tblGrid>
      <w:tr>
        <w:trPr>
          <w:trHeight w:hRule="exact" w:val="36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Data were described as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x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 xml:space="preserve"> �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Sd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statistics was analyzed using SPSS11.5 For Windows Software.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44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Differences of body weight and gene expression level between ages in the same breed, and those at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 between the two breeds were analyzed by one-way ANOVA and independent-samples t-test, respectively. </w:t>
      </w:r>
    </w:p>
    <w:p>
      <w:pPr>
        <w:autoSpaceDN w:val="0"/>
        <w:autoSpaceDE w:val="0"/>
        <w:widowControl/>
        <w:spacing w:line="230" w:lineRule="exact" w:before="258" w:after="0"/>
        <w:ind w:left="27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Results </w:t>
      </w:r>
    </w:p>
    <w:p>
      <w:pPr>
        <w:autoSpaceDN w:val="0"/>
        <w:autoSpaceDE w:val="0"/>
        <w:widowControl/>
        <w:spacing w:line="224" w:lineRule="exact" w:before="256" w:after="0"/>
        <w:ind w:left="2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3.1. Cumulative growth curves </w:t>
      </w:r>
    </w:p>
    <w:p>
      <w:pPr>
        <w:autoSpaceDN w:val="0"/>
        <w:autoSpaceDE w:val="0"/>
        <w:widowControl/>
        <w:spacing w:line="245" w:lineRule="auto" w:before="250" w:after="0"/>
        <w:ind w:left="276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showed that for both Sheep breeds, body weight among different ages was significantly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(P&lt;0.05). And from day 30 to 90, the body weight of the Kazak was extremely higher than that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Xinjiang (P&lt;0.01) (Fig. 1). </w:t>
      </w:r>
    </w:p>
    <w:p>
      <w:pPr>
        <w:autoSpaceDN w:val="0"/>
        <w:autoSpaceDE w:val="0"/>
        <w:widowControl/>
        <w:spacing w:line="185" w:lineRule="auto" w:before="198" w:after="12"/>
        <w:ind w:left="0" w:right="6934" w:firstLine="0"/>
        <w:jc w:val="right"/>
      </w:pPr>
      <w:r>
        <w:rPr>
          <w:w w:val="97.57312536239624"/>
          <w:rFonts w:ascii="SimSun" w:hAnsi="SimSun" w:eastAsia="SimSun"/>
          <w:b w:val="0"/>
          <w:i w:val="0"/>
          <w:color w:val="000000"/>
          <w:sz w:val="16"/>
        </w:rPr>
        <w:t>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8.0" w:type="dxa"/>
      </w:tblPr>
      <w:tblGrid>
        <w:gridCol w:w="1604"/>
        <w:gridCol w:w="1604"/>
        <w:gridCol w:w="1604"/>
        <w:gridCol w:w="1604"/>
        <w:gridCol w:w="1604"/>
        <w:gridCol w:w="1604"/>
      </w:tblGrid>
      <w:tr>
        <w:trPr>
          <w:trHeight w:hRule="exact" w:val="270"/>
        </w:trPr>
        <w:tc>
          <w:tcPr>
            <w:tcW w:type="dxa" w:w="136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96" w:after="0"/>
              <w:ind w:left="0" w:right="0" w:firstLine="0"/>
              <w:jc w:val="center"/>
            </w:pPr>
            <w:r>
              <w:rPr>
                <w:w w:val="101.12947162828947"/>
                <w:rFonts w:ascii="SimSun" w:hAnsi="SimSun" w:eastAsia="SimSun"/>
                <w:b w:val="0"/>
                <w:i w:val="0"/>
                <w:color w:val="000000"/>
                <w:sz w:val="19"/>
              </w:rPr>
              <w:t>���������������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8" w:after="0"/>
              <w:ind w:left="80" w:right="0" w:firstLine="0"/>
              <w:jc w:val="left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42" w:after="0"/>
              <w:ind w:left="0" w:right="334" w:firstLine="0"/>
              <w:jc w:val="right"/>
            </w:pPr>
            <w:r>
              <w:rPr>
                <w:w w:val="101.6146146334134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A</w:t>
            </w:r>
          </w:p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2" w:after="0"/>
              <w:ind w:left="0" w:right="0" w:firstLine="0"/>
              <w:jc w:val="center"/>
            </w:pPr>
            <w:r>
              <w:rPr>
                <w:w w:val="101.6146146334134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B**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4" w:after="0"/>
              <w:ind w:left="0" w:right="0" w:firstLine="0"/>
              <w:jc w:val="center"/>
            </w:pPr>
            <w:r>
              <w:rPr>
                <w:w w:val="101.6146146334134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C**</w:t>
            </w:r>
          </w:p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328" w:right="0" w:firstLine="0"/>
              <w:jc w:val="left"/>
            </w:pPr>
            <w:r>
              <w:rPr>
                <w:w w:val="101.61461463341345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D**</w:t>
            </w:r>
          </w:p>
        </w:tc>
      </w:tr>
      <w:tr>
        <w:trPr>
          <w:trHeight w:hRule="exact" w:val="320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6" w:after="0"/>
              <w:ind w:left="80" w:right="0" w:firstLine="0"/>
              <w:jc w:val="left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726" w:firstLine="0"/>
              <w:jc w:val="right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</w:t>
            </w:r>
          </w:p>
        </w:tc>
      </w:tr>
      <w:tr>
        <w:trPr>
          <w:trHeight w:hRule="exact" w:val="300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4" w:after="0"/>
              <w:ind w:left="80" w:right="0" w:firstLine="0"/>
              <w:jc w:val="left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3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0" w:after="0"/>
              <w:ind w:left="424" w:right="0" w:firstLine="0"/>
              <w:jc w:val="left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d</w:t>
            </w:r>
          </w:p>
        </w:tc>
      </w:tr>
      <w:tr>
        <w:trPr>
          <w:trHeight w:hRule="exact" w:val="280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80" w:right="0" w:firstLine="0"/>
              <w:jc w:val="left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8" w:after="0"/>
              <w:ind w:left="80" w:right="0" w:firstLine="0"/>
              <w:jc w:val="left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64" w:after="0"/>
              <w:ind w:left="0" w:right="0" w:firstLine="0"/>
              <w:jc w:val="center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</w:t>
            </w:r>
          </w:p>
        </w:tc>
        <w:tc>
          <w:tcPr>
            <w:tcW w:type="dxa" w:w="8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</w:t>
            </w:r>
          </w:p>
        </w:tc>
        <w:tc>
          <w:tcPr>
            <w:tcW w:type="dxa" w:w="3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0" w:after="0"/>
              <w:ind w:left="316" w:right="0" w:firstLine="0"/>
              <w:jc w:val="left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male Kazak sheep</w:t>
            </w:r>
          </w:p>
        </w:tc>
      </w:tr>
      <w:tr>
        <w:trPr>
          <w:trHeight w:hRule="exact" w:val="296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0" w:right="0" w:firstLine="0"/>
              <w:jc w:val="center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76" w:after="0"/>
              <w:ind w:left="0" w:right="0" w:firstLine="0"/>
              <w:jc w:val="center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0" w:firstLine="0"/>
              <w:jc w:val="center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316" w:right="0" w:firstLine="0"/>
              <w:jc w:val="left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male Xinjiang fine wool</w:t>
            </w:r>
          </w:p>
        </w:tc>
      </w:tr>
      <w:tr>
        <w:trPr>
          <w:trHeight w:hRule="exact" w:val="340"/>
        </w:trPr>
        <w:tc>
          <w:tcPr>
            <w:tcW w:type="dxa" w:w="1604"/>
            <w:vMerge/>
            <w:tcBorders/>
          </w:tcPr>
          <w:p/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4" w:after="0"/>
              <w:ind w:left="0" w:right="0" w:firstLine="0"/>
              <w:jc w:val="center"/>
            </w:pPr>
            <w:r>
              <w:rPr>
                <w:w w:val="97.57312536239624"/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1604"/>
            <w:vMerge/>
            <w:tcBorders/>
          </w:tcPr>
          <w:p/>
        </w:tc>
        <w:tc>
          <w:tcPr>
            <w:tcW w:type="dxa" w:w="3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316" w:right="0" w:firstLine="0"/>
              <w:jc w:val="left"/>
            </w:pPr>
            <w:r>
              <w:rPr>
                <w:w w:val="97.57312536239624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sheep</w:t>
            </w:r>
          </w:p>
        </w:tc>
      </w:tr>
    </w:tbl>
    <w:p>
      <w:pPr>
        <w:autoSpaceDN w:val="0"/>
        <w:autoSpaceDE w:val="0"/>
        <w:widowControl/>
        <w:spacing w:line="185" w:lineRule="auto" w:before="60" w:after="30"/>
        <w:ind w:left="0" w:right="6934" w:firstLine="0"/>
        <w:jc w:val="right"/>
      </w:pPr>
      <w:r>
        <w:rPr>
          <w:w w:val="97.57312536239624"/>
          <w:rFonts w:ascii="SimSun" w:hAnsi="SimSun" w:eastAsia="SimSu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1925"/>
        <w:gridCol w:w="1925"/>
        <w:gridCol w:w="1925"/>
        <w:gridCol w:w="1925"/>
        <w:gridCol w:w="1925"/>
      </w:tblGrid>
      <w:tr>
        <w:trPr>
          <w:trHeight w:hRule="exact" w:val="22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350" w:firstLine="0"/>
              <w:jc w:val="right"/>
            </w:pPr>
            <w:r>
              <w:rPr>
                <w:w w:val="102.93357031685966"/>
                <w:rFonts w:ascii="SimSun" w:hAnsi="SimSun" w:eastAsia="SimSu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w w:val="102.93357031685966"/>
                <w:rFonts w:ascii="SimSun" w:hAnsi="SimSun" w:eastAsia="SimSun"/>
                <w:b w:val="0"/>
                <w:i w:val="0"/>
                <w:color w:val="000000"/>
                <w:sz w:val="14"/>
              </w:rPr>
              <w:t>��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w w:val="102.93357031685966"/>
                <w:rFonts w:ascii="SimSun" w:hAnsi="SimSun" w:eastAsia="SimSun"/>
                <w:b w:val="0"/>
                <w:i w:val="0"/>
                <w:color w:val="000000"/>
                <w:sz w:val="14"/>
              </w:rPr>
              <w:t>��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0" w:right="0" w:firstLine="0"/>
              <w:jc w:val="center"/>
            </w:pPr>
            <w:r>
              <w:rPr>
                <w:w w:val="102.93357031685966"/>
                <w:rFonts w:ascii="SimSun" w:hAnsi="SimSun" w:eastAsia="SimSun"/>
                <w:b w:val="0"/>
                <w:i w:val="0"/>
                <w:color w:val="000000"/>
                <w:sz w:val="14"/>
              </w:rPr>
              <w:t>��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360" w:right="0" w:firstLine="0"/>
              <w:jc w:val="left"/>
            </w:pPr>
            <w:r>
              <w:rPr>
                <w:w w:val="102.93357031685966"/>
                <w:rFonts w:ascii="SimSun" w:hAnsi="SimSun" w:eastAsia="SimSun"/>
                <w:b w:val="0"/>
                <w:i w:val="0"/>
                <w:color w:val="000000"/>
                <w:sz w:val="14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185" w:lineRule="auto" w:before="50" w:after="0"/>
        <w:ind w:left="0" w:right="4334" w:firstLine="0"/>
        <w:jc w:val="right"/>
      </w:pPr>
      <w:r>
        <w:rPr>
          <w:w w:val="101.12947162828947"/>
          <w:rFonts w:ascii="SimSun" w:hAnsi="SimSun" w:eastAsia="SimSun"/>
          <w:b w:val="0"/>
          <w:i w:val="0"/>
          <w:color w:val="000000"/>
          <w:sz w:val="19"/>
        </w:rPr>
        <w:t>��������</w:t>
      </w:r>
    </w:p>
    <w:p>
      <w:pPr>
        <w:autoSpaceDN w:val="0"/>
        <w:autoSpaceDE w:val="0"/>
        <w:widowControl/>
        <w:spacing w:line="233" w:lineRule="auto" w:before="314" w:after="0"/>
        <w:ind w:left="2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Cumulative growth curves of Kazak sheep and Xinjiang fine wool sheep. </w:t>
      </w:r>
    </w:p>
    <w:p>
      <w:pPr>
        <w:autoSpaceDN w:val="0"/>
        <w:autoSpaceDE w:val="0"/>
        <w:widowControl/>
        <w:spacing w:line="252" w:lineRule="auto" w:before="22" w:after="0"/>
        <w:ind w:left="27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Significant difference is denoted with letters (the capital for the Xinjiang and the small for the Kazak) and means without a common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superscript indicate significant differences (P&lt;0.05) between ages in the same breed. Double stars ** indicate extreme differences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(P&lt;0.05) between breeds at the same age. </w:t>
      </w:r>
    </w:p>
    <w:p>
      <w:pPr>
        <w:autoSpaceDN w:val="0"/>
        <w:autoSpaceDE w:val="0"/>
        <w:widowControl/>
        <w:spacing w:line="224" w:lineRule="exact" w:before="264" w:after="0"/>
        <w:ind w:left="2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3.2. RT-PCR of GHSR and GAPDH genes and sequence analysis of the amplified fragments </w:t>
      </w:r>
    </w:p>
    <w:p>
      <w:pPr>
        <w:autoSpaceDN w:val="0"/>
        <w:autoSpaceDE w:val="0"/>
        <w:widowControl/>
        <w:spacing w:line="245" w:lineRule="auto" w:before="252" w:after="0"/>
        <w:ind w:left="276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Total RNA from the abomasum and hypothalamus of Kazak sheep was used as an initial sample to amplify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GHSR and GAPDH genes by RT-PCR, which produced a 174bp and a 379 bp cDNA fragment, respectively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(Fig. 2). </w:t>
      </w:r>
    </w:p>
    <w:p>
      <w:pPr>
        <w:autoSpaceDN w:val="0"/>
        <w:autoSpaceDE w:val="0"/>
        <w:widowControl/>
        <w:spacing w:line="247" w:lineRule="auto" w:before="18" w:after="0"/>
        <w:ind w:left="276" w:right="44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amplified GHSR and GAPDH cDNA fragments were then cloned into pMD18-T simple vector.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ligation,the plasmids containing inserts of the right size being sequenced were used to identify the products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PCR using gene-specific primers (Fig. 3). The sequences of the amplified fragments were aligned by DNAstar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software with the corresponding reported sequences according to which the gene-specific primers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designed. The results showed that (1) There was 98.85% sequence identity for the GHSR gene; (2) There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100% sequence identity for the GAPDH gene. These results indicated that the amplified cDNA fragments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two genes were gene-specific products. </w:t>
      </w:r>
    </w:p>
    <w:p>
      <w:pPr>
        <w:sectPr>
          <w:pgSz w:w="10885" w:h="14854"/>
          <w:pgMar w:top="368" w:right="610" w:bottom="798" w:left="652" w:header="720" w:footer="720" w:gutter="0"/>
          <w:cols w:space="720" w:num="1" w:equalWidth="0">
            <w:col w:w="9623" w:space="0"/>
            <w:col w:w="9504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5067300</wp:posOffset>
            </wp:positionV>
            <wp:extent cx="2222500" cy="1498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498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070" w:val="left"/>
        </w:tabs>
        <w:autoSpaceDE w:val="0"/>
        <w:widowControl/>
        <w:spacing w:line="176" w:lineRule="exact" w:before="0" w:after="0"/>
        <w:ind w:left="26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Zhiguo Huang et al. /  AASRI Procedia  6 ( 2014 )  123 – 130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127</w:t>
      </w:r>
    </w:p>
    <w:p>
      <w:pPr>
        <w:autoSpaceDN w:val="0"/>
        <w:autoSpaceDE w:val="0"/>
        <w:widowControl/>
        <w:spacing w:line="230" w:lineRule="auto" w:before="430" w:after="2"/>
        <w:ind w:left="0" w:right="30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1        2        3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4         5          6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92.0" w:type="dxa"/>
      </w:tblPr>
      <w:tblGrid>
        <w:gridCol w:w="4722"/>
        <w:gridCol w:w="4722"/>
      </w:tblGrid>
      <w:tr>
        <w:trPr>
          <w:trHeight w:hRule="exact" w:val="940"/>
        </w:trPr>
        <w:tc>
          <w:tcPr>
            <w:tcW w:type="dxa" w:w="4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190bp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147bp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drawing>
                <wp:inline xmlns:a="http://schemas.openxmlformats.org/drawingml/2006/main" xmlns:pic="http://schemas.openxmlformats.org/drawingml/2006/picture">
                  <wp:extent cx="792480" cy="54101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5410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� � � � �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353bp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tabs>
                <w:tab w:pos="3502" w:val="left"/>
              </w:tabs>
              <w:autoSpaceDE w:val="0"/>
              <w:widowControl/>
              <w:spacing w:line="425" w:lineRule="auto" w:before="0" w:after="0"/>
              <w:ind w:left="112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242bp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240bp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404bp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96620" cy="54101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620" cy="5410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0" w:lineRule="auto" w:before="264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2. RT-PCR of GHSR and GAPDH mRNA. </w:t>
      </w:r>
    </w:p>
    <w:p>
      <w:pPr>
        <w:autoSpaceDN w:val="0"/>
        <w:autoSpaceDE w:val="0"/>
        <w:widowControl/>
        <w:spacing w:line="233" w:lineRule="auto" w:before="22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2-3: GHSR, 5-6: GAPDH, 1 and 4: DNA marker PUC18 DNA/Msp I. </w:t>
      </w:r>
    </w:p>
    <w:p>
      <w:pPr>
        <w:autoSpaceDN w:val="0"/>
        <w:autoSpaceDE w:val="0"/>
        <w:widowControl/>
        <w:spacing w:line="233" w:lineRule="auto" w:before="320" w:after="2"/>
        <w:ind w:left="0" w:right="30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1            2                                                          3            4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2.0" w:type="dxa"/>
      </w:tblPr>
      <w:tblGrid>
        <w:gridCol w:w="3148"/>
        <w:gridCol w:w="3148"/>
        <w:gridCol w:w="3148"/>
      </w:tblGrid>
      <w:tr>
        <w:trPr>
          <w:trHeight w:hRule="exact" w:val="320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54380" cy="53975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108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240bp </w:t>
            </w:r>
          </w:p>
        </w:tc>
        <w:tc>
          <w:tcPr>
            <w:tcW w:type="dxa" w:w="3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353bp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242bp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drawing>
                <wp:inline xmlns:a="http://schemas.openxmlformats.org/drawingml/2006/main" xmlns:pic="http://schemas.openxmlformats.org/drawingml/2006/picture">
                  <wp:extent cx="753110" cy="53975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10" cy="539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6" w:lineRule="auto" w:before="0" w:after="0"/>
              <w:ind w:left="3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404bp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60"/>
        </w:trPr>
        <w:tc>
          <w:tcPr>
            <w:tcW w:type="dxa" w:w="3148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48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190bp </w:t>
            </w:r>
          </w:p>
        </w:tc>
        <w:tc>
          <w:tcPr>
            <w:tcW w:type="dxa" w:w="3148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148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50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147bp </w:t>
            </w:r>
          </w:p>
        </w:tc>
        <w:tc>
          <w:tcPr>
            <w:tcW w:type="dxa" w:w="31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72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3. PCR of GHSR-pMD18-T and GAPDH-pMD18-T. </w:t>
      </w:r>
    </w:p>
    <w:p>
      <w:pPr>
        <w:autoSpaceDN w:val="0"/>
        <w:autoSpaceDE w:val="0"/>
        <w:widowControl/>
        <w:spacing w:line="230" w:lineRule="auto" w:before="24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1: GHSR, 4: GAPDH, 2 and 3 : DNA marker PUC18 DNA/Msp I. </w:t>
      </w:r>
    </w:p>
    <w:p>
      <w:pPr>
        <w:autoSpaceDN w:val="0"/>
        <w:autoSpaceDE w:val="0"/>
        <w:widowControl/>
        <w:spacing w:line="224" w:lineRule="exact" w:before="264" w:after="0"/>
        <w:ind w:left="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3.3. Developmental changes of GHSR mRNA expression in hypothalamus </w:t>
      </w:r>
    </w:p>
    <w:p>
      <w:pPr>
        <w:autoSpaceDN w:val="0"/>
        <w:autoSpaceDE w:val="0"/>
        <w:widowControl/>
        <w:spacing w:line="247" w:lineRule="auto" w:before="250" w:after="0"/>
        <w:ind w:left="190" w:right="3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Real-time PCR was used to quantify GHSR mRNA levels in hypothalamus of Kazak and Xinjiang fine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wool sheep at different ages. Results showed that the hypothalamus GHSR mRNAs expression 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increased firstly and then declined with growing in both breeds. From day 2 to 60, mRNAs expression level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increased continuously in both breeds and showed significantly different (P&lt;0.05) between ages except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between day 30 and day 60 in Kazak sheep (P&gt;0.05). After day 60 mRNAs expression level descended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rapidly and also showed significantly different (P&lt;0.05) between ages in both breeds. From day 60 to 90,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hypothalamus GHSR expression level of Kazak sheep was extremely lower than that of Xinjiang fine wool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sheep (P&lt;0.01) (Fig. 4). </w:t>
      </w:r>
    </w:p>
    <w:p>
      <w:pPr>
        <w:autoSpaceDN w:val="0"/>
        <w:tabs>
          <w:tab w:pos="4452" w:val="left"/>
        </w:tabs>
        <w:autoSpaceDE w:val="0"/>
        <w:widowControl/>
        <w:spacing w:line="185" w:lineRule="auto" w:before="246" w:after="0"/>
        <w:ind w:left="2494" w:right="0" w:firstLine="0"/>
        <w:jc w:val="left"/>
      </w:pPr>
      <w:r>
        <w:rPr>
          <w:w w:val="97.9183038075765"/>
          <w:rFonts w:ascii="SimSun" w:hAnsi="SimSun" w:eastAsia="SimSun"/>
          <w:b w:val="0"/>
          <w:i w:val="0"/>
          <w:color w:val="000000"/>
          <w:sz w:val="12"/>
        </w:rPr>
        <w:t>��</w:t>
      </w:r>
      <w:r>
        <w:tab/>
      </w:r>
      <w:r>
        <w:rPr>
          <w:w w:val="98.60304318941556"/>
          <w:rFonts w:ascii="SimSun" w:hAnsi="SimSun" w:eastAsia="SimSun"/>
          <w:b w:val="0"/>
          <w:i w:val="0"/>
          <w:color w:val="000000"/>
          <w:sz w:val="13"/>
        </w:rPr>
        <w:t>���</w:t>
      </w:r>
    </w:p>
    <w:p>
      <w:pPr>
        <w:autoSpaceDN w:val="0"/>
        <w:autoSpaceDE w:val="0"/>
        <w:widowControl/>
        <w:spacing w:line="185" w:lineRule="auto" w:before="84" w:after="0"/>
        <w:ind w:left="0" w:right="6828" w:firstLine="0"/>
        <w:jc w:val="right"/>
      </w:pPr>
      <w:r>
        <w:rPr>
          <w:w w:val="97.9183038075765"/>
          <w:rFonts w:ascii="SimSun" w:hAnsi="SimSun" w:eastAsia="SimSun"/>
          <w:b w:val="0"/>
          <w:i w:val="0"/>
          <w:color w:val="000000"/>
          <w:sz w:val="12"/>
        </w:rPr>
        <w:t>��</w:t>
      </w:r>
    </w:p>
    <w:p>
      <w:pPr>
        <w:autoSpaceDN w:val="0"/>
        <w:autoSpaceDE w:val="0"/>
        <w:widowControl/>
        <w:spacing w:line="185" w:lineRule="auto" w:before="96" w:after="42"/>
        <w:ind w:left="0" w:right="6828" w:firstLine="0"/>
        <w:jc w:val="right"/>
      </w:pPr>
      <w:r>
        <w:rPr>
          <w:w w:val="97.9183038075765"/>
          <w:rFonts w:ascii="SimSun" w:hAnsi="SimSun" w:eastAsia="SimSun"/>
          <w:b w:val="0"/>
          <w:i w:val="0"/>
          <w:color w:val="000000"/>
          <w:sz w:val="12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2.0" w:type="dxa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>
        <w:trPr>
          <w:trHeight w:hRule="exact" w:val="206"/>
        </w:trPr>
        <w:tc>
          <w:tcPr>
            <w:tcW w:type="dxa" w:w="134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40" w:after="0"/>
              <w:ind w:left="0" w:right="25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5"/>
              </w:rPr>
              <w:t>����������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60" w:after="0"/>
              <w:ind w:left="0" w:right="7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70" w:after="0"/>
              <w:ind w:left="84" w:right="0" w:firstLine="0"/>
              <w:jc w:val="left"/>
            </w:pPr>
            <w:r>
              <w:rPr>
                <w:w w:val="98.60304318941556"/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384" w:after="0"/>
              <w:ind w:left="0" w:right="5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20" w:after="0"/>
              <w:ind w:left="88" w:right="0" w:firstLine="0"/>
              <w:jc w:val="left"/>
            </w:pPr>
            <w:r>
              <w:rPr>
                <w:w w:val="98.60304318941556"/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6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4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7" w:lineRule="auto" w:before="1056" w:after="0"/>
              <w:ind w:left="0" w:right="26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5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10" w:after="0"/>
              <w:ind w:left="32" w:right="0" w:firstLine="0"/>
              <w:jc w:val="left"/>
            </w:pPr>
            <w:r>
              <w:rPr>
                <w:w w:val="98.60304318941556"/>
                <w:rFonts w:ascii="SimSun" w:hAnsi="SimSun" w:eastAsia="SimSun"/>
                <w:b w:val="0"/>
                <w:i w:val="0"/>
                <w:color w:val="000000"/>
                <w:sz w:val="13"/>
              </w:rPr>
              <w:t>���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54" w:after="0"/>
              <w:ind w:left="0" w:right="114" w:firstLine="0"/>
              <w:jc w:val="right"/>
            </w:pPr>
            <w:r>
              <w:rPr>
                <w:w w:val="98.60304318941556"/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2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male Kazak</w:t>
            </w:r>
          </w:p>
        </w:tc>
      </w:tr>
      <w:tr>
        <w:trPr>
          <w:trHeight w:hRule="exact" w:val="140"/>
        </w:trPr>
        <w:tc>
          <w:tcPr>
            <w:tcW w:type="dxa" w:w="859"/>
            <w:vMerge/>
            <w:tcBorders/>
          </w:tcPr>
          <w:p/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2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sheep</w:t>
            </w:r>
          </w:p>
        </w:tc>
      </w:tr>
      <w:tr>
        <w:trPr>
          <w:trHeight w:hRule="exact" w:val="204"/>
        </w:trPr>
        <w:tc>
          <w:tcPr>
            <w:tcW w:type="dxa" w:w="859"/>
            <w:vMerge/>
            <w:tcBorders/>
          </w:tcPr>
          <w:p/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8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859"/>
            <w:vMerge/>
            <w:tcBorders/>
          </w:tcPr>
          <w:p/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8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male Xinjiang</w:t>
            </w:r>
          </w:p>
        </w:tc>
      </w:tr>
      <w:tr>
        <w:trPr>
          <w:trHeight w:hRule="exact" w:val="240"/>
        </w:trPr>
        <w:tc>
          <w:tcPr>
            <w:tcW w:type="dxa" w:w="859"/>
            <w:vMerge/>
            <w:tcBorders/>
          </w:tcPr>
          <w:p/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92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2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8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fine wool</w:t>
            </w:r>
          </w:p>
        </w:tc>
      </w:tr>
      <w:tr>
        <w:trPr>
          <w:trHeight w:hRule="exact" w:val="220"/>
        </w:trPr>
        <w:tc>
          <w:tcPr>
            <w:tcW w:type="dxa" w:w="859"/>
            <w:vMerge/>
            <w:tcBorders/>
          </w:tcPr>
          <w:p/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4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859"/>
            <w:vMerge/>
            <w:tcBorders/>
          </w:tcPr>
          <w:p/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  <w:tc>
          <w:tcPr>
            <w:tcW w:type="dxa" w:w="8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5" w:lineRule="auto" w:before="48" w:after="0"/>
        <w:ind w:left="0" w:right="6828" w:firstLine="0"/>
        <w:jc w:val="right"/>
      </w:pPr>
      <w:r>
        <w:rPr>
          <w:w w:val="97.9183038075765"/>
          <w:rFonts w:ascii="SimSun" w:hAnsi="SimSun" w:eastAsia="SimSun"/>
          <w:b w:val="0"/>
          <w:i w:val="0"/>
          <w:color w:val="000000"/>
          <w:sz w:val="12"/>
        </w:rPr>
        <w:t>�</w:t>
      </w:r>
    </w:p>
    <w:p>
      <w:pPr>
        <w:autoSpaceDN w:val="0"/>
        <w:autoSpaceDE w:val="0"/>
        <w:widowControl/>
        <w:spacing w:line="182" w:lineRule="auto" w:before="96" w:after="22"/>
        <w:ind w:left="0" w:right="6828" w:firstLine="0"/>
        <w:jc w:val="right"/>
      </w:pPr>
      <w:r>
        <w:rPr>
          <w:w w:val="97.9183038075765"/>
          <w:rFonts w:ascii="SimSun" w:hAnsi="SimSun" w:eastAsia="SimSun"/>
          <w:b w:val="0"/>
          <w:i w:val="0"/>
          <w:color w:val="000000"/>
          <w:sz w:val="12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2.0" w:type="dxa"/>
      </w:tblPr>
      <w:tblGrid>
        <w:gridCol w:w="1889"/>
        <w:gridCol w:w="1889"/>
        <w:gridCol w:w="1889"/>
        <w:gridCol w:w="1889"/>
        <w:gridCol w:w="1889"/>
      </w:tblGrid>
      <w:tr>
        <w:trPr>
          <w:trHeight w:hRule="exact" w:val="17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286" w:firstLine="0"/>
              <w:jc w:val="right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��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302" w:right="0" w:firstLine="0"/>
              <w:jc w:val="left"/>
            </w:pPr>
            <w:r>
              <w:rPr>
                <w:w w:val="97.9183038075765"/>
                <w:rFonts w:ascii="SimSun" w:hAnsi="SimSun" w:eastAsia="SimSun"/>
                <w:b w:val="0"/>
                <w:i w:val="0"/>
                <w:color w:val="000000"/>
                <w:sz w:val="12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185" w:lineRule="auto" w:before="36" w:after="0"/>
        <w:ind w:left="0" w:right="4706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5"/>
        </w:rPr>
        <w:t>��������</w:t>
      </w:r>
    </w:p>
    <w:p>
      <w:pPr>
        <w:autoSpaceDN w:val="0"/>
        <w:autoSpaceDE w:val="0"/>
        <w:widowControl/>
        <w:spacing w:line="230" w:lineRule="auto" w:before="358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4. The developmental changes of hypothalamus GHSR mRNA expression. </w:t>
      </w:r>
    </w:p>
    <w:p>
      <w:pPr>
        <w:autoSpaceDN w:val="0"/>
        <w:autoSpaceDE w:val="0"/>
        <w:widowControl/>
        <w:spacing w:line="252" w:lineRule="auto" w:before="24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difference is denoted with letters and means without a common superscript (the capital for the Xinjiang and the small for the HSK)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indicate significant differences (P&lt;0.05) between ages; Double-star ** indicates extreme differences (P&lt;0.01) between breeds at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age. </w:t>
      </w:r>
    </w:p>
    <w:p>
      <w:pPr>
        <w:sectPr>
          <w:pgSz w:w="10885" w:h="14854"/>
          <w:pgMar w:top="368" w:right="532" w:bottom="940" w:left="908" w:header="720" w:footer="720" w:gutter="0"/>
          <w:cols w:space="720" w:num="1" w:equalWidth="0">
            <w:col w:w="9446" w:space="0"/>
            <w:col w:w="9623" w:space="0"/>
            <w:col w:w="9504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2260600</wp:posOffset>
            </wp:positionH>
            <wp:positionV relativeFrom="page">
              <wp:posOffset>2933700</wp:posOffset>
            </wp:positionV>
            <wp:extent cx="2133600" cy="14859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8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128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Zhiguo Huang et al. /  AASRI Procedia  6 ( 2014 )  123 – 130 </w:t>
      </w:r>
    </w:p>
    <w:p>
      <w:pPr>
        <w:autoSpaceDN w:val="0"/>
        <w:autoSpaceDE w:val="0"/>
        <w:widowControl/>
        <w:spacing w:line="224" w:lineRule="exact" w:before="374" w:after="0"/>
        <w:ind w:left="3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3.4. Developmental changes of GHSR mRNA expression in pituitary </w:t>
      </w:r>
    </w:p>
    <w:p>
      <w:pPr>
        <w:autoSpaceDN w:val="0"/>
        <w:autoSpaceDE w:val="0"/>
        <w:widowControl/>
        <w:spacing w:line="250" w:lineRule="auto" w:before="250" w:after="0"/>
        <w:ind w:left="332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Real-time PCR was used to quantify GHSR mRNA levels in pituitary of Kazak and Xinjiang fine wool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sheep at different ages. Results showed that the GHSR mRNA level developmental change patterns of the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breeds were very similar. For the two breeds, it increased continuously from day 2 and 90 and showed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significantly different (P&lt;0.05) between ages. The mRNA expression level of Xinjiang fine wool sheep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maintain steady. From day 2 to 90, the pituitary GHSR expression level of Kazak sheep was extremely higher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that of Xinjiang fine wool sheep (P&lt;0.01) ( Fig 5). In both breeds, the mRNAs expression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pituitary GHSR was highly positively correlated with that of abomasum ghrelin (r = 0.8972) (P&lt;0.01), with 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being of 0.8972 (P&lt;0.01) in Kazak sheep and 0.9364 (P&lt;0.01) in Xinjiang fine wool sheep. The patterns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pituitary GHSR mRNAs expression level changes were also highly positively correlated with those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cumulative growth curves (r = 0.9319) (P&lt;0.01) in the two breeds, with r being of 0.9740 (P&lt;0.01) in Kazak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sheep and 0.9416 (P&lt;0.01)in Xinjiang fine wool sheep. </w:t>
      </w:r>
    </w:p>
    <w:p>
      <w:pPr>
        <w:autoSpaceDN w:val="0"/>
        <w:autoSpaceDE w:val="0"/>
        <w:widowControl/>
        <w:spacing w:line="182" w:lineRule="auto" w:before="244" w:after="16"/>
        <w:ind w:left="0" w:right="4136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3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8.0" w:type="dxa"/>
      </w:tblPr>
      <w:tblGrid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>
        <w:trPr>
          <w:trHeight w:hRule="exact" w:val="28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202" w:after="0"/>
              <w:ind w:left="21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����������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114" w:after="0"/>
              <w:ind w:left="0" w:right="32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64" w:after="0"/>
              <w:ind w:left="5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64" w:after="0"/>
              <w:ind w:left="0" w:right="28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54" w:after="0"/>
              <w:ind w:left="56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14" w:after="0"/>
              <w:ind w:left="0" w:right="34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94" w:after="0"/>
              <w:ind w:left="5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2"/>
              </w:rPr>
              <w:t>���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34" w:after="0"/>
              <w:ind w:left="0" w:right="150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2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male Kazak</w:t>
            </w:r>
          </w:p>
        </w:tc>
      </w:tr>
      <w:tr>
        <w:trPr>
          <w:trHeight w:hRule="exact" w:val="420"/>
        </w:trPr>
        <w:tc>
          <w:tcPr>
            <w:tcW w:type="dxa" w:w="841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41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841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9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sheep</w:t>
            </w:r>
          </w:p>
        </w:tc>
      </w:tr>
      <w:tr>
        <w:trPr>
          <w:trHeight w:hRule="exact" w:val="210"/>
        </w:trPr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male Xinjiang</w:t>
            </w:r>
          </w:p>
        </w:tc>
      </w:tr>
      <w:tr>
        <w:trPr>
          <w:trHeight w:hRule="exact" w:val="212"/>
        </w:trPr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841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fine wool sheep</w:t>
            </w:r>
          </w:p>
        </w:tc>
      </w:tr>
    </w:tbl>
    <w:p>
      <w:pPr>
        <w:autoSpaceDN w:val="0"/>
        <w:autoSpaceDE w:val="0"/>
        <w:widowControl/>
        <w:spacing w:line="182" w:lineRule="auto" w:before="66" w:after="0"/>
        <w:ind w:left="0" w:right="6448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3"/>
        </w:rPr>
        <w:t>�</w:t>
      </w:r>
    </w:p>
    <w:p>
      <w:pPr>
        <w:autoSpaceDN w:val="0"/>
        <w:autoSpaceDE w:val="0"/>
        <w:widowControl/>
        <w:spacing w:line="185" w:lineRule="auto" w:before="290" w:after="26"/>
        <w:ind w:left="0" w:right="6448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3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1851"/>
        <w:gridCol w:w="1851"/>
        <w:gridCol w:w="1851"/>
        <w:gridCol w:w="1851"/>
        <w:gridCol w:w="1851"/>
      </w:tblGrid>
      <w:tr>
        <w:trPr>
          <w:trHeight w:hRule="exact" w:val="19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" w:after="0"/>
              <w:ind w:left="0" w:right="272" w:firstLine="0"/>
              <w:jc w:val="righ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��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" w:after="0"/>
              <w:ind w:left="26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3"/>
              </w:rPr>
              <w:t>���</w:t>
            </w:r>
          </w:p>
        </w:tc>
      </w:tr>
    </w:tbl>
    <w:p>
      <w:pPr>
        <w:autoSpaceDN w:val="0"/>
        <w:autoSpaceDE w:val="0"/>
        <w:widowControl/>
        <w:spacing w:line="185" w:lineRule="auto" w:before="34" w:after="0"/>
        <w:ind w:left="0" w:right="4410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16"/>
        </w:rPr>
        <w:t>��������</w:t>
      </w:r>
    </w:p>
    <w:p>
      <w:pPr>
        <w:autoSpaceDN w:val="0"/>
        <w:autoSpaceDE w:val="0"/>
        <w:widowControl/>
        <w:spacing w:line="233" w:lineRule="auto" w:before="410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5. The developmental changes of pituitary GHSR mRNA expression. </w:t>
      </w:r>
    </w:p>
    <w:p>
      <w:pPr>
        <w:autoSpaceDN w:val="0"/>
        <w:autoSpaceDE w:val="0"/>
        <w:widowControl/>
        <w:spacing w:line="252" w:lineRule="auto" w:before="24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The difference is denoted with letters and means without a common superscript (the capital for the Xinjiang and the small for the HSK)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indicate significant differences (P&lt;0.05) between ages; Double-star ** indicates extreme differences (P&lt;0.01) between breeds at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age. </w:t>
      </w:r>
    </w:p>
    <w:p>
      <w:pPr>
        <w:autoSpaceDN w:val="0"/>
        <w:autoSpaceDE w:val="0"/>
        <w:widowControl/>
        <w:spacing w:line="228" w:lineRule="exact" w:before="260" w:after="0"/>
        <w:ind w:left="33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4. Discussion</w:t>
      </w:r>
    </w:p>
    <w:p>
      <w:pPr>
        <w:autoSpaceDN w:val="0"/>
        <w:autoSpaceDE w:val="0"/>
        <w:widowControl/>
        <w:spacing w:line="224" w:lineRule="exact" w:before="256" w:after="0"/>
        <w:ind w:left="3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4.1. Sheep growth and development during the early growth period </w:t>
      </w:r>
    </w:p>
    <w:p>
      <w:pPr>
        <w:autoSpaceDN w:val="0"/>
        <w:autoSpaceDE w:val="0"/>
        <w:widowControl/>
        <w:spacing w:line="245" w:lineRule="auto" w:before="252" w:after="0"/>
        <w:ind w:left="332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Jia (2003) found that from day 30 to 255, the body weight of Kazak hair sheep was extremely higher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of the first filial generation (F1) of Romilly Hillys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Merino of China (Xinjiang Agricultural Reclamation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line) wool sheep. The present research showed that from day 30 to 90, the body weight of Kazak sheep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extremely higher than that of Xinjiang fine wool sheep, which predicated that the former growed more rapidly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the latter, and the results wre similar to that of Jia’s. </w:t>
      </w:r>
    </w:p>
    <w:p>
      <w:pPr>
        <w:autoSpaceDN w:val="0"/>
        <w:autoSpaceDE w:val="0"/>
        <w:widowControl/>
        <w:spacing w:line="224" w:lineRule="exact" w:before="262" w:after="0"/>
        <w:ind w:left="33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4.2. Developmental changes of GHSR mRNA expression in hypothalamus and pituitary </w:t>
      </w:r>
    </w:p>
    <w:p>
      <w:pPr>
        <w:autoSpaceDN w:val="0"/>
        <w:autoSpaceDE w:val="0"/>
        <w:widowControl/>
        <w:spacing w:line="245" w:lineRule="auto" w:before="252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GHSR expression was markedly increased in hypothalamus arcuat (ARC) and ventromedial (VMN) nuclei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GH-deficient dw/dw dwarf rats, which was restrained by bovine GH treatment. There were Similarly chang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GHRH expression, whereas NPY expression was  decreased and increased by bovine GH treatment. The </w:t>
      </w:r>
    </w:p>
    <w:p>
      <w:pPr>
        <w:sectPr>
          <w:pgSz w:w="10885" w:h="14854"/>
          <w:pgMar w:top="368" w:right="978" w:bottom="1194" w:left="652" w:header="720" w:footer="720" w:gutter="0"/>
          <w:cols w:space="720" w:num="1" w:equalWidth="0">
            <w:col w:w="9256" w:space="0"/>
            <w:col w:w="9446" w:space="0"/>
            <w:col w:w="9623" w:space="0"/>
            <w:col w:w="9504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28" w:val="left"/>
        </w:tabs>
        <w:autoSpaceDE w:val="0"/>
        <w:widowControl/>
        <w:spacing w:line="176" w:lineRule="exact" w:before="0" w:after="0"/>
        <w:ind w:left="27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Zhiguo Huang et al. /  AASRI Procedia  6 ( 2014 )  123 – 130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129</w:t>
      </w:r>
    </w:p>
    <w:p>
      <w:pPr>
        <w:autoSpaceDN w:val="0"/>
        <w:autoSpaceDE w:val="0"/>
        <w:widowControl/>
        <w:spacing w:line="247" w:lineRule="auto" w:before="370" w:after="0"/>
        <w:ind w:left="192" w:right="41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sensitivity of ARC GHSR expression to modulation by GH suggests that GHS-Rs may be involved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feedback regulation of GH (Bennett et al., 1997). According to research of Shuto et al (2002) ,they creat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transgenic (Tg) rats expressing an antisense GHSR mRNA. Tg rats had lower body weight and less adipose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tissue than did control rats. The stimulatory effect of GHS treatment on feeding was abolished and daily food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intake was reduced in Tg rats. The GHSR gene lies on human chromosome 3q26 within multiple phenotypes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linked to a quantitative trait locus strongly related to obesity and the metabolic syndrome. Baessler et al.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(2005) found that common SNPs and haplotypes within the GHSR gene region were involved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pathogenesis of human obesity . The above results suggested that GHSR was involved in the monitorship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GH secretion, adiposity, and food intake, so studying the developmental changes of sheep GHSR mRNA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expression was useful to explore sheep growth and development and the regulatory mechanisms. </w:t>
      </w:r>
    </w:p>
    <w:p>
      <w:pPr>
        <w:autoSpaceDN w:val="0"/>
        <w:autoSpaceDE w:val="0"/>
        <w:widowControl/>
        <w:spacing w:line="247" w:lineRule="auto" w:before="18" w:after="0"/>
        <w:ind w:left="192" w:right="41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present research showed that the hypothalamus GHSR mRNAs expression level in both breeds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increased firstly and then declined with growing, and that in Kazak sheep was extremely lower than that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Xinjiang fine wool sheep from day 60 to 90. From day 2 to 90, the pituitary GHSR expression level of Kazak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sheep was extremely higher than that of Xinjiang fine wool sheep, which was similar to the difference of body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weight between the two sheep breeds in the early growth period. The mRNAs expression level of pituitary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GHSR increased with growing in both breeds, and was highly positively correlated with the cumulative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growth curves, which predicated that GHSR played some role in sheep growing. </w:t>
      </w:r>
    </w:p>
    <w:p>
      <w:pPr>
        <w:autoSpaceDN w:val="0"/>
        <w:autoSpaceDE w:val="0"/>
        <w:widowControl/>
        <w:spacing w:line="247" w:lineRule="auto" w:before="18" w:after="0"/>
        <w:ind w:left="192" w:right="41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endogenous ligand of GHSR, ghrelin, was get in rat stomach tissue (Kojima et al., 1999). Ghrelin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able to stimulate the release of growth hormone (GH) after binding to GHSR. Moreover, it was soon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established that ghrelin had function in weight regulation as its administration increased food intake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caused fat and weight gain in rodents. HUANG Zhi Guo et al. (2006) studied the hypothalamus and pituitary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 and developmental changes of ghrelin mRNA expression in sheep and found ghrelin mRNA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mostly existed in abomasum and was increased steadily in the early growth period. The present research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found sheep pituitary GHSR mRNAs expression level was was highly positively correlated with abomasum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ghrelin mRNAs expression level (the data about ghrelin mRNAs expression level see in HUANG Zhi Guo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al.,  2006).The results predicated that it may be pituitary GHSR but not hypothalamus GHSR through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ghrelin influenced sheep growing. </w:t>
      </w:r>
    </w:p>
    <w:p>
      <w:pPr>
        <w:autoSpaceDN w:val="0"/>
        <w:autoSpaceDE w:val="0"/>
        <w:widowControl/>
        <w:spacing w:line="228" w:lineRule="exact" w:before="484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198" w:after="0"/>
        <w:ind w:left="19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Baessler A., Hasinoff M.J., Fischer M., Reinhard W., Sonnenberg G.E., Olivier M., Erdmann J., Schunkert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H., Doering A., Jacob H.J., Comuzzie A.G., Kissebah A.H., Kwitek A.E., 2005. Genetic linkage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association of the growth hormone secretagogue receptor (ghrelin receptor) gene in human obesity. Diabetes.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54(1), 259-67. </w:t>
      </w:r>
    </w:p>
    <w:p>
      <w:pPr>
        <w:autoSpaceDN w:val="0"/>
        <w:autoSpaceDE w:val="0"/>
        <w:widowControl/>
        <w:spacing w:line="245" w:lineRule="auto" w:before="8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Bennett P.A., Thomas G.B., Howard A.D., Feighner S.D., Van der Ploeg L.H.T., Smith R.G., Robinson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I.C.A.F., 1997. Hypothalamic growth hormone secretagogue-receptor (GHS-R) expression is regulated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growth hormone in the rat. Endocrinology. 138, 4552-4557. </w:t>
      </w:r>
    </w:p>
    <w:p>
      <w:pPr>
        <w:autoSpaceDN w:val="0"/>
        <w:autoSpaceDE w:val="0"/>
        <w:widowControl/>
        <w:spacing w:line="245" w:lineRule="auto" w:before="8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GAO Qin-Xue, 2003. Study on the Characteristics of Histology and Molecular Biology of Intramuscular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Adipose in Growing Erhualian Pigs. Thesis of Nanjing Agricultural University. </w:t>
      </w:r>
    </w:p>
    <w:p>
      <w:pPr>
        <w:autoSpaceDN w:val="0"/>
        <w:autoSpaceDE w:val="0"/>
        <w:widowControl/>
        <w:spacing w:line="245" w:lineRule="auto" w:before="6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Gnanapavan S., Kola B., Bustin S.A., Morris D.G., McGee P., Fairclough P., Bhattacharya S., Carpenter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R., Grossman A.B., Korbonits M., 2002. The tissue distribution of the mRNA of ghrelin and subtypes of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receptor, GHS-R, in humans. J. Clin. Endocrinol. Metab. 87, 2988-2991. </w:t>
      </w:r>
    </w:p>
    <w:p>
      <w:pPr>
        <w:autoSpaceDN w:val="0"/>
        <w:autoSpaceDE w:val="0"/>
        <w:widowControl/>
        <w:spacing w:line="245" w:lineRule="auto" w:before="8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Howard A.D., Feighner S.D., Cully D.F., Liberator P.A., Arena J.P., Rosenblum C.I., Hamelin M.J.,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Hreniuk D.L., Palyha O.C., Anderson J., Paress P.S., Diaz C., Chou M., Liu K., Kulju McKee K., Pong S.S.,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Chaung L.Y., Elbrecht A., Dashkevicz M., Heavens R., Rigby M., Sirinathsinghji D.J.S., Dean D.C., Melillo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D.G., Patchett A.A., Nargund R., Griffin P.R., DeMartino J.A., Gupta S.K., Schaeffer J.M., Smith R.G., Van </w:t>
      </w:r>
    </w:p>
    <w:p>
      <w:pPr>
        <w:sectPr>
          <w:pgSz w:w="10885" w:h="14854"/>
          <w:pgMar w:top="368" w:right="532" w:bottom="798" w:left="850" w:header="720" w:footer="720" w:gutter="0"/>
          <w:cols w:space="720" w:num="1" w:equalWidth="0">
            <w:col w:w="9504" w:space="0"/>
            <w:col w:w="9256" w:space="0"/>
            <w:col w:w="9446" w:space="0"/>
            <w:col w:w="9623" w:space="0"/>
            <w:col w:w="9504" w:space="0"/>
            <w:col w:w="9638" w:space="0"/>
            <w:col w:w="97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60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130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Zhiguo Huang et al. /  AASRI Procedia  6 ( 2014 )  123 – 130 </w:t>
      </w:r>
    </w:p>
    <w:p>
      <w:pPr>
        <w:autoSpaceDN w:val="0"/>
        <w:autoSpaceDE w:val="0"/>
        <w:widowControl/>
        <w:spacing w:line="245" w:lineRule="auto" w:before="360" w:after="0"/>
        <w:ind w:left="27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der Ploeg L.H.T., 1996. A receptor in pituitary and hypothalamus that functions in growth hormone release.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Science. 273, 974-977. </w:t>
      </w:r>
    </w:p>
    <w:p>
      <w:pPr>
        <w:autoSpaceDN w:val="0"/>
        <w:autoSpaceDE w:val="0"/>
        <w:widowControl/>
        <w:spacing w:line="245" w:lineRule="auto" w:before="8" w:after="0"/>
        <w:ind w:left="27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JIA Bin, 2003. Genetic analysis of xinjiang sheep by microsatellites and neuroendocrine regulation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wool growth.. Thesis of Nanjing Agricultural University. </w:t>
      </w:r>
    </w:p>
    <w:p>
      <w:pPr>
        <w:autoSpaceDN w:val="0"/>
        <w:autoSpaceDE w:val="0"/>
        <w:widowControl/>
        <w:spacing w:line="245" w:lineRule="auto" w:before="8" w:after="0"/>
        <w:ind w:left="27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Kojima M., Hosoda H., Date Y., Nakazato M., Matsuo H., Kangawa K., 1999. Ghrelin is a growth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hormone releasing acylated peptide from stomach. Nature. 402(6762), 656-660. </w:t>
      </w:r>
    </w:p>
    <w:p>
      <w:pPr>
        <w:autoSpaceDN w:val="0"/>
        <w:autoSpaceDE w:val="0"/>
        <w:widowControl/>
        <w:spacing w:line="245" w:lineRule="auto" w:before="6" w:after="0"/>
        <w:ind w:left="27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Shuto Y., Shibasaki T., Otagiri A., Kuriyama H., Ohata H., Tamura H., Kamegai J., Sugihara H., Oikawa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S., Wakabayashi I., 2002. Hypothalamic growth hormone secretagogue receptor regulates growth hormone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secretion, feeding, and adiposity. J. Clin. Invest., 109: 1429-1436. </w:t>
      </w:r>
    </w:p>
    <w:p>
      <w:pPr>
        <w:autoSpaceDN w:val="0"/>
        <w:autoSpaceDE w:val="0"/>
        <w:widowControl/>
        <w:spacing w:line="245" w:lineRule="auto" w:before="6" w:after="0"/>
        <w:ind w:left="27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HUANG Zhi Guo, XIONG Li, LIU Zhen Shan, QIAO Yong, DAI Rong, XIE Zhuang, LIU Shou Ren,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SHI Guo Qing, LIU Guo Qing, 2006. The tissue distribution and developmental changes of ghrelin mRNA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expression in sheep. Acta Genetica Sinica. 33(9), 808-813. </w:t>
      </w:r>
    </w:p>
    <w:p>
      <w:pPr>
        <w:autoSpaceDN w:val="0"/>
        <w:autoSpaceDE w:val="0"/>
        <w:widowControl/>
        <w:spacing w:line="245" w:lineRule="auto" w:before="8" w:after="0"/>
        <w:ind w:left="27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GUAN X.M., YU H., PALYHA O. C., MCKEE K. K., FEIGHNER S. D., SIRINATHSINGHJI D. J. S.,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SMITH R. G., VAN DER PLOEG L. H. T., HOWARD A. D., 1997. Distribution of mRNA encoding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growth hormone secretagogue receptor in brain and peripheral tissues. Brain Res. Mol. Brain Res. 48, 23-29. </w:t>
      </w:r>
    </w:p>
    <w:sectPr w:rsidR="00FC693F" w:rsidRPr="0006063C" w:rsidSect="00034616">
      <w:pgSz w:w="10885" w:h="14854"/>
      <w:pgMar w:top="368" w:right="700" w:bottom="798" w:left="652" w:header="720" w:footer="720" w:gutter="0"/>
      <w:cols w:space="720" w:num="1" w:equalWidth="0">
        <w:col w:w="9534" w:space="0"/>
        <w:col w:w="9504" w:space="0"/>
        <w:col w:w="9256" w:space="0"/>
        <w:col w:w="9446" w:space="0"/>
        <w:col w:w="9623" w:space="0"/>
        <w:col w:w="9504" w:space="0"/>
        <w:col w:w="9638" w:space="0"/>
        <w:col w:w="97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