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21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7.99999999999997" w:type="dxa"/>
      </w:tblPr>
      <w:tblGrid>
        <w:gridCol w:w="3241"/>
        <w:gridCol w:w="3241"/>
        <w:gridCol w:w="3241"/>
      </w:tblGrid>
      <w:tr>
        <w:trPr>
          <w:trHeight w:hRule="exact" w:val="224"/>
        </w:trPr>
        <w:tc>
          <w:tcPr>
            <w:tcW w:type="dxa" w:w="18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2" w:after="0"/>
              <w:ind w:left="5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83260" cy="75565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3260" cy="7556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 xml:space="preserve">Available online at </w:t>
            </w:r>
            <w:r>
              <w:rPr>
                <w:rFonts w:ascii="ArialMT" w:hAnsi="ArialMT" w:eastAsia="ArialMT"/>
                <w:b w:val="0"/>
                <w:i w:val="0"/>
                <w:color w:val="1C2566"/>
                <w:sz w:val="18"/>
              </w:rPr>
              <w:t>www.sciencedirect.com</w:t>
            </w:r>
          </w:p>
        </w:tc>
        <w:tc>
          <w:tcPr>
            <w:tcW w:type="dxa" w:w="28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2" w:after="0"/>
              <w:ind w:left="0" w:right="5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308100" cy="847089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8100" cy="84708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640"/>
        </w:trPr>
        <w:tc>
          <w:tcPr>
            <w:tcW w:type="dxa" w:w="3241"/>
            <w:vMerge/>
            <w:tcBorders/>
          </w:tcPr>
          <w:p/>
        </w:tc>
        <w:tc>
          <w:tcPr>
            <w:tcW w:type="dxa" w:w="4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12" w:lineRule="exact" w:before="50" w:after="0"/>
              <w:ind w:left="0" w:right="0" w:firstLine="0"/>
              <w:jc w:val="center"/>
            </w:pPr>
            <w:r>
              <w:rPr>
                <w:rFonts w:ascii="VAGRoundedStd" w:hAnsi="VAGRoundedStd" w:eastAsia="VAGRoundedStd"/>
                <w:b/>
                <w:i w:val="0"/>
                <w:color w:val="221F1F"/>
                <w:sz w:val="33"/>
              </w:rPr>
              <w:t>ScienceDirect</w:t>
            </w:r>
          </w:p>
        </w:tc>
        <w:tc>
          <w:tcPr>
            <w:tcW w:type="dxa" w:w="3241"/>
            <w:vMerge/>
            <w:tcBorders/>
          </w:tcPr>
          <w:p/>
        </w:tc>
      </w:tr>
      <w:tr>
        <w:trPr>
          <w:trHeight w:hRule="exact" w:val="552"/>
        </w:trPr>
        <w:tc>
          <w:tcPr>
            <w:tcW w:type="dxa" w:w="3241"/>
            <w:vMerge/>
            <w:tcBorders/>
          </w:tcPr>
          <w:p/>
        </w:tc>
        <w:tc>
          <w:tcPr>
            <w:tcW w:type="dxa" w:w="4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14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 xml:space="preserve"> AASRI Procedia  4 ( 2013 )  182 – 189 </w:t>
            </w:r>
          </w:p>
        </w:tc>
        <w:tc>
          <w:tcPr>
            <w:tcW w:type="dxa" w:w="3241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66" w:lineRule="exact" w:before="542" w:after="0"/>
        <w:ind w:left="185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4"/>
        </w:rPr>
        <w:t xml:space="preserve">2013 AASRI Conference on Intelligent Systems and Control </w:t>
      </w:r>
    </w:p>
    <w:p>
      <w:pPr>
        <w:autoSpaceDN w:val="0"/>
        <w:autoSpaceDE w:val="0"/>
        <w:widowControl/>
        <w:spacing w:line="376" w:lineRule="exact" w:before="262" w:after="0"/>
        <w:ind w:left="49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34"/>
        </w:rPr>
        <w:t>The Supportive System for the Processing of Human and Non-</w:t>
      </w:r>
    </w:p>
    <w:p>
      <w:pPr>
        <w:autoSpaceDN w:val="0"/>
        <w:autoSpaceDE w:val="0"/>
        <w:widowControl/>
        <w:spacing w:line="376" w:lineRule="exact" w:before="24" w:after="0"/>
        <w:ind w:left="39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34"/>
        </w:rPr>
        <w:t xml:space="preserve">Human Knowledge Sources and Combining Mining Techniques </w:t>
      </w:r>
    </w:p>
    <w:p>
      <w:pPr>
        <w:autoSpaceDN w:val="0"/>
        <w:autoSpaceDE w:val="0"/>
        <w:widowControl/>
        <w:spacing w:line="328" w:lineRule="exact" w:before="214" w:after="0"/>
        <w:ind w:left="0" w:right="3100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221F1F"/>
          <w:sz w:val="26"/>
        </w:rPr>
        <w:t>Stefan Svetsky</w:t>
      </w:r>
      <w:r>
        <w:rPr>
          <w:rFonts w:ascii="TimesNewRomanPSMT" w:hAnsi="TimesNewRomanPSMT" w:eastAsia="TimesNewRomanPSMT"/>
          <w:b w:val="0"/>
          <w:i w:val="0"/>
          <w:color w:val="221F1F"/>
          <w:sz w:val="17"/>
        </w:rPr>
        <w:t>a</w:t>
      </w:r>
      <w:r>
        <w:rPr>
          <w:rFonts w:ascii="TimesNewRomanPSMT" w:hAnsi="TimesNewRomanPSMT" w:eastAsia="TimesNewRomanPSMT"/>
          <w:b w:val="0"/>
          <w:i w:val="0"/>
          <w:color w:val="221F1F"/>
          <w:sz w:val="26"/>
        </w:rPr>
        <w:t>, Oliver Moravcik</w:t>
      </w:r>
      <w:r>
        <w:rPr>
          <w:rFonts w:ascii="TimesNewRomanPSMT" w:hAnsi="TimesNewRomanPSMT" w:eastAsia="TimesNewRomanPSMT"/>
          <w:b w:val="0"/>
          <w:i w:val="0"/>
          <w:color w:val="221F1F"/>
          <w:sz w:val="17"/>
        </w:rPr>
        <w:t>b</w:t>
      </w:r>
      <w:r>
        <w:rPr>
          <w:rFonts w:ascii="TimesNewRomanPSMT" w:hAnsi="TimesNewRomanPSMT" w:eastAsia="TimesNewRomanPSMT"/>
          <w:b w:val="0"/>
          <w:i w:val="0"/>
          <w:color w:val="221F1F"/>
          <w:sz w:val="26"/>
        </w:rPr>
        <w:t>*</w:t>
      </w:r>
    </w:p>
    <w:p>
      <w:pPr>
        <w:autoSpaceDN w:val="0"/>
        <w:autoSpaceDE w:val="0"/>
        <w:widowControl/>
        <w:spacing w:line="200" w:lineRule="exact" w:before="158" w:after="0"/>
        <w:ind w:left="538" w:right="576" w:firstLine="0"/>
        <w:jc w:val="left"/>
      </w:pPr>
      <w:r>
        <w:rPr>
          <w:rFonts w:ascii="Times" w:hAnsi="Times" w:eastAsia="Times"/>
          <w:b w:val="0"/>
          <w:i/>
          <w:color w:val="221F1F"/>
          <w:sz w:val="10"/>
        </w:rPr>
        <w:t>a</w:t>
      </w:r>
      <w:r>
        <w:rPr>
          <w:rFonts w:ascii="Times" w:hAnsi="Times" w:eastAsia="Times"/>
          <w:b w:val="0"/>
          <w:i/>
          <w:color w:val="221F1F"/>
          <w:sz w:val="16"/>
        </w:rPr>
        <w:t xml:space="preserve">Slovak University of Technology - Faculty of  Materials Science and Technology in Trnava, Paulinska 16, 917 24 Trnava, Slovakia </w:t>
      </w:r>
      <w:r>
        <w:rPr>
          <w:rFonts w:ascii="Times" w:hAnsi="Times" w:eastAsia="Times"/>
          <w:b w:val="0"/>
          <w:i/>
          <w:color w:val="221F1F"/>
          <w:sz w:val="10"/>
        </w:rPr>
        <w:t>b</w:t>
      </w:r>
      <w:r>
        <w:rPr>
          <w:rFonts w:ascii="Times" w:hAnsi="Times" w:eastAsia="Times"/>
          <w:b w:val="0"/>
          <w:i/>
          <w:color w:val="221F1F"/>
          <w:sz w:val="16"/>
        </w:rPr>
        <w:t xml:space="preserve">Slovak University of Technology - Faculty of  Materials Science and Technology in Trnava, Paulinska 16, 917 24 Trnava, Slovakia </w:t>
      </w:r>
    </w:p>
    <w:p>
      <w:pPr>
        <w:autoSpaceDN w:val="0"/>
        <w:autoSpaceDE w:val="0"/>
        <w:widowControl/>
        <w:spacing w:line="200" w:lineRule="exact" w:before="952" w:after="0"/>
        <w:ind w:left="344" w:right="0" w:firstLine="0"/>
        <w:jc w:val="left"/>
      </w:pPr>
      <w:r>
        <w:rPr>
          <w:rFonts w:ascii="Times" w:hAnsi="Times" w:eastAsia="Times"/>
          <w:b/>
          <w:i w:val="0"/>
          <w:color w:val="221F1F"/>
          <w:sz w:val="18"/>
        </w:rPr>
        <w:t xml:space="preserve">Abstract </w:t>
      </w:r>
    </w:p>
    <w:p>
      <w:pPr>
        <w:autoSpaceDN w:val="0"/>
        <w:autoSpaceDE w:val="0"/>
        <w:widowControl/>
        <w:spacing w:line="220" w:lineRule="exact" w:before="224" w:after="174"/>
        <w:ind w:left="344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In real life, an individual user must simultaneously process huge amounts of unstructured data, information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and knowledge in various uncertain processes. Moreover, one must permanently switch between them. There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are many single-purpose approaches for the processing of knowledge, mining techniques, soft computing or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knowledge based systems. However, they are not very user friendly; this is why users need many software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solutions to be sustainable. This paper refers to a multipurpose pre-programmed knowledge system called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BIKE, which enables individuals to process knowledge and computerize knowledge-based processes as an all-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in-one solution. The system works as an interactive software application based on database technology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utilizing Boolean logic. It covers several fields in informatics, ongoing from an interdisciplinary definition of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knowledge, knowledge tables, and the formulated batch knowledge-processing paradigm. This paper explains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and illustrates how it works in practice on a personal level for individuals.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7.99999999999997" w:type="dxa"/>
      </w:tblPr>
      <w:tblGrid>
        <w:gridCol w:w="9723"/>
      </w:tblGrid>
      <w:tr>
        <w:trPr>
          <w:trHeight w:hRule="exact" w:val="574"/>
        </w:trPr>
        <w:tc>
          <w:tcPr>
            <w:tcW w:type="dxa" w:w="88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60" w:after="0"/>
              <w:ind w:left="176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>© 2013 Stefan Svetsky, Oliver Moravcik. Published by Else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hyperlink r:id="rId11" w:history="1">
                <w:r>
                  <w:rPr>
                    <w:rStyle w:val="Hyperlink"/>
                  </w:rPr>
                  <w:t xml:space="preserve">vier B.V. </w:t>
                </w:r>
              </w:hyperlink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Open access under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FF"/>
                <w:sz w:val="16"/>
              </w:rPr>
              <w:hyperlink r:id="rId11" w:history="1">
                <w:r>
                  <w:rPr>
                    <w:rStyle w:val="Hyperlink"/>
                  </w:rPr>
                  <w:t>CC BY-NC-ND license.</w:t>
                </w:r>
              </w:hyperlink>
            </w:r>
          </w:p>
          <w:p>
            <w:pPr>
              <w:autoSpaceDN w:val="0"/>
              <w:autoSpaceDE w:val="0"/>
              <w:widowControl/>
              <w:spacing w:line="200" w:lineRule="exact" w:before="0" w:after="0"/>
              <w:ind w:left="168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8"/>
              </w:rPr>
              <w:t xml:space="preserve">Selection and/or peer review under responsibility of American Applied Science Research Institute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Selection and/or peer review under responsibility of American Applied Science Research Institute </w:t>
            </w:r>
          </w:p>
        </w:tc>
      </w:tr>
    </w:tbl>
    <w:p>
      <w:pPr>
        <w:autoSpaceDN w:val="0"/>
        <w:autoSpaceDE w:val="0"/>
        <w:widowControl/>
        <w:spacing w:line="178" w:lineRule="exact" w:before="190" w:after="0"/>
        <w:ind w:left="344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16"/>
        </w:rPr>
        <w:t xml:space="preserve">Keywords: 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database technology;  system for knowledge processing;  mining techniques; technology-enhanced learning; FPW 2.6a </w:t>
      </w:r>
    </w:p>
    <w:p>
      <w:pPr>
        <w:autoSpaceDN w:val="0"/>
        <w:autoSpaceDE w:val="0"/>
        <w:widowControl/>
        <w:spacing w:line="178" w:lineRule="exact" w:before="1658" w:after="0"/>
        <w:ind w:left="58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* Corresponding author. Tel.: +421 906 068165;  fax: +421 33 5511758. </w:t>
      </w:r>
    </w:p>
    <w:p>
      <w:pPr>
        <w:autoSpaceDN w:val="0"/>
        <w:autoSpaceDE w:val="0"/>
        <w:widowControl/>
        <w:spacing w:line="178" w:lineRule="exact" w:before="22" w:after="0"/>
        <w:ind w:left="582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16"/>
        </w:rPr>
        <w:t>E-mail address: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 oliver.moravcik@stuba.sk </w:t>
      </w:r>
    </w:p>
    <w:p>
      <w:pPr>
        <w:autoSpaceDN w:val="0"/>
        <w:autoSpaceDE w:val="0"/>
        <w:widowControl/>
        <w:spacing w:line="200" w:lineRule="exact" w:before="1862" w:after="0"/>
        <w:ind w:left="0" w:right="288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 xml:space="preserve">2212-6716 © 2013 The Authors. Published by Elsevier B.V.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Open access under </w:t>
      </w:r>
      <w:r>
        <w:rPr>
          <w:rFonts w:ascii="TimesNewRomanPSMT" w:hAnsi="TimesNewRomanPSMT" w:eastAsia="TimesNewRomanPSMT"/>
          <w:b w:val="0"/>
          <w:i w:val="0"/>
          <w:color w:val="0000FF"/>
          <w:sz w:val="16"/>
        </w:rPr>
        <w:hyperlink r:id="rId11" w:history="1">
          <w:r>
            <w:rPr>
              <w:rStyle w:val="Hyperlink"/>
            </w:rPr>
            <w:t xml:space="preserve">CC BY-NC-ND license. </w:t>
          </w:r>
        </w:hyperlink>
      </w:r>
      <w:r>
        <w:rPr>
          <w:rFonts w:ascii="Times" w:hAnsi="Times" w:eastAsia="Times"/>
          <w:b w:val="0"/>
          <w:i w:val="0"/>
          <w:color w:val="221F1F"/>
          <w:sz w:val="16"/>
        </w:rPr>
        <w:t>Selection and/or peer review under responsibility of American Applied Science Research Institute</w:t>
      </w:r>
    </w:p>
    <w:p>
      <w:pPr>
        <w:autoSpaceDN w:val="0"/>
        <w:autoSpaceDE w:val="0"/>
        <w:widowControl/>
        <w:spacing w:line="178" w:lineRule="exact" w:before="22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 xml:space="preserve">doi: 10.1016/j.aasri.2013.10.028 </w:t>
      </w:r>
    </w:p>
    <w:p>
      <w:pPr>
        <w:sectPr>
          <w:pgSz w:w="10885" w:h="14854"/>
          <w:pgMar w:top="438" w:right="590" w:bottom="212" w:left="572" w:header="720" w:footer="720" w:gutter="0"/>
          <w:cols w:space="720" w:num="1" w:equalWidth="0">
            <w:col w:w="9723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9160" w:val="left"/>
        </w:tabs>
        <w:autoSpaceDE w:val="0"/>
        <w:widowControl/>
        <w:spacing w:line="176" w:lineRule="exact" w:before="0" w:after="0"/>
        <w:ind w:left="2276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16"/>
        </w:rPr>
        <w:t xml:space="preserve"> Stefan Svetsky and Oliver Moravcik /  AASRI Procedia  4 ( 2013 )  182 – 189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183</w:t>
      </w:r>
    </w:p>
    <w:p>
      <w:pPr>
        <w:autoSpaceDN w:val="0"/>
        <w:autoSpaceDE w:val="0"/>
        <w:widowControl/>
        <w:spacing w:line="222" w:lineRule="exact" w:before="348" w:after="0"/>
        <w:ind w:left="190" w:right="0" w:firstLine="0"/>
        <w:jc w:val="left"/>
      </w:pPr>
      <w:r>
        <w:rPr>
          <w:rFonts w:ascii="Times" w:hAnsi="Times" w:eastAsia="Times"/>
          <w:b/>
          <w:i w:val="0"/>
          <w:color w:val="221F1F"/>
          <w:sz w:val="20"/>
        </w:rPr>
        <w:t>1.</w:t>
      </w:r>
      <w:r>
        <w:rPr>
          <w:rFonts w:ascii="Times" w:hAnsi="Times" w:eastAsia="Times"/>
          <w:b/>
          <w:i w:val="0"/>
          <w:color w:val="221F1F"/>
          <w:sz w:val="20"/>
        </w:rPr>
        <w:t xml:space="preserve">Introduction </w:t>
      </w:r>
    </w:p>
    <w:p>
      <w:pPr>
        <w:autoSpaceDN w:val="0"/>
        <w:autoSpaceDE w:val="0"/>
        <w:widowControl/>
        <w:spacing w:line="240" w:lineRule="exact" w:before="240" w:after="0"/>
        <w:ind w:left="190" w:right="436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When working with knowledge it is linked to the mental processes of the human mind. These processes are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very complex and sophisticated, that is, they are automatically uncertain and have a large variability of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potential solutions. This complicates any computer support related to the processing of data, information and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knowledge. There are many, however, just single purpose approaches for the processing of knowledge or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mining techniques, although an universal approach or software application is still missing. </w:t>
      </w:r>
    </w:p>
    <w:p>
      <w:pPr>
        <w:autoSpaceDN w:val="0"/>
        <w:autoSpaceDE w:val="0"/>
        <w:widowControl/>
        <w:spacing w:line="240" w:lineRule="exact" w:before="0" w:after="0"/>
        <w:ind w:left="190" w:right="438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Knowledge is a key element in teaching and learning, decision-making, knowledge management and other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daily-performed processes by individuals. For instance, if one has perfect software for the acquisition of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information, it does not automatically mean that it would be a suitable basis for the creation of teaching texts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(what about the quality concerning educational content?). As well, when teaching, communication, feedback,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what about quality of didactical approaches? Perhaps such software could be perfect for solving automation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within a technical system. In living systems it is uncertain that the students or individual users (via informal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learning, self - study) would understand the subject matter (it’s a long journey with many processing steps,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from the point of selecting optimal content from information sources until the transfer  into the learner’s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brain). Challenges for computer support in the view of education on an institutional level are discussed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exhaustively in [1] (regarding knowledge transfer from textbooks to global social memory). </w:t>
      </w:r>
    </w:p>
    <w:p>
      <w:pPr>
        <w:autoSpaceDN w:val="0"/>
        <w:autoSpaceDE w:val="0"/>
        <w:widowControl/>
        <w:spacing w:line="240" w:lineRule="exact" w:before="0" w:after="0"/>
        <w:ind w:left="190" w:right="438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All knowledge issues mentioned above were solved on an individual’s level within implementation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technology-enhanced learning (as one of the European Union research policy priorities) when teaching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bachelors. This resulted into developing a supportive personalised system BIKE (Batch Information and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Knowledge Editor). The core of this system forms a database application programmed within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conventional FPW 2.6a database platform. However, the application is adapted to present technology, that is,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the focus is on interoperability  with common internet browsers, Windows,  freeware, open sources, office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packages,  including other database platforms (MySQL, IBM DB2). The use of BIKE enables users to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combine informatics activities together, which would otherwise require dozens of single-purpose software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applications. The BIKE approach for processing knowledge and mining techniques is illustrated more closely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in this paper. </w:t>
      </w:r>
    </w:p>
    <w:p>
      <w:pPr>
        <w:autoSpaceDN w:val="0"/>
        <w:autoSpaceDE w:val="0"/>
        <w:widowControl/>
        <w:spacing w:line="222" w:lineRule="exact" w:before="258" w:after="0"/>
        <w:ind w:left="190" w:right="0" w:firstLine="0"/>
        <w:jc w:val="left"/>
      </w:pPr>
      <w:r>
        <w:rPr>
          <w:rFonts w:ascii="Times" w:hAnsi="Times" w:eastAsia="Times"/>
          <w:b/>
          <w:i w:val="0"/>
          <w:color w:val="221F1F"/>
          <w:sz w:val="20"/>
        </w:rPr>
        <w:t>2.</w:t>
      </w:r>
      <w:r>
        <w:rPr>
          <w:rFonts w:ascii="Times" w:hAnsi="Times" w:eastAsia="Times"/>
          <w:b/>
          <w:i w:val="0"/>
          <w:color w:val="221F1F"/>
          <w:sz w:val="20"/>
        </w:rPr>
        <w:t xml:space="preserve">The processing of knowledge within the supportive system BIKE </w:t>
      </w:r>
    </w:p>
    <w:p>
      <w:pPr>
        <w:autoSpaceDN w:val="0"/>
        <w:autoSpaceDE w:val="0"/>
        <w:widowControl/>
        <w:spacing w:line="240" w:lineRule="exact" w:before="240" w:after="0"/>
        <w:ind w:left="190" w:right="432" w:firstLine="238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The BIKE system solves the issue of processing knowledge based on the batch knowledge-processing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paradigm, the paradigm that enables a user to work with a vast amount of knowledge in real time.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knowledge is processed in batches within the knowledge tables. It is natural for humans to work with a “vast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amount” of “knowledge”. Originally, the system was not developed with the ability to process knowledge, but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was used as an aid to be sustainable in competitive market conditions. The method of how to process large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amounts of </w:t>
      </w:r>
      <w:r>
        <w:rPr>
          <w:rFonts w:ascii="Times" w:hAnsi="Times" w:eastAsia="Times"/>
          <w:b w:val="0"/>
          <w:i/>
          <w:color w:val="221F1F"/>
          <w:sz w:val="20"/>
        </w:rPr>
        <w:t>data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 and </w:t>
      </w:r>
      <w:r>
        <w:rPr>
          <w:rFonts w:ascii="Times" w:hAnsi="Times" w:eastAsia="Times"/>
          <w:b w:val="0"/>
          <w:i/>
          <w:color w:val="221F1F"/>
          <w:sz w:val="20"/>
        </w:rPr>
        <w:t>information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 was first solved within an industrial R&amp;D laboratory. Staff named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system Zapisnik (Writingpad). Afterwards in the university, this system was modified with 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knowledge </w:t>
      </w:r>
      <w:r>
        <w:rPr>
          <w:rFonts w:ascii="Times" w:hAnsi="Times" w:eastAsia="Times"/>
          <w:b w:val="0"/>
          <w:i/>
          <w:color w:val="221F1F"/>
          <w:sz w:val="20"/>
        </w:rPr>
        <w:t>processing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 by using BIKE within the implementation of technology-enhanced learning. The fundamental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question of “what is knowledge” needed a solution in order to automate teaching processes. The problem was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not only that any universal definition does not exist, but the approaches to knowledge are interdisciplinary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different (e.g. see definitions in http://oxforddictionaries.com/definition/english/knowledge). In the BIKE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system terminology, knowledge is defined as being 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a set of information structured and unstructured,   having </w:t>
      </w:r>
      <w:r>
        <w:rPr>
          <w:rFonts w:ascii="Times" w:hAnsi="Times" w:eastAsia="Times"/>
          <w:b w:val="0"/>
          <w:i/>
          <w:color w:val="221F1F"/>
          <w:sz w:val="20"/>
        </w:rPr>
        <w:t>a specified content stored in one row of the knowledge table within a default structure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 [2]. This enables an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individual to utilize the vast power of database technologies and existing programming languages. All outputs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concerning the teaching of bachelors related to the progress in developing BIKE for knowledge processing </w:t>
      </w:r>
    </w:p>
    <w:p>
      <w:pPr>
        <w:sectPr>
          <w:pgSz w:w="10885" w:h="14854"/>
          <w:pgMar w:top="368" w:right="540" w:bottom="1378" w:left="818" w:header="720" w:footer="720" w:gutter="0"/>
          <w:cols w:space="720" w:num="1" w:equalWidth="0">
            <w:col w:w="9528" w:space="0"/>
            <w:col w:w="9723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1395730</wp:posOffset>
            </wp:positionH>
            <wp:positionV relativeFrom="page">
              <wp:posOffset>2837180</wp:posOffset>
            </wp:positionV>
            <wp:extent cx="3986529" cy="3888214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6529" cy="3888214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2760" w:val="left"/>
        </w:tabs>
        <w:autoSpaceDE w:val="0"/>
        <w:widowControl/>
        <w:spacing w:line="180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184</w:t>
      </w:r>
      <w:r>
        <w:tab/>
      </w:r>
      <w:r>
        <w:rPr>
          <w:rFonts w:ascii="Times" w:hAnsi="Times" w:eastAsia="Times"/>
          <w:b w:val="0"/>
          <w:i/>
          <w:color w:val="221F1F"/>
          <w:sz w:val="16"/>
        </w:rPr>
        <w:t xml:space="preserve"> Stefan Svetsky and Oliver Moravcik /  AASRI Procedia  4 ( 2013 )  182 – 189 </w:t>
      </w:r>
    </w:p>
    <w:p>
      <w:pPr>
        <w:autoSpaceDN w:val="0"/>
        <w:autoSpaceDE w:val="0"/>
        <w:widowControl/>
        <w:spacing w:line="240" w:lineRule="exact" w:before="326" w:after="0"/>
        <w:ind w:left="262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with a focus on the  personalised approach and the automation of teaching processes, were continuously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published, e.g. in [3-5]. </w:t>
      </w:r>
    </w:p>
    <w:p>
      <w:pPr>
        <w:autoSpaceDN w:val="0"/>
        <w:autoSpaceDE w:val="0"/>
        <w:widowControl/>
        <w:spacing w:line="240" w:lineRule="exact" w:before="0" w:after="0"/>
        <w:ind w:left="262" w:right="432" w:firstLine="238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 One can imagine the system BIKE as a personal knowledge system or base which is empty at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beginning. Success in the processing of knowledge depends on the methods used for recording human or non-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human knowledge into the knowledge tables. Figure 1. (a)  illustrates examples of how content is stored in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knowledge table. It can consist from strings and texts, e.g. personal notes, ASCII characters (“non-human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knowledge source”, e.g. a stored jpg- or mp3-file), or programming code which can be edited and launched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directly from BIKE (here C++). This content in the memo-field is identified by data and information in other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columns within one row. Figure 1. (b) illustrates a typical browsable output after the conversion of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knowledge  into the  html – format. The converted content on the right window represents a scanned text from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 scientific book; the left window displays the scrollable menu containing the knowledge. </w:t>
      </w:r>
    </w:p>
    <w:p>
      <w:pPr>
        <w:autoSpaceDN w:val="0"/>
        <w:autoSpaceDE w:val="0"/>
        <w:widowControl/>
        <w:spacing w:line="222" w:lineRule="exact" w:before="4600" w:after="0"/>
        <w:ind w:left="0" w:right="2526" w:firstLine="0"/>
        <w:jc w:val="right"/>
      </w:pPr>
      <w:r>
        <w:rPr>
          <w:rFonts w:ascii="Times" w:hAnsi="Times" w:eastAsia="Times"/>
          <w:b/>
          <w:i w:val="0"/>
          <w:color w:val="221F1F"/>
          <w:sz w:val="20"/>
        </w:rPr>
        <w:t>IDEALNY_PLYN</w:t>
      </w:r>
    </w:p>
    <w:p>
      <w:pPr>
        <w:autoSpaceDN w:val="0"/>
        <w:autoSpaceDE w:val="0"/>
        <w:widowControl/>
        <w:spacing w:line="222" w:lineRule="exact" w:before="146" w:after="0"/>
        <w:ind w:left="0" w:right="3192" w:firstLine="0"/>
        <w:jc w:val="right"/>
      </w:pPr>
      <w:r>
        <w:rPr>
          <w:rFonts w:ascii="Times" w:hAnsi="Times" w:eastAsia="Times"/>
          <w:b/>
          <w:i w:val="0"/>
          <w:color w:val="221F1F"/>
          <w:sz w:val="20"/>
        </w:rPr>
        <w:t>PHP LOG</w:t>
      </w:r>
    </w:p>
    <w:p>
      <w:pPr>
        <w:autoSpaceDN w:val="0"/>
        <w:autoSpaceDE w:val="0"/>
        <w:widowControl/>
        <w:spacing w:line="222" w:lineRule="exact" w:before="130" w:after="0"/>
        <w:ind w:left="0" w:right="3078" w:firstLine="0"/>
        <w:jc w:val="right"/>
      </w:pPr>
      <w:r>
        <w:rPr>
          <w:rFonts w:ascii="Times" w:hAnsi="Times" w:eastAsia="Times"/>
          <w:b/>
          <w:i w:val="0"/>
          <w:color w:val="221F1F"/>
          <w:sz w:val="20"/>
        </w:rPr>
        <w:t>VOHEMIA</w:t>
      </w:r>
    </w:p>
    <w:p>
      <w:pPr>
        <w:autoSpaceDN w:val="0"/>
        <w:autoSpaceDE w:val="0"/>
        <w:widowControl/>
        <w:spacing w:line="222" w:lineRule="exact" w:before="98" w:after="0"/>
        <w:ind w:left="0" w:right="3070" w:firstLine="0"/>
        <w:jc w:val="right"/>
      </w:pPr>
      <w:r>
        <w:rPr>
          <w:rFonts w:ascii="Times" w:hAnsi="Times" w:eastAsia="Times"/>
          <w:b/>
          <w:i w:val="0"/>
          <w:color w:val="221F1F"/>
          <w:sz w:val="20"/>
        </w:rPr>
        <w:t>VOHEMIA</w:t>
      </w:r>
    </w:p>
    <w:p>
      <w:pPr>
        <w:autoSpaceDN w:val="0"/>
        <w:autoSpaceDE w:val="0"/>
        <w:widowControl/>
        <w:spacing w:line="222" w:lineRule="exact" w:before="118" w:after="0"/>
        <w:ind w:left="0" w:right="2496" w:firstLine="0"/>
        <w:jc w:val="right"/>
      </w:pPr>
      <w:r>
        <w:rPr>
          <w:rFonts w:ascii="Times" w:hAnsi="Times" w:eastAsia="Times"/>
          <w:b/>
          <w:i w:val="0"/>
          <w:color w:val="221F1F"/>
          <w:sz w:val="20"/>
        </w:rPr>
        <w:t>IDEALNY_PLYN</w:t>
      </w:r>
    </w:p>
    <w:p>
      <w:pPr>
        <w:autoSpaceDN w:val="0"/>
        <w:autoSpaceDE w:val="0"/>
        <w:widowControl/>
        <w:spacing w:line="222" w:lineRule="exact" w:before="128" w:after="0"/>
        <w:ind w:left="0" w:right="2488" w:firstLine="0"/>
        <w:jc w:val="right"/>
      </w:pPr>
      <w:r>
        <w:rPr>
          <w:rFonts w:ascii="Times" w:hAnsi="Times" w:eastAsia="Times"/>
          <w:b/>
          <w:i w:val="0"/>
          <w:color w:val="221F1F"/>
          <w:sz w:val="20"/>
        </w:rPr>
        <w:t>IDEALNY_PLYN</w:t>
      </w:r>
    </w:p>
    <w:p>
      <w:pPr>
        <w:autoSpaceDN w:val="0"/>
        <w:autoSpaceDE w:val="0"/>
        <w:widowControl/>
        <w:spacing w:line="176" w:lineRule="exact" w:before="494" w:after="0"/>
        <w:ind w:left="26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Fig. 1. (a) Examples of content categories in a row of the knowledge table; (b) Example of the browsable output (chemistry) </w:t>
      </w:r>
    </w:p>
    <w:p>
      <w:pPr>
        <w:autoSpaceDN w:val="0"/>
        <w:autoSpaceDE w:val="0"/>
        <w:widowControl/>
        <w:spacing w:line="240" w:lineRule="exact" w:before="242" w:after="0"/>
        <w:ind w:left="262" w:right="432" w:firstLine="238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Figure 2. (a)  illustrates a method of how people use and process  knowledge when solving their daily tasks.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Users process information from various sources (internet, personal know-how, journals, mobile phones etc.)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step-by-step through many levels to transform it into knowledge which is in their heads. This knowledge is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used to support personal processes; however, people must switch among them.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The processing of knowledge </w:t>
      </w:r>
    </w:p>
    <w:p>
      <w:pPr>
        <w:sectPr>
          <w:pgSz w:w="10885" w:h="14854"/>
          <w:pgMar w:top="368" w:right="588" w:bottom="1246" w:left="652" w:header="720" w:footer="720" w:gutter="0"/>
          <w:cols w:space="720" w:num="1" w:equalWidth="0">
            <w:col w:w="9646" w:space="0"/>
            <w:col w:w="9528" w:space="0"/>
            <w:col w:w="9723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1320800</wp:posOffset>
            </wp:positionH>
            <wp:positionV relativeFrom="page">
              <wp:posOffset>2247900</wp:posOffset>
            </wp:positionV>
            <wp:extent cx="4203700" cy="1422400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1422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1320800</wp:posOffset>
            </wp:positionH>
            <wp:positionV relativeFrom="page">
              <wp:posOffset>3924300</wp:posOffset>
            </wp:positionV>
            <wp:extent cx="3365500" cy="2984500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29845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8968" w:val="left"/>
        </w:tabs>
        <w:autoSpaceDE w:val="0"/>
        <w:widowControl/>
        <w:spacing w:line="176" w:lineRule="exact" w:before="0" w:after="0"/>
        <w:ind w:left="2084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16"/>
        </w:rPr>
        <w:t xml:space="preserve"> Stefan Svetsky and Oliver Moravcik /  AASRI Procedia  4 ( 2013 )  182 – 189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185</w:t>
      </w:r>
    </w:p>
    <w:p>
      <w:pPr>
        <w:autoSpaceDN w:val="0"/>
        <w:autoSpaceDE w:val="0"/>
        <w:widowControl/>
        <w:spacing w:line="240" w:lineRule="exact" w:before="354" w:after="0"/>
        <w:ind w:left="0" w:right="330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is cyclic, because a new knowledge output becomes an input for repeatable processing. Fig. 2. (b)  illustrates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how this works in teaching practice. In the previous years, BIKE built a supportive infrastructure that works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as a </w:t>
      </w:r>
      <w:r>
        <w:rPr>
          <w:rFonts w:ascii="Times" w:hAnsi="Times" w:eastAsia="Times"/>
          <w:b w:val="0"/>
          <w:i/>
          <w:color w:val="221F1F"/>
          <w:sz w:val="20"/>
        </w:rPr>
        <w:t>personalised technology-enhanced learning system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. One part of the system with knowledge tables is on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the teacher’s computer and the other part is placed on the faculty’s server (teaching and study content,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libraries, communication channels, calculation area, tests, etc.). This enables the teacher to solve 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automation </w:t>
      </w:r>
      <w:r>
        <w:rPr>
          <w:rFonts w:ascii="Times" w:hAnsi="Times" w:eastAsia="Times"/>
          <w:b w:val="0"/>
          <w:i/>
          <w:color w:val="221F1F"/>
          <w:sz w:val="20"/>
        </w:rPr>
        <w:t>of knowledge processing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 in order to make innovations and to design new teaching methods. Within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participatory action research, it was found that content, teaching and communication processes must be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unified in order to be computerized. Figure 2. (b) from [4] illustrates  that if we have an implemented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infrastructure and knowledge based system, we can start learning analytics and mining techniques. </w:t>
      </w:r>
    </w:p>
    <w:p>
      <w:pPr>
        <w:autoSpaceDN w:val="0"/>
        <w:autoSpaceDE w:val="0"/>
        <w:widowControl/>
        <w:spacing w:line="222" w:lineRule="exact" w:before="212" w:after="4"/>
        <w:ind w:left="1232" w:right="0" w:firstLine="0"/>
        <w:jc w:val="left"/>
      </w:pPr>
      <w:r>
        <w:rPr>
          <w:rFonts w:ascii="Times" w:hAnsi="Times" w:eastAsia="Times"/>
          <w:b/>
          <w:i w:val="0"/>
          <w:color w:val="221F1F"/>
          <w:sz w:val="20"/>
        </w:rPr>
        <w:t xml:space="preserve">Sources: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10.0" w:type="dxa"/>
      </w:tblPr>
      <w:tblGrid>
        <w:gridCol w:w="1845"/>
        <w:gridCol w:w="1845"/>
        <w:gridCol w:w="1845"/>
        <w:gridCol w:w="1845"/>
        <w:gridCol w:w="1845"/>
      </w:tblGrid>
      <w:tr>
        <w:trPr>
          <w:trHeight w:hRule="exact" w:val="216"/>
        </w:trPr>
        <w:tc>
          <w:tcPr>
            <w:tcW w:type="dxa" w:w="2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0" w:right="906" w:firstLine="0"/>
              <w:jc w:val="right"/>
            </w:pPr>
            <w:r>
              <w:rPr>
                <w:rFonts w:ascii="Times" w:hAnsi="Times" w:eastAsia="Times"/>
                <w:b/>
                <w:i w:val="0"/>
                <w:color w:val="221F1F"/>
                <w:sz w:val="20"/>
              </w:rPr>
              <w:t xml:space="preserve"> Data </w:t>
            </w:r>
          </w:p>
        </w:tc>
        <w:tc>
          <w:tcPr>
            <w:tcW w:type="dxa" w:w="1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30" w:after="0"/>
              <w:ind w:left="29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>Processing</w:t>
            </w:r>
          </w:p>
        </w:tc>
        <w:tc>
          <w:tcPr>
            <w:tcW w:type="dxa" w:w="10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3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>Processing</w:t>
            </w:r>
          </w:p>
        </w:tc>
        <w:tc>
          <w:tcPr>
            <w:tcW w:type="dxa" w:w="1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30" w:after="0"/>
              <w:ind w:left="15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>Processing</w:t>
            </w:r>
          </w:p>
        </w:tc>
        <w:tc>
          <w:tcPr>
            <w:tcW w:type="dxa" w:w="2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320" w:after="0"/>
              <w:ind w:left="302" w:right="0" w:firstLine="0"/>
              <w:jc w:val="left"/>
            </w:pPr>
            <w:r>
              <w:rPr>
                <w:rFonts w:ascii="Times" w:hAnsi="Times" w:eastAsia="Times"/>
                <w:b/>
                <w:i w:val="0"/>
                <w:color w:val="221F1F"/>
                <w:sz w:val="20"/>
              </w:rPr>
              <w:t xml:space="preserve">Knowledge </w:t>
            </w:r>
          </w:p>
        </w:tc>
      </w:tr>
      <w:tr>
        <w:trPr>
          <w:trHeight w:hRule="exact" w:val="120"/>
        </w:trPr>
        <w:tc>
          <w:tcPr>
            <w:tcW w:type="dxa" w:w="20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" w:after="0"/>
              <w:ind w:left="0" w:right="274" w:firstLine="0"/>
              <w:jc w:val="right"/>
            </w:pPr>
            <w:r>
              <w:rPr>
                <w:rFonts w:ascii="Times" w:hAnsi="Times" w:eastAsia="Times"/>
                <w:b/>
                <w:i w:val="0"/>
                <w:color w:val="221F1F"/>
                <w:sz w:val="20"/>
              </w:rPr>
              <w:t xml:space="preserve"> Information </w:t>
            </w:r>
          </w:p>
        </w:tc>
        <w:tc>
          <w:tcPr>
            <w:tcW w:type="dxa" w:w="1845"/>
            <w:vMerge/>
            <w:tcBorders/>
          </w:tcPr>
          <w:p/>
        </w:tc>
        <w:tc>
          <w:tcPr>
            <w:tcW w:type="dxa" w:w="1845"/>
            <w:vMerge/>
            <w:tcBorders/>
          </w:tcPr>
          <w:p/>
        </w:tc>
        <w:tc>
          <w:tcPr>
            <w:tcW w:type="dxa" w:w="1845"/>
            <w:vMerge/>
            <w:tcBorders/>
          </w:tcPr>
          <w:p/>
        </w:tc>
        <w:tc>
          <w:tcPr>
            <w:tcW w:type="dxa" w:w="1845"/>
            <w:vMerge/>
            <w:tcBorders/>
          </w:tcPr>
          <w:p/>
        </w:tc>
      </w:tr>
      <w:tr>
        <w:trPr>
          <w:trHeight w:hRule="exact" w:val="120"/>
        </w:trPr>
        <w:tc>
          <w:tcPr>
            <w:tcW w:type="dxa" w:w="1845"/>
            <w:vMerge/>
            <w:tcBorders/>
          </w:tcPr>
          <w:p/>
        </w:tc>
        <w:tc>
          <w:tcPr>
            <w:tcW w:type="dxa" w:w="1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0" w:after="0"/>
              <w:ind w:left="0" w:right="230" w:firstLine="0"/>
              <w:jc w:val="right"/>
            </w:pPr>
            <w:r>
              <w:rPr>
                <w:rFonts w:ascii="Times" w:hAnsi="Times" w:eastAsia="Times"/>
                <w:b/>
                <w:i w:val="0"/>
                <w:color w:val="221F1F"/>
                <w:sz w:val="20"/>
              </w:rPr>
              <w:t>Level 1</w:t>
            </w:r>
          </w:p>
        </w:tc>
        <w:tc>
          <w:tcPr>
            <w:tcW w:type="dxa" w:w="10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0" w:after="0"/>
              <w:ind w:left="0" w:right="0" w:firstLine="0"/>
              <w:jc w:val="center"/>
            </w:pPr>
            <w:r>
              <w:rPr>
                <w:rFonts w:ascii="Times" w:hAnsi="Times" w:eastAsia="Times"/>
                <w:b/>
                <w:i w:val="0"/>
                <w:color w:val="221F1F"/>
                <w:sz w:val="20"/>
              </w:rPr>
              <w:t>Level 1</w:t>
            </w:r>
          </w:p>
        </w:tc>
        <w:tc>
          <w:tcPr>
            <w:tcW w:type="dxa" w:w="1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0" w:after="0"/>
              <w:ind w:left="226" w:right="0" w:firstLine="0"/>
              <w:jc w:val="left"/>
            </w:pPr>
            <w:r>
              <w:rPr>
                <w:rFonts w:ascii="Times" w:hAnsi="Times" w:eastAsia="Times"/>
                <w:b/>
                <w:i w:val="0"/>
                <w:color w:val="221F1F"/>
                <w:sz w:val="20"/>
              </w:rPr>
              <w:t>Level n</w:t>
            </w:r>
          </w:p>
        </w:tc>
        <w:tc>
          <w:tcPr>
            <w:tcW w:type="dxa" w:w="1845"/>
            <w:vMerge/>
            <w:tcBorders/>
          </w:tcPr>
          <w:p/>
        </w:tc>
      </w:tr>
      <w:tr>
        <w:trPr>
          <w:trHeight w:hRule="exact" w:val="290"/>
        </w:trPr>
        <w:tc>
          <w:tcPr>
            <w:tcW w:type="dxa" w:w="2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8" w:after="0"/>
              <w:ind w:left="0" w:right="280" w:firstLine="0"/>
              <w:jc w:val="right"/>
            </w:pPr>
            <w:r>
              <w:rPr>
                <w:rFonts w:ascii="Times" w:hAnsi="Times" w:eastAsia="Times"/>
                <w:b/>
                <w:i w:val="0"/>
                <w:color w:val="221F1F"/>
                <w:sz w:val="20"/>
              </w:rPr>
              <w:t xml:space="preserve">(Knowledge) </w:t>
            </w:r>
          </w:p>
        </w:tc>
        <w:tc>
          <w:tcPr>
            <w:tcW w:type="dxa" w:w="1845"/>
            <w:vMerge/>
            <w:tcBorders/>
          </w:tcPr>
          <w:p/>
        </w:tc>
        <w:tc>
          <w:tcPr>
            <w:tcW w:type="dxa" w:w="1845"/>
            <w:vMerge/>
            <w:tcBorders/>
          </w:tcPr>
          <w:p/>
        </w:tc>
        <w:tc>
          <w:tcPr>
            <w:tcW w:type="dxa" w:w="1845"/>
            <w:vMerge/>
            <w:tcBorders/>
          </w:tcPr>
          <w:p/>
        </w:tc>
        <w:tc>
          <w:tcPr>
            <w:tcW w:type="dxa" w:w="1845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22" w:lineRule="exact" w:before="458" w:after="78"/>
        <w:ind w:left="0" w:right="3944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1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770.0" w:type="dxa"/>
      </w:tblPr>
      <w:tblGrid>
        <w:gridCol w:w="4613"/>
        <w:gridCol w:w="4613"/>
      </w:tblGrid>
      <w:tr>
        <w:trPr>
          <w:trHeight w:hRule="exact" w:val="522"/>
        </w:trPr>
        <w:tc>
          <w:tcPr>
            <w:tcW w:type="dxa" w:w="3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60" w:after="0"/>
              <w:ind w:left="0" w:right="126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>2</w:t>
            </w:r>
          </w:p>
        </w:tc>
        <w:tc>
          <w:tcPr>
            <w:tcW w:type="dxa" w:w="1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40" w:after="0"/>
              <w:ind w:left="13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>n</w:t>
            </w:r>
          </w:p>
        </w:tc>
      </w:tr>
    </w:tbl>
    <w:p>
      <w:pPr>
        <w:autoSpaceDN w:val="0"/>
        <w:autoSpaceDE w:val="0"/>
        <w:widowControl/>
        <w:spacing w:line="222" w:lineRule="exact" w:before="86" w:after="0"/>
        <w:ind w:left="0" w:right="1524" w:firstLine="0"/>
        <w:jc w:val="right"/>
      </w:pPr>
      <w:r>
        <w:rPr>
          <w:rFonts w:ascii="Times" w:hAnsi="Times" w:eastAsia="Times"/>
          <w:b/>
          <w:i w:val="0"/>
          <w:color w:val="221F1F"/>
          <w:sz w:val="20"/>
        </w:rPr>
        <w:t xml:space="preserve">Supported processes </w:t>
      </w:r>
    </w:p>
    <w:p>
      <w:pPr>
        <w:autoSpaceDN w:val="0"/>
        <w:autoSpaceDE w:val="0"/>
        <w:widowControl/>
        <w:spacing w:line="222" w:lineRule="exact" w:before="80" w:after="318"/>
        <w:ind w:left="0" w:right="4504" w:firstLine="0"/>
        <w:jc w:val="right"/>
      </w:pPr>
      <w:r>
        <w:rPr>
          <w:rFonts w:ascii="Times" w:hAnsi="Times" w:eastAsia="Times"/>
          <w:b/>
          <w:i w:val="0"/>
          <w:color w:val="221F1F"/>
          <w:sz w:val="20"/>
        </w:rPr>
        <w:t>BIKE (WritingPad)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50.0" w:type="dxa"/>
      </w:tblPr>
      <w:tblGrid>
        <w:gridCol w:w="3076"/>
        <w:gridCol w:w="3076"/>
        <w:gridCol w:w="3076"/>
      </w:tblGrid>
      <w:tr>
        <w:trPr>
          <w:trHeight w:hRule="exact" w:val="282"/>
        </w:trPr>
        <w:tc>
          <w:tcPr>
            <w:tcW w:type="dxa" w:w="2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60" w:after="0"/>
              <w:ind w:left="0" w:right="722" w:firstLine="0"/>
              <w:jc w:val="right"/>
            </w:pPr>
            <w:r>
              <w:rPr>
                <w:rFonts w:ascii="Times" w:hAnsi="Times" w:eastAsia="Times"/>
                <w:b/>
                <w:i w:val="0"/>
                <w:color w:val="221F1F"/>
                <w:sz w:val="20"/>
              </w:rPr>
              <w:t xml:space="preserve">Content </w:t>
            </w:r>
          </w:p>
        </w:tc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60" w:after="0"/>
              <w:ind w:left="310" w:right="0" w:firstLine="0"/>
              <w:jc w:val="left"/>
            </w:pPr>
            <w:r>
              <w:rPr>
                <w:rFonts w:ascii="Times" w:hAnsi="Times" w:eastAsia="Times"/>
                <w:b/>
                <w:i w:val="0"/>
                <w:color w:val="221F1F"/>
                <w:sz w:val="20"/>
              </w:rPr>
              <w:t xml:space="preserve">The set of </w:t>
            </w:r>
          </w:p>
        </w:tc>
        <w:tc>
          <w:tcPr>
            <w:tcW w:type="dxa" w:w="3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60" w:after="0"/>
              <w:ind w:left="666" w:right="0" w:firstLine="0"/>
              <w:jc w:val="left"/>
            </w:pPr>
            <w:r>
              <w:rPr>
                <w:rFonts w:ascii="Times" w:hAnsi="Times" w:eastAsia="Times"/>
                <w:b/>
                <w:i w:val="0"/>
                <w:color w:val="221F1F"/>
                <w:sz w:val="20"/>
              </w:rPr>
              <w:t xml:space="preserve">Communi- </w:t>
            </w:r>
          </w:p>
        </w:tc>
      </w:tr>
      <w:tr>
        <w:trPr>
          <w:trHeight w:hRule="exact" w:val="220"/>
        </w:trPr>
        <w:tc>
          <w:tcPr>
            <w:tcW w:type="dxa" w:w="2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0" w:right="54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Libraries </w:t>
            </w:r>
          </w:p>
        </w:tc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238" w:right="0" w:firstLine="0"/>
              <w:jc w:val="left"/>
            </w:pPr>
            <w:r>
              <w:rPr>
                <w:rFonts w:ascii="Times" w:hAnsi="Times" w:eastAsia="Times"/>
                <w:b/>
                <w:i w:val="0"/>
                <w:color w:val="221F1F"/>
                <w:sz w:val="20"/>
              </w:rPr>
              <w:t xml:space="preserve">informatics </w:t>
            </w:r>
          </w:p>
        </w:tc>
        <w:tc>
          <w:tcPr>
            <w:tcW w:type="dxa" w:w="3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0" w:right="1700" w:firstLine="0"/>
              <w:jc w:val="right"/>
            </w:pPr>
            <w:r>
              <w:rPr>
                <w:rFonts w:ascii="Times" w:hAnsi="Times" w:eastAsia="Times"/>
                <w:b/>
                <w:i w:val="0"/>
                <w:color w:val="221F1F"/>
                <w:sz w:val="20"/>
              </w:rPr>
              <w:t xml:space="preserve">cation </w:t>
            </w:r>
          </w:p>
        </w:tc>
      </w:tr>
      <w:tr>
        <w:trPr>
          <w:trHeight w:hRule="exact" w:val="220"/>
        </w:trPr>
        <w:tc>
          <w:tcPr>
            <w:tcW w:type="dxa" w:w="2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0" w:right="528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Teaching </w:t>
            </w:r>
          </w:p>
        </w:tc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0" w:right="302" w:firstLine="0"/>
              <w:jc w:val="right"/>
            </w:pPr>
            <w:r>
              <w:rPr>
                <w:rFonts w:ascii="Times" w:hAnsi="Times" w:eastAsia="Times"/>
                <w:b/>
                <w:i w:val="0"/>
                <w:color w:val="221F1F"/>
                <w:sz w:val="20"/>
              </w:rPr>
              <w:t xml:space="preserve">tools </w:t>
            </w:r>
          </w:p>
        </w:tc>
        <w:tc>
          <w:tcPr>
            <w:tcW w:type="dxa" w:w="3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756" w:right="0" w:firstLine="0"/>
              <w:jc w:val="left"/>
            </w:pPr>
            <w:r>
              <w:rPr>
                <w:rFonts w:ascii="Times" w:hAnsi="Times" w:eastAsia="Times"/>
                <w:b/>
                <w:i w:val="0"/>
                <w:color w:val="221F1F"/>
                <w:sz w:val="20"/>
              </w:rPr>
              <w:t xml:space="preserve">channels </w:t>
            </w:r>
          </w:p>
        </w:tc>
      </w:tr>
      <w:tr>
        <w:trPr>
          <w:trHeight w:hRule="exact" w:val="252"/>
        </w:trPr>
        <w:tc>
          <w:tcPr>
            <w:tcW w:type="dxa" w:w="2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6" w:after="0"/>
              <w:ind w:left="0" w:right="712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texts </w:t>
            </w:r>
          </w:p>
        </w:tc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6" w:after="0"/>
              <w:ind w:left="0" w:right="12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for active </w:t>
            </w:r>
          </w:p>
        </w:tc>
        <w:tc>
          <w:tcPr>
            <w:tcW w:type="dxa" w:w="3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58" w:after="0"/>
              <w:ind w:left="73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FORUMs </w:t>
            </w:r>
          </w:p>
        </w:tc>
      </w:tr>
      <w:tr>
        <w:trPr>
          <w:trHeight w:hRule="exact" w:val="228"/>
        </w:trPr>
        <w:tc>
          <w:tcPr>
            <w:tcW w:type="dxa" w:w="2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4" w:after="0"/>
              <w:ind w:left="0" w:right="518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Chemical </w:t>
            </w:r>
          </w:p>
        </w:tc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4" w:after="0"/>
              <w:ind w:left="0" w:right="15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learning, </w:t>
            </w:r>
          </w:p>
        </w:tc>
        <w:tc>
          <w:tcPr>
            <w:tcW w:type="dxa" w:w="3076"/>
            <w:vMerge/>
            <w:tcBorders/>
          </w:tcPr>
          <w:p/>
        </w:tc>
      </w:tr>
      <w:tr>
        <w:trPr>
          <w:trHeight w:hRule="exact" w:val="444"/>
        </w:trPr>
        <w:tc>
          <w:tcPr>
            <w:tcW w:type="dxa" w:w="2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0" w:after="0"/>
              <w:ind w:left="0" w:right="44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calculatrice </w:t>
            </w:r>
          </w:p>
        </w:tc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6" w:after="0"/>
              <w:ind w:left="0" w:right="108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incl. VLE </w:t>
            </w:r>
          </w:p>
        </w:tc>
        <w:tc>
          <w:tcPr>
            <w:tcW w:type="dxa" w:w="3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730" w:after="0"/>
              <w:ind w:left="48" w:right="0" w:firstLine="0"/>
              <w:jc w:val="left"/>
            </w:pPr>
            <w:r>
              <w:rPr>
                <w:rFonts w:ascii="Times" w:hAnsi="Times" w:eastAsia="Times"/>
                <w:b/>
                <w:i w:val="0"/>
                <w:color w:val="221F1F"/>
                <w:sz w:val="20"/>
              </w:rPr>
              <w:t>Teacher</w:t>
            </w:r>
          </w:p>
        </w:tc>
      </w:tr>
      <w:tr>
        <w:trPr>
          <w:trHeight w:hRule="exact" w:val="416"/>
        </w:trPr>
        <w:tc>
          <w:tcPr>
            <w:tcW w:type="dxa" w:w="2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94" w:after="0"/>
              <w:ind w:left="552" w:right="0" w:firstLine="0"/>
              <w:jc w:val="left"/>
            </w:pPr>
            <w:r>
              <w:rPr>
                <w:rFonts w:ascii="Times" w:hAnsi="Times" w:eastAsia="Times"/>
                <w:b/>
                <w:i w:val="0"/>
                <w:color w:val="221F1F"/>
                <w:sz w:val="20"/>
              </w:rPr>
              <w:t xml:space="preserve">Teaching process </w:t>
            </w:r>
          </w:p>
        </w:tc>
        <w:tc>
          <w:tcPr>
            <w:tcW w:type="dxa" w:w="1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20" w:after="0"/>
              <w:ind w:left="0" w:right="358" w:firstLine="0"/>
              <w:jc w:val="right"/>
            </w:pPr>
            <w:r>
              <w:rPr>
                <w:rFonts w:ascii="Times" w:hAnsi="Times" w:eastAsia="Times"/>
                <w:b/>
                <w:i w:val="0"/>
                <w:color w:val="221F1F"/>
                <w:sz w:val="20"/>
              </w:rPr>
              <w:t xml:space="preserve">MIX </w:t>
            </w:r>
          </w:p>
        </w:tc>
        <w:tc>
          <w:tcPr>
            <w:tcW w:type="dxa" w:w="3076"/>
            <w:vMerge/>
            <w:tcBorders/>
          </w:tcPr>
          <w:p/>
        </w:tc>
      </w:tr>
      <w:tr>
        <w:trPr>
          <w:trHeight w:hRule="exact" w:val="304"/>
        </w:trPr>
        <w:tc>
          <w:tcPr>
            <w:tcW w:type="dxa" w:w="2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2" w:after="0"/>
              <w:ind w:left="55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writing semestral works </w:t>
            </w:r>
          </w:p>
        </w:tc>
        <w:tc>
          <w:tcPr>
            <w:tcW w:type="dxa" w:w="3076"/>
            <w:vMerge/>
            <w:tcBorders/>
          </w:tcPr>
          <w:p/>
        </w:tc>
        <w:tc>
          <w:tcPr>
            <w:tcW w:type="dxa" w:w="3076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32" w:lineRule="exact" w:before="324" w:after="12"/>
        <w:ind w:left="3630" w:right="4752" w:firstLine="0"/>
        <w:jc w:val="left"/>
      </w:pPr>
      <w:r>
        <w:rPr>
          <w:rFonts w:ascii="Times" w:hAnsi="Times" w:eastAsia="Times"/>
          <w:b/>
          <w:i w:val="0"/>
          <w:color w:val="221F1F"/>
          <w:sz w:val="20"/>
        </w:rPr>
        <w:t xml:space="preserve">Unifying </w:t>
      </w:r>
      <w:r>
        <w:br/>
      </w:r>
      <w:r>
        <w:rPr>
          <w:rFonts w:ascii="Times" w:hAnsi="Times" w:eastAsia="Times"/>
          <w:b/>
          <w:i w:val="0"/>
          <w:color w:val="221F1F"/>
          <w:sz w:val="20"/>
        </w:rPr>
        <w:t>content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90.0" w:type="dxa"/>
      </w:tblPr>
      <w:tblGrid>
        <w:gridCol w:w="4613"/>
        <w:gridCol w:w="4613"/>
      </w:tblGrid>
      <w:tr>
        <w:trPr>
          <w:trHeight w:hRule="exact" w:val="874"/>
        </w:trPr>
        <w:tc>
          <w:tcPr>
            <w:tcW w:type="dxa" w:w="3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116" w:after="0"/>
              <w:ind w:left="576" w:right="864" w:firstLine="0"/>
              <w:jc w:val="center"/>
            </w:pPr>
            <w:r>
              <w:rPr>
                <w:rFonts w:ascii="Times" w:hAnsi="Times" w:eastAsia="Times"/>
                <w:b/>
                <w:i w:val="0"/>
                <w:color w:val="221F1F"/>
                <w:sz w:val="20"/>
              </w:rPr>
              <w:t xml:space="preserve">Learning Analytics </w:t>
            </w:r>
            <w:r>
              <w:br/>
            </w:r>
            <w:r>
              <w:rPr>
                <w:rFonts w:ascii="Times" w:hAnsi="Times" w:eastAsia="Times"/>
                <w:b/>
                <w:i w:val="0"/>
                <w:color w:val="221F1F"/>
                <w:sz w:val="20"/>
              </w:rPr>
              <w:t xml:space="preserve">Educational Data </w:t>
            </w:r>
            <w:r>
              <w:br/>
            </w:r>
            <w:r>
              <w:rPr>
                <w:rFonts w:ascii="Times" w:hAnsi="Times" w:eastAsia="Times"/>
                <w:b/>
                <w:i w:val="0"/>
                <w:color w:val="221F1F"/>
                <w:sz w:val="20"/>
              </w:rPr>
              <w:t xml:space="preserve">Mining </w:t>
            </w:r>
          </w:p>
        </w:tc>
        <w:tc>
          <w:tcPr>
            <w:tcW w:type="dxa" w:w="3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6" w:after="0"/>
              <w:ind w:left="1000" w:right="1584" w:firstLine="0"/>
              <w:jc w:val="left"/>
            </w:pPr>
            <w:r>
              <w:rPr>
                <w:rFonts w:ascii="Times" w:hAnsi="Times" w:eastAsia="Times"/>
                <w:b/>
                <w:i w:val="0"/>
                <w:color w:val="221F1F"/>
                <w:sz w:val="20"/>
              </w:rPr>
              <w:t xml:space="preserve">New </w:t>
            </w:r>
            <w:r>
              <w:br/>
            </w:r>
            <w:r>
              <w:rPr>
                <w:rFonts w:ascii="Times" w:hAnsi="Times" w:eastAsia="Times"/>
                <w:b/>
                <w:i w:val="0"/>
                <w:color w:val="221F1F"/>
                <w:sz w:val="20"/>
              </w:rPr>
              <w:t xml:space="preserve">teaching </w:t>
            </w:r>
            <w:r>
              <w:br/>
            </w:r>
            <w:r>
              <w:rPr>
                <w:rFonts w:ascii="Times" w:hAnsi="Times" w:eastAsia="Times"/>
                <w:b/>
                <w:i w:val="0"/>
                <w:color w:val="221F1F"/>
                <w:sz w:val="20"/>
              </w:rPr>
              <w:t>methods</w:t>
            </w:r>
          </w:p>
        </w:tc>
      </w:tr>
    </w:tbl>
    <w:p>
      <w:pPr>
        <w:autoSpaceDN w:val="0"/>
        <w:autoSpaceDE w:val="0"/>
        <w:widowControl/>
        <w:spacing w:line="178" w:lineRule="exact" w:before="470" w:after="0"/>
        <w:ind w:left="59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Fig. 2. (a) Scheme of knowledge processing by a human;  (b) Scheme of implementing new teaching methods by BIKE </w:t>
      </w:r>
    </w:p>
    <w:p>
      <w:pPr>
        <w:sectPr>
          <w:pgSz w:w="10885" w:h="14854"/>
          <w:pgMar w:top="368" w:right="648" w:bottom="1440" w:left="1010" w:header="720" w:footer="720" w:gutter="0"/>
          <w:cols w:space="720" w:num="1" w:equalWidth="0">
            <w:col w:w="9228" w:space="0"/>
            <w:col w:w="9646" w:space="0"/>
            <w:col w:w="9528" w:space="0"/>
            <w:col w:w="9723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668020</wp:posOffset>
            </wp:positionH>
            <wp:positionV relativeFrom="page">
              <wp:posOffset>5793740</wp:posOffset>
            </wp:positionV>
            <wp:extent cx="5617209" cy="1413602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7209" cy="141360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2760" w:val="left"/>
        </w:tabs>
        <w:autoSpaceDE w:val="0"/>
        <w:widowControl/>
        <w:spacing w:line="180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186</w:t>
      </w:r>
      <w:r>
        <w:tab/>
      </w:r>
      <w:r>
        <w:rPr>
          <w:rFonts w:ascii="Times" w:hAnsi="Times" w:eastAsia="Times"/>
          <w:b w:val="0"/>
          <w:i/>
          <w:color w:val="221F1F"/>
          <w:sz w:val="16"/>
        </w:rPr>
        <w:t xml:space="preserve"> Stefan Svetsky and Oliver Moravcik /  AASRI Procedia  4 ( 2013 )  182 – 189 </w:t>
      </w:r>
    </w:p>
    <w:p>
      <w:pPr>
        <w:autoSpaceDN w:val="0"/>
        <w:autoSpaceDE w:val="0"/>
        <w:widowControl/>
        <w:spacing w:line="222" w:lineRule="exact" w:before="352" w:after="0"/>
        <w:ind w:left="256" w:right="0" w:firstLine="0"/>
        <w:jc w:val="left"/>
      </w:pPr>
      <w:r>
        <w:rPr>
          <w:rFonts w:ascii="Times" w:hAnsi="Times" w:eastAsia="Times"/>
          <w:b/>
          <w:i w:val="0"/>
          <w:color w:val="221F1F"/>
          <w:sz w:val="20"/>
        </w:rPr>
        <w:t>3.</w:t>
      </w:r>
      <w:r>
        <w:rPr>
          <w:rFonts w:ascii="Times" w:hAnsi="Times" w:eastAsia="Times"/>
          <w:b/>
          <w:i w:val="0"/>
          <w:color w:val="221F1F"/>
          <w:sz w:val="20"/>
        </w:rPr>
        <w:t xml:space="preserve">Examples from the solving of knowledge processing and combining mining techniques in practice </w:t>
      </w:r>
    </w:p>
    <w:p>
      <w:pPr>
        <w:autoSpaceDN w:val="0"/>
        <w:autoSpaceDE w:val="0"/>
        <w:widowControl/>
        <w:spacing w:line="240" w:lineRule="exact" w:before="240" w:after="0"/>
        <w:ind w:left="256" w:right="432" w:firstLine="238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The knowledge system BIKE is useful when analysing documents, browsing or for advanced multi-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language searches in internet databases on-line or off-line. This is programmed as “strings mining”. It does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not matter what is mined (data, information, knowledge) and from where (WEB, personal client computer,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CD-ROM, USB), e.g., the ICL conference proceedings were analysed (Villach, 2012). Around 200 pdf-files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(papers) via USB were converted into one PDF-file and then to a text-file (by Nuance software). A new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knowledge table was created and the text-file was appended into one row. Dividing a 6 MB text into single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words would take hours therefore the blocks of texts (keywords and abstracts) were extracted into two tables,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each with approximately 200 rows, these were then converted into a browsable format and single words. This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resulted in a thousand keywords that were analysed in view of the highest frequency of appearance. Fig. 3.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illustrates these steps on screenshots (knowledge tables --  browsable html-file --  outputs), as well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quantity of keywords that appear, e.g. six papers were focused on technology-enhanced learning (teacher’s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expertise). Regarding the keyword </w:t>
      </w:r>
      <w:r>
        <w:rPr>
          <w:rFonts w:ascii="Times" w:hAnsi="Times" w:eastAsia="Times"/>
          <w:b w:val="0"/>
          <w:i/>
          <w:color w:val="221F1F"/>
          <w:sz w:val="20"/>
        </w:rPr>
        <w:t>component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 (see the 47 occurrences) the computer only indicated  a string </w:t>
      </w:r>
      <w:r>
        <w:rPr>
          <w:rFonts w:ascii="Times" w:hAnsi="Times" w:eastAsia="Times"/>
          <w:b w:val="0"/>
          <w:i/>
          <w:color w:val="221F1F"/>
          <w:sz w:val="20"/>
        </w:rPr>
        <w:t>component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 from the 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Keyword-component.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 This is not a keyword! </w:t>
      </w:r>
    </w:p>
    <w:p>
      <w:pPr>
        <w:autoSpaceDN w:val="0"/>
        <w:autoSpaceDE w:val="0"/>
        <w:widowControl/>
        <w:spacing w:line="240" w:lineRule="exact" w:before="0" w:after="136"/>
        <w:ind w:left="256" w:right="492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Knowledge workers need to permanently search, browse, and mine knowledge from specialised internet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databases focused on research news, technological data, scientific information, etc. Moreover, these are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mostly multilingual, thus a cognitive load on individuals is extremely high, for example, the EU CORDIS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Marketplace database focuses on results from funded projects (http://cordis.europa.eu/marketplace/) in five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languages. Fig. 3 illustrates how the user can create a set of browsable navigation files for research purposes.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87.99999999999997" w:type="dxa"/>
      </w:tblPr>
      <w:tblGrid>
        <w:gridCol w:w="1929"/>
        <w:gridCol w:w="1929"/>
        <w:gridCol w:w="1929"/>
        <w:gridCol w:w="1929"/>
        <w:gridCol w:w="1929"/>
      </w:tblGrid>
      <w:tr>
        <w:trPr>
          <w:trHeight w:hRule="exact" w:val="3396"/>
        </w:trPr>
        <w:tc>
          <w:tcPr>
            <w:tcW w:type="dxa" w:w="7488"/>
            <w:gridSpan w:val="4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21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233930" cy="168402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3930" cy="16840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3736.0" w:type="dxa"/>
            </w:tblPr>
            <w:tblGrid>
              <w:gridCol w:w="7488"/>
            </w:tblGrid>
            <w:tr>
              <w:trPr>
                <w:trHeight w:hRule="exact" w:val="1498"/>
              </w:trPr>
              <w:tc>
                <w:tcPr>
                  <w:tcW w:type="dxa" w:w="3326"/>
                  <w:tcBorders>
                    <w:start w:sz="10.736000061035156" w:val="single" w:color="#000000"/>
                    <w:top w:sz="10.736000061035156" w:val="single" w:color="#000000"/>
                    <w:end w:sz="10.736000061035156" w:val="single" w:color="#000000"/>
                    <w:bottom w:sz="10.736000061035156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54" w:lineRule="exact" w:before="0" w:after="0"/>
                    <w:ind w:left="0" w:right="0"/>
                  </w:pPr>
                </w:p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26.000000000000227" w:type="dxa"/>
                  </w:tblPr>
                  <w:tblGrid>
                    <w:gridCol w:w="1109"/>
                    <w:gridCol w:w="1109"/>
                    <w:gridCol w:w="1109"/>
                  </w:tblGrid>
                  <w:tr>
                    <w:trPr>
                      <w:trHeight w:hRule="exact" w:val="390"/>
                    </w:trPr>
                    <w:tc>
                      <w:tcPr>
                        <w:tcW w:type="dxa" w:w="1196"/>
                        <w:tcBorders>
                          <w:start w:sz="4.0" w:val="single" w:color="#000000"/>
                          <w:top w:sz="3.200000000000273" w:val="single" w:color="#000000"/>
                          <w:end w:sz="4.0" w:val="single" w:color="#000000"/>
                          <w:bottom w:sz="3.200000000000273" w:val="single" w:color="#000000"/>
                        </w:tcBorders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198" w:lineRule="exact" w:before="0" w:after="0"/>
                          <w:ind w:left="92" w:right="0" w:firstLine="0"/>
                          <w:jc w:val="left"/>
                        </w:pPr>
                        <w:r>
                          <w:rPr>
                            <w:w w:val="98.81771935356987"/>
                            <w:rFonts w:ascii="Times" w:hAnsi="Times" w:eastAsia="Times"/>
                            <w:b/>
                            <w:i w:val="0"/>
                            <w:color w:val="221F1F"/>
                            <w:sz w:val="18"/>
                          </w:rPr>
                          <w:t>keyword</w:t>
                        </w:r>
                      </w:p>
                    </w:tc>
                    <w:tc>
                      <w:tcPr>
                        <w:tcW w:type="dxa" w:w="1178"/>
                        <w:tcBorders>
                          <w:start w:sz="4.0" w:val="single" w:color="#000000"/>
                          <w:top w:sz="3.200000000000273" w:val="single" w:color="#000000"/>
                          <w:end w:sz="3.199999999999818" w:val="single" w:color="#000000"/>
                          <w:bottom w:sz="3.200000000000273" w:val="single" w:color="#000000"/>
                        </w:tcBorders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198" w:lineRule="exact" w:before="0" w:after="0"/>
                          <w:ind w:left="0" w:right="0" w:firstLine="0"/>
                          <w:jc w:val="center"/>
                        </w:pPr>
                        <w:r>
                          <w:rPr>
                            <w:w w:val="98.81771935356987"/>
                            <w:rFonts w:ascii="Times" w:hAnsi="Times" w:eastAsia="Times"/>
                            <w:b/>
                            <w:i w:val="0"/>
                            <w:color w:val="221F1F"/>
                            <w:sz w:val="18"/>
                          </w:rPr>
                          <w:t>quantity</w:t>
                        </w:r>
                      </w:p>
                    </w:tc>
                    <w:tc>
                      <w:tcPr>
                        <w:tcW w:type="dxa" w:w="780"/>
                        <w:tcBorders>
                          <w:start w:sz="3.199999999999818" w:val="single" w:color="#000000"/>
                          <w:top w:sz="3.200000000000273" w:val="single" w:color="#000000"/>
                          <w:end w:sz="3.199999999999818" w:val="single" w:color="#000000"/>
                          <w:bottom w:sz="3.200000000000273" w:val="single" w:color="#000000"/>
                        </w:tcBorders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198" w:lineRule="exact" w:before="0" w:after="0"/>
                          <w:ind w:left="0" w:right="0" w:firstLine="0"/>
                          <w:jc w:val="center"/>
                        </w:pPr>
                        <w:r>
                          <w:rPr>
                            <w:w w:val="98.81771935356987"/>
                            <w:rFonts w:ascii="Times" w:hAnsi="Times" w:eastAsia="Times"/>
                            <w:b/>
                            <w:i w:val="0"/>
                            <w:color w:val="221F1F"/>
                            <w:sz w:val="18"/>
                          </w:rPr>
                          <w:t>amount</w:t>
                        </w:r>
                      </w:p>
                    </w:tc>
                  </w:tr>
                  <w:tr>
                    <w:trPr>
                      <w:trHeight w:hRule="exact" w:val="882"/>
                    </w:trPr>
                    <w:tc>
                      <w:tcPr>
                        <w:tcW w:type="dxa" w:w="1196"/>
                        <w:tcBorders>
                          <w:start w:sz="4.0" w:val="single" w:color="#000000"/>
                          <w:top w:sz="3.200000000000273" w:val="single" w:color="#000000"/>
                          <w:end w:sz="4.0" w:val="single" w:color="#000000"/>
                          <w:bottom w:sz="3.199999999999818" w:val="single" w:color="#000000"/>
                        </w:tcBorders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178" w:lineRule="exact" w:before="20" w:after="0"/>
                          <w:ind w:left="92" w:right="144" w:firstLine="0"/>
                          <w:jc w:val="left"/>
                        </w:pPr>
                        <w:r>
                          <w:rPr>
                            <w:w w:val="98.81771935356987"/>
                            <w:rFonts w:ascii="Times" w:hAnsi="Times" w:eastAsia="Times"/>
                            <w:b/>
                            <w:i w:val="0"/>
                            <w:color w:val="221F1F"/>
                            <w:sz w:val="18"/>
                          </w:rPr>
                          <w:t xml:space="preserve">vocational </w:t>
                        </w:r>
                        <w:r>
                          <w:rPr>
                            <w:w w:val="98.81771935356987"/>
                            <w:rFonts w:ascii="Times" w:hAnsi="Times" w:eastAsia="Times"/>
                            <w:b/>
                            <w:i w:val="0"/>
                            <w:color w:val="221F1F"/>
                            <w:sz w:val="18"/>
                          </w:rPr>
                          <w:t xml:space="preserve">virtual </w:t>
                        </w:r>
                        <w:r>
                          <w:br/>
                        </w:r>
                        <w:r>
                          <w:rPr>
                            <w:w w:val="98.81771935356987"/>
                            <w:rFonts w:ascii="Times" w:hAnsi="Times" w:eastAsia="Times"/>
                            <w:b/>
                            <w:i w:val="0"/>
                            <w:color w:val="221F1F"/>
                            <w:sz w:val="18"/>
                          </w:rPr>
                          <w:t xml:space="preserve">component </w:t>
                        </w:r>
                        <w:r>
                          <w:rPr>
                            <w:w w:val="98.81771935356987"/>
                            <w:rFonts w:ascii="Times" w:hAnsi="Times" w:eastAsia="Times"/>
                            <w:b/>
                            <w:i w:val="0"/>
                            <w:color w:val="221F1F"/>
                            <w:sz w:val="18"/>
                          </w:rPr>
                          <w:t xml:space="preserve">enhanced </w:t>
                        </w:r>
                        <w:r>
                          <w:br/>
                        </w:r>
                        <w:r>
                          <w:rPr>
                            <w:w w:val="98.81771935356987"/>
                            <w:rFonts w:ascii="Times" w:hAnsi="Times" w:eastAsia="Times"/>
                            <w:b/>
                            <w:i w:val="0"/>
                            <w:color w:val="221F1F"/>
                            <w:sz w:val="18"/>
                          </w:rPr>
                          <w:t xml:space="preserve">eLearning </w:t>
                        </w:r>
                      </w:p>
                    </w:tc>
                    <w:tc>
                      <w:tcPr>
                        <w:tcW w:type="dxa" w:w="1178"/>
                        <w:tcBorders>
                          <w:start w:sz="4.0" w:val="single" w:color="#000000"/>
                          <w:top w:sz="3.200000000000273" w:val="single" w:color="#000000"/>
                          <w:end w:sz="3.199999999999818" w:val="single" w:color="#000000"/>
                          <w:bottom w:sz="3.199999999999818" w:val="single" w:color="#000000"/>
                        </w:tcBorders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178" w:lineRule="exact" w:before="20" w:after="0"/>
                          <w:ind w:left="246" w:right="204" w:firstLine="0"/>
                          <w:jc w:val="both"/>
                        </w:pPr>
                        <w:r>
                          <w:rPr>
                            <w:w w:val="98.81771935356987"/>
                            <w:rFonts w:ascii="Times" w:hAnsi="Times" w:eastAsia="Times"/>
                            <w:b/>
                            <w:i w:val="0"/>
                            <w:color w:val="221F1F"/>
                            <w:sz w:val="18"/>
                          </w:rPr>
                          <w:t xml:space="preserve">0.002641 </w:t>
                        </w:r>
                        <w:r>
                          <w:rPr>
                            <w:w w:val="98.81771935356987"/>
                            <w:rFonts w:ascii="Times" w:hAnsi="Times" w:eastAsia="Times"/>
                            <w:b/>
                            <w:i w:val="0"/>
                            <w:color w:val="221F1F"/>
                            <w:sz w:val="18"/>
                          </w:rPr>
                          <w:t xml:space="preserve">0.005202 </w:t>
                        </w:r>
                        <w:r>
                          <w:rPr>
                            <w:w w:val="98.81771935356987"/>
                            <w:rFonts w:ascii="Times" w:hAnsi="Times" w:eastAsia="Times"/>
                            <w:b/>
                            <w:i w:val="0"/>
                            <w:color w:val="221F1F"/>
                            <w:sz w:val="18"/>
                          </w:rPr>
                          <w:t xml:space="preserve">0.004802 </w:t>
                        </w:r>
                        <w:r>
                          <w:rPr>
                            <w:w w:val="98.81771935356987"/>
                            <w:rFonts w:ascii="Times" w:hAnsi="Times" w:eastAsia="Times"/>
                            <w:b/>
                            <w:i w:val="0"/>
                            <w:color w:val="221F1F"/>
                            <w:sz w:val="18"/>
                          </w:rPr>
                          <w:t xml:space="preserve">0.004322 </w:t>
                        </w:r>
                        <w:r>
                          <w:rPr>
                            <w:w w:val="98.81771935356987"/>
                            <w:rFonts w:ascii="Times" w:hAnsi="Times" w:eastAsia="Times"/>
                            <w:b/>
                            <w:i w:val="0"/>
                            <w:color w:val="221F1F"/>
                            <w:sz w:val="18"/>
                          </w:rPr>
                          <w:t xml:space="preserve">0.002161 </w:t>
                        </w:r>
                      </w:p>
                    </w:tc>
                    <w:tc>
                      <w:tcPr>
                        <w:tcW w:type="dxa" w:w="780"/>
                        <w:tcBorders>
                          <w:start w:sz="3.199999999999818" w:val="single" w:color="#000000"/>
                          <w:top w:sz="3.200000000000273" w:val="single" w:color="#000000"/>
                          <w:end w:sz="3.199999999999818" w:val="single" w:color="#000000"/>
                          <w:bottom w:sz="3.199999999999818" w:val="single" w:color="#000000"/>
                        </w:tcBorders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178" w:lineRule="exact" w:before="20" w:after="0"/>
                          <w:ind w:left="432" w:right="48" w:firstLine="0"/>
                          <w:jc w:val="right"/>
                        </w:pPr>
                        <w:r>
                          <w:rPr>
                            <w:w w:val="98.81771935356987"/>
                            <w:rFonts w:ascii="Times" w:hAnsi="Times" w:eastAsia="Times"/>
                            <w:b/>
                            <w:i w:val="0"/>
                            <w:color w:val="221F1F"/>
                            <w:sz w:val="18"/>
                          </w:rPr>
                          <w:t xml:space="preserve">11 </w:t>
                        </w:r>
                        <w:r>
                          <w:br/>
                        </w:r>
                        <w:r>
                          <w:rPr>
                            <w:w w:val="98.81771935356987"/>
                            <w:rFonts w:ascii="Times" w:hAnsi="Times" w:eastAsia="Times"/>
                            <w:b/>
                            <w:i w:val="0"/>
                            <w:color w:val="221F1F"/>
                            <w:sz w:val="18"/>
                          </w:rPr>
                          <w:t xml:space="preserve">31 </w:t>
                        </w:r>
                        <w:r>
                          <w:br/>
                        </w:r>
                        <w:r>
                          <w:rPr>
                            <w:w w:val="98.81771935356987"/>
                            <w:rFonts w:ascii="Times" w:hAnsi="Times" w:eastAsia="Times"/>
                            <w:b/>
                            <w:i w:val="0"/>
                            <w:color w:val="221F1F"/>
                            <w:sz w:val="18"/>
                          </w:rPr>
                          <w:t xml:space="preserve">47 </w:t>
                        </w:r>
                        <w:r>
                          <w:br/>
                        </w:r>
                        <w:r>
                          <w:rPr>
                            <w:w w:val="98.81771935356987"/>
                            <w:rFonts w:ascii="Times" w:hAnsi="Times" w:eastAsia="Times"/>
                            <w:b/>
                            <w:i w:val="0"/>
                            <w:color w:val="221F1F"/>
                            <w:sz w:val="18"/>
                          </w:rPr>
                          <w:t xml:space="preserve">6 </w:t>
                        </w:r>
                        <w:r>
                          <w:br/>
                        </w:r>
                        <w:r>
                          <w:rPr>
                            <w:w w:val="98.81771935356987"/>
                            <w:rFonts w:ascii="Times" w:hAnsi="Times" w:eastAsia="Times"/>
                            <w:b/>
                            <w:i w:val="0"/>
                            <w:color w:val="221F1F"/>
                            <w:sz w:val="18"/>
                          </w:rPr>
                          <w:t xml:space="preserve">9 </w:t>
                        </w:r>
                      </w:p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14" w:lineRule="exact" w:before="0" w:after="0"/>
                    <w:ind w:left="0" w:right="0"/>
                  </w:pPr>
                </w:p>
              </w:tc>
            </w:tr>
          </w:tbl>
          <w:p>
            <w:pPr>
              <w:autoSpaceDN w:val="0"/>
              <w:autoSpaceDE w:val="0"/>
              <w:widowControl/>
              <w:spacing w:line="124" w:lineRule="exact" w:before="556" w:after="0"/>
              <w:ind w:left="32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1"/>
              </w:rPr>
              <w:t>d:\SCAN\250Files KeywordsPocetnost219KOD</w:t>
            </w:r>
          </w:p>
        </w:tc>
        <w:tc>
          <w:tcPr>
            <w:tcW w:type="dxa" w:w="91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3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4.00000000000091" w:type="dxa"/>
            </w:tblPr>
            <w:tblGrid>
              <w:gridCol w:w="912"/>
            </w:tblGrid>
            <w:tr>
              <w:trPr>
                <w:trHeight w:hRule="exact" w:val="162"/>
              </w:trPr>
              <w:tc>
                <w:tcPr>
                  <w:tcW w:type="dxa" w:w="786"/>
                  <w:tcBorders/>
                  <w:shd w:fill="a5a5a5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66" w:lineRule="exact" w:before="16" w:after="0"/>
                    <w:ind w:left="22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221F1F"/>
                      <w:sz w:val="15"/>
                    </w:rPr>
                    <w:t xml:space="preserve">Find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260"/>
        </w:trPr>
        <w:tc>
          <w:tcPr>
            <w:tcW w:type="dxa" w:w="25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4" w:lineRule="exact" w:before="118" w:after="0"/>
              <w:ind w:left="32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1"/>
              </w:rPr>
              <w:t xml:space="preserve">d:\SCAN\250Files_MEMOTP_FindTEL_Vysled </w:t>
            </w:r>
          </w:p>
        </w:tc>
        <w:tc>
          <w:tcPr>
            <w:tcW w:type="dxa" w:w="4948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2938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5"/>
              </w:rPr>
              <w:t>Find</w:t>
            </w:r>
          </w:p>
        </w:tc>
        <w:tc>
          <w:tcPr>
            <w:tcW w:type="dxa" w:w="1929"/>
            <w:vMerge/>
            <w:tcBorders/>
          </w:tcPr>
          <w:p/>
        </w:tc>
      </w:tr>
      <w:tr>
        <w:trPr>
          <w:trHeight w:hRule="exact" w:val="178"/>
        </w:trPr>
        <w:tc>
          <w:tcPr>
            <w:tcW w:type="dxa" w:w="25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2" w:lineRule="exact" w:before="54" w:after="0"/>
              <w:ind w:left="32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1"/>
              </w:rPr>
              <w:t xml:space="preserve">d:\SCAN\250Files_MEMOTP_FindTEL_Vysled </w:t>
            </w:r>
          </w:p>
        </w:tc>
        <w:tc>
          <w:tcPr>
            <w:tcW w:type="dxa" w:w="2720"/>
            <w:gridSpan w:val="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28" w:after="0"/>
              <w:ind w:left="0" w:right="532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5"/>
              </w:rPr>
              <w:t>Look For:</w:t>
            </w:r>
          </w:p>
        </w:tc>
        <w:tc>
          <w:tcPr>
            <w:tcW w:type="dxa" w:w="2228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64" w:after="0"/>
              <w:ind w:left="20" w:right="0" w:firstLine="0"/>
              <w:jc w:val="left"/>
            </w:pPr>
            <w:r>
              <w:rPr>
                <w:rFonts w:ascii="Times" w:hAnsi="Times" w:eastAsia="Times"/>
                <w:b/>
                <w:i w:val="0"/>
                <w:color w:val="221F1F"/>
                <w:sz w:val="15"/>
              </w:rPr>
              <w:t xml:space="preserve">Technology enhanced learning </w:t>
            </w:r>
          </w:p>
        </w:tc>
        <w:tc>
          <w:tcPr>
            <w:tcW w:type="dxa" w:w="1929"/>
            <w:vMerge/>
            <w:tcBorders/>
          </w:tcPr>
          <w:p/>
        </w:tc>
      </w:tr>
      <w:tr>
        <w:trPr>
          <w:trHeight w:hRule="exact" w:val="182"/>
        </w:trPr>
        <w:tc>
          <w:tcPr>
            <w:tcW w:type="dxa" w:w="254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2" w:lineRule="exact" w:before="116" w:after="0"/>
              <w:ind w:left="32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1"/>
              </w:rPr>
              <w:t xml:space="preserve">d:\SCAN\250Files_MEMOTP_FindTEL.jpg </w:t>
            </w:r>
          </w:p>
        </w:tc>
        <w:tc>
          <w:tcPr>
            <w:tcW w:type="dxa" w:w="3858"/>
            <w:gridSpan w:val="2"/>
            <w:vMerge/>
            <w:tcBorders/>
          </w:tcPr>
          <w:p/>
        </w:tc>
        <w:tc>
          <w:tcPr>
            <w:tcW w:type="dxa" w:w="1929"/>
            <w:vMerge/>
            <w:tcBorders/>
          </w:tcPr>
          <w:p/>
        </w:tc>
        <w:tc>
          <w:tcPr>
            <w:tcW w:type="dxa" w:w="1929"/>
            <w:vMerge/>
            <w:tcBorders/>
          </w:tcPr>
          <w:p/>
        </w:tc>
      </w:tr>
      <w:tr>
        <w:trPr>
          <w:trHeight w:hRule="exact" w:val="102"/>
        </w:trPr>
        <w:tc>
          <w:tcPr>
            <w:tcW w:type="dxa" w:w="1929"/>
            <w:vMerge/>
            <w:tcBorders/>
          </w:tcPr>
          <w:p/>
        </w:tc>
        <w:tc>
          <w:tcPr>
            <w:tcW w:type="dxa" w:w="2720"/>
            <w:gridSpan w:val="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2" w:after="0"/>
              <w:ind w:left="0" w:right="274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5"/>
              </w:rPr>
              <w:t>Replace With:</w:t>
            </w:r>
          </w:p>
        </w:tc>
        <w:tc>
          <w:tcPr>
            <w:tcW w:type="dxa" w:w="1929"/>
            <w:vMerge/>
            <w:tcBorders/>
          </w:tcPr>
          <w:p/>
        </w:tc>
        <w:tc>
          <w:tcPr>
            <w:tcW w:type="dxa" w:w="1929"/>
            <w:vMerge/>
            <w:tcBorders/>
          </w:tcPr>
          <w:p/>
        </w:tc>
      </w:tr>
      <w:tr>
        <w:trPr>
          <w:trHeight w:hRule="exact" w:val="202"/>
        </w:trPr>
        <w:tc>
          <w:tcPr>
            <w:tcW w:type="dxa" w:w="25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2" w:lineRule="exact" w:before="48" w:after="0"/>
              <w:ind w:left="32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1"/>
              </w:rPr>
              <w:t xml:space="preserve">d:\SCAN\250Files_KeywordsPocetnost219_Hoto </w:t>
            </w:r>
          </w:p>
        </w:tc>
        <w:tc>
          <w:tcPr>
            <w:tcW w:type="dxa" w:w="3858"/>
            <w:gridSpan w:val="2"/>
            <w:vMerge/>
            <w:tcBorders/>
          </w:tcPr>
          <w:p/>
        </w:tc>
        <w:tc>
          <w:tcPr>
            <w:tcW w:type="dxa" w:w="1929"/>
            <w:vMerge/>
            <w:tcBorders/>
          </w:tcPr>
          <w:p/>
        </w:tc>
        <w:tc>
          <w:tcPr>
            <w:tcW w:type="dxa" w:w="912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8.000000000000682" w:type="dxa"/>
            </w:tblPr>
            <w:tblGrid>
              <w:gridCol w:w="912"/>
            </w:tblGrid>
            <w:tr>
              <w:trPr>
                <w:trHeight w:hRule="exact" w:val="182"/>
              </w:trPr>
              <w:tc>
                <w:tcPr>
                  <w:tcW w:type="dxa" w:w="884"/>
                  <w:tcBorders/>
                  <w:shd w:fill="a5a5a5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2" w:lineRule="exact" w:before="26" w:after="0"/>
                    <w:ind w:left="0" w:right="0" w:firstLine="0"/>
                    <w:jc w:val="center"/>
                  </w:pPr>
                  <w:r>
                    <w:rPr>
                      <w:u w:val="single" w:color="cacaca"/>
                      <w:rFonts w:ascii="TimesNewRomanPSMT" w:hAnsi="TimesNewRomanPSMT" w:eastAsia="TimesNewRomanPSMT"/>
                      <w:b w:val="0"/>
                      <w:i w:val="0"/>
                      <w:color w:val="CBCBCB"/>
                      <w:sz w:val="15"/>
                    </w:rPr>
                    <w:t>R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CACACA"/>
                      <w:sz w:val="15"/>
                      <w:u w:val="single"/>
                    </w:rPr>
                    <w:t>R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CBCBCB"/>
                      <w:sz w:val="15"/>
                    </w:rPr>
                    <w:t>e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CACACA"/>
                      <w:sz w:val="15"/>
                    </w:rPr>
                    <w:t>e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CBCBCB"/>
                      <w:sz w:val="15"/>
                    </w:rPr>
                    <w:t>p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CACACA"/>
                      <w:sz w:val="15"/>
                    </w:rPr>
                    <w:t>p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CBCBCB"/>
                      <w:sz w:val="15"/>
                    </w:rPr>
                    <w:t>l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CACACA"/>
                      <w:sz w:val="15"/>
                    </w:rPr>
                    <w:t>l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CBCBCB"/>
                      <w:sz w:val="15"/>
                    </w:rPr>
                    <w:t>a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CACACA"/>
                      <w:sz w:val="15"/>
                    </w:rPr>
                    <w:t>a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CBCBCB"/>
                      <w:sz w:val="15"/>
                    </w:rPr>
                    <w:t>c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CACACA"/>
                      <w:sz w:val="15"/>
                    </w:rPr>
                    <w:t>c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CBCBCB"/>
                      <w:sz w:val="15"/>
                    </w:rPr>
                    <w:t>e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CACACA"/>
                      <w:sz w:val="15"/>
                    </w:rPr>
                    <w:t>e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CBCBCB"/>
                      <w:sz w:val="15"/>
                    </w:rPr>
                    <w:t>A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CACACA"/>
                      <w:sz w:val="15"/>
                    </w:rPr>
                    <w:t>A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CBCBCB"/>
                      <w:sz w:val="15"/>
                    </w:rPr>
                    <w:t>L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CACACA"/>
                      <w:sz w:val="15"/>
                    </w:rPr>
                    <w:t>L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CBCBCB"/>
                      <w:sz w:val="15"/>
                    </w:rPr>
                    <w:t>L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CACACA"/>
                      <w:sz w:val="15"/>
                    </w:rPr>
                    <w:t>L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110"/>
        </w:trPr>
        <w:tc>
          <w:tcPr>
            <w:tcW w:type="dxa" w:w="3396"/>
            <w:gridSpan w:val="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2" w:lineRule="exact" w:before="54" w:after="0"/>
              <w:ind w:left="32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1"/>
              </w:rPr>
              <w:t xml:space="preserve">d:\SCAN\250Files_KeywordsPocetnost219_Dyna </w:t>
            </w:r>
          </w:p>
        </w:tc>
        <w:tc>
          <w:tcPr>
            <w:tcW w:type="dxa" w:w="4092"/>
            <w:gridSpan w:val="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83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5"/>
              </w:rPr>
              <w:t>Options</w:t>
            </w:r>
          </w:p>
        </w:tc>
        <w:tc>
          <w:tcPr>
            <w:tcW w:type="dxa" w:w="912"/>
            <w:tcBorders/>
            <w:shd w:fill="ffffff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66"/>
        </w:trPr>
        <w:tc>
          <w:tcPr>
            <w:tcW w:type="dxa" w:w="3858"/>
            <w:gridSpan w:val="2"/>
            <w:vMerge/>
            <w:tcBorders/>
          </w:tcPr>
          <w:p/>
        </w:tc>
        <w:tc>
          <w:tcPr>
            <w:tcW w:type="dxa" w:w="3858"/>
            <w:gridSpan w:val="2"/>
            <w:vMerge/>
            <w:tcBorders/>
          </w:tcPr>
          <w:p/>
        </w:tc>
        <w:tc>
          <w:tcPr>
            <w:tcW w:type="dxa" w:w="91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912"/>
            </w:tblGrid>
            <w:tr>
              <w:trPr>
                <w:trHeight w:hRule="exact" w:val="164"/>
              </w:trPr>
              <w:tc>
                <w:tcPr>
                  <w:tcW w:type="dxa" w:w="786"/>
                  <w:tcBorders/>
                  <w:shd w:fill="a5a5a5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66" w:lineRule="exact" w:before="18" w:after="0"/>
                    <w:ind w:left="22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221F1F"/>
                      <w:sz w:val="15"/>
                    </w:rPr>
                    <w:t xml:space="preserve">Cancel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240"/>
        </w:trPr>
        <w:tc>
          <w:tcPr>
            <w:tcW w:type="dxa" w:w="25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2" w:lineRule="exact" w:before="114" w:after="0"/>
              <w:ind w:left="32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1"/>
              </w:rPr>
              <w:t xml:space="preserve">d:\SCAN\250Files_KeywordsPocetnost219.jpg </w:t>
            </w:r>
          </w:p>
        </w:tc>
        <w:tc>
          <w:tcPr>
            <w:tcW w:type="dxa" w:w="272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60" w:after="0"/>
              <w:ind w:left="0" w:right="100" w:firstLine="0"/>
              <w:jc w:val="right"/>
            </w:pPr>
            <w:r>
              <w:rPr>
                <w:u w:val="single" w:color="000000"/>
                <w:rFonts w:ascii="TimesNewRomanPSMT" w:hAnsi="TimesNewRomanPSMT" w:eastAsia="TimesNewRomanPSMT"/>
                <w:b w:val="0"/>
                <w:i w:val="0"/>
                <w:color w:val="221F1F"/>
                <w:sz w:val="15"/>
              </w:rPr>
              <w:t>I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5"/>
              </w:rPr>
              <w:t>gnore Case</w:t>
            </w:r>
          </w:p>
        </w:tc>
        <w:tc>
          <w:tcPr>
            <w:tcW w:type="dxa" w:w="222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8" w:after="0"/>
              <w:ind w:left="0" w:right="0" w:firstLine="0"/>
              <w:jc w:val="center"/>
            </w:pPr>
            <w:r>
              <w:rPr>
                <w:u w:val="single" w:color="000000"/>
                <w:rFonts w:ascii="TimesNewRomanPSMT" w:hAnsi="TimesNewRomanPSMT" w:eastAsia="TimesNewRomanPSMT"/>
                <w:b w:val="0"/>
                <w:i w:val="0"/>
                <w:color w:val="221F1F"/>
                <w:sz w:val="15"/>
              </w:rPr>
              <w:t>M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5"/>
              </w:rPr>
              <w:t>atch Whole Word</w:t>
            </w:r>
          </w:p>
        </w:tc>
        <w:tc>
          <w:tcPr>
            <w:tcW w:type="dxa" w:w="1929"/>
            <w:vMerge/>
            <w:tcBorders/>
          </w:tcPr>
          <w:p/>
        </w:tc>
      </w:tr>
      <w:tr>
        <w:trPr>
          <w:trHeight w:hRule="exact" w:val="282"/>
        </w:trPr>
        <w:tc>
          <w:tcPr>
            <w:tcW w:type="dxa" w:w="25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4" w:lineRule="exact" w:before="98" w:after="0"/>
              <w:ind w:left="32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1"/>
              </w:rPr>
              <w:t xml:space="preserve">d:\SCAN\250Files_Slovo120prg_VillachDBF_Q </w:t>
            </w:r>
          </w:p>
        </w:tc>
        <w:tc>
          <w:tcPr>
            <w:tcW w:type="dxa" w:w="272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2" w:after="0"/>
              <w:ind w:left="0" w:right="0" w:firstLine="0"/>
              <w:jc w:val="right"/>
            </w:pPr>
            <w:r>
              <w:rPr>
                <w:u w:val="single" w:color="000000"/>
                <w:rFonts w:ascii="TimesNewRomanPSMT" w:hAnsi="TimesNewRomanPSMT" w:eastAsia="TimesNewRomanPSMT"/>
                <w:b w:val="0"/>
                <w:i w:val="0"/>
                <w:color w:val="221F1F"/>
                <w:sz w:val="15"/>
              </w:rPr>
              <w:t>W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5"/>
              </w:rPr>
              <w:t>rap Around</w:t>
            </w:r>
          </w:p>
        </w:tc>
        <w:tc>
          <w:tcPr>
            <w:tcW w:type="dxa" w:w="222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2" w:after="0"/>
              <w:ind w:left="52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5"/>
              </w:rPr>
              <w:t xml:space="preserve">Search </w:t>
            </w:r>
            <w:r>
              <w:rPr>
                <w:u w:val="single" w:color="000000"/>
                <w:rFonts w:ascii="TimesNewRomanPSMT" w:hAnsi="TimesNewRomanPSMT" w:eastAsia="TimesNewRomanPSMT"/>
                <w:b w:val="0"/>
                <w:i w:val="0"/>
                <w:color w:val="221F1F"/>
                <w:sz w:val="15"/>
              </w:rPr>
              <w:t>B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5"/>
              </w:rPr>
              <w:t>ackward</w:t>
            </w:r>
          </w:p>
        </w:tc>
        <w:tc>
          <w:tcPr>
            <w:tcW w:type="dxa" w:w="1929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78" w:lineRule="exact" w:before="588" w:after="0"/>
        <w:ind w:left="0" w:right="271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Fig. 3.  Scheme of a set of screenshots from an analyse of documents </w:t>
      </w:r>
    </w:p>
    <w:p>
      <w:pPr>
        <w:sectPr>
          <w:pgSz w:w="10885" w:h="14854"/>
          <w:pgMar w:top="368" w:right="588" w:bottom="1200" w:left="652" w:header="720" w:footer="720" w:gutter="0"/>
          <w:cols w:space="720" w:num="1" w:equalWidth="0">
            <w:col w:w="9646" w:space="0"/>
            <w:col w:w="9228" w:space="0"/>
            <w:col w:w="9646" w:space="0"/>
            <w:col w:w="9528" w:space="0"/>
            <w:col w:w="9723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9076" w:val="left"/>
        </w:tabs>
        <w:autoSpaceDE w:val="0"/>
        <w:widowControl/>
        <w:spacing w:line="176" w:lineRule="exact" w:before="0" w:after="0"/>
        <w:ind w:left="2192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16"/>
        </w:rPr>
        <w:t xml:space="preserve"> Stefan Svetsky and Oliver Moravcik /  AASRI Procedia  4 ( 2013 )  182 – 189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187</w:t>
      </w:r>
    </w:p>
    <w:p>
      <w:pPr>
        <w:autoSpaceDN w:val="0"/>
        <w:autoSpaceDE w:val="0"/>
        <w:widowControl/>
        <w:spacing w:line="240" w:lineRule="auto" w:before="402" w:after="0"/>
        <w:ind w:left="14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528310" cy="31953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28310" cy="3195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76" w:lineRule="exact" w:before="464" w:after="0"/>
        <w:ind w:left="24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Fig. 4.  Browsing  10 157 records (offline / online) in Marketplace </w:t>
      </w:r>
    </w:p>
    <w:p>
      <w:pPr>
        <w:autoSpaceDN w:val="0"/>
        <w:autoSpaceDE w:val="0"/>
        <w:widowControl/>
        <w:spacing w:line="222" w:lineRule="exact" w:before="260" w:after="0"/>
        <w:ind w:left="240" w:right="0" w:firstLine="0"/>
        <w:jc w:val="left"/>
      </w:pPr>
      <w:r>
        <w:rPr>
          <w:rFonts w:ascii="Times" w:hAnsi="Times" w:eastAsia="Times"/>
          <w:b/>
          <w:i w:val="0"/>
          <w:color w:val="221F1F"/>
          <w:sz w:val="20"/>
        </w:rPr>
        <w:t>4. The comparison of the BIKE system approach with state-of-the-art</w:t>
      </w:r>
    </w:p>
    <w:p>
      <w:pPr>
        <w:autoSpaceDN w:val="0"/>
        <w:autoSpaceDE w:val="0"/>
        <w:widowControl/>
        <w:spacing w:line="240" w:lineRule="exact" w:before="240" w:after="0"/>
        <w:ind w:left="240" w:right="306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The bike system was developed with the intention that a computer, like a user’s partner, should expand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one’s quality of his life and sustainability. According to one of BIKE’s authors’ opinions (Svetsky)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paradigm and definition of knowledge is analogous to how people think and act. People perform processes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that use knowledge that needs to be worked into daily life. Knowledge is also a key element within teaching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and learning. The first stage of development was focused on the programming of knowledge flow (I) between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information sources and knowledge tables (basically, content issues were computerised). The following came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into question, what about knowledge flow (II) – between a knowledge base and teaching processes? What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about knowledge transfer between teacher and students? The answers pointed to activities such as, the teacher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must prepare teaching material, texts from the knowledge flow (I) and must communicate with students and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concentrate knowledge (subject matter) in the classroom in a limited time and space whilst accounting for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didactic quality. Thus, the knowledge flow (II) should also be programmed. This resulted in a strategy that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technology-enhanced learning is to be understood as the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automation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 of teachers or learning activities, where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knowledge is the key parameter. Following this, it was found that writing codes for solving the knowledge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flow (II) requires “helping the computer” by </w:t>
      </w:r>
      <w:r>
        <w:rPr>
          <w:rFonts w:ascii="Times" w:hAnsi="Times" w:eastAsia="Times"/>
          <w:b w:val="0"/>
          <w:i/>
          <w:color w:val="221F1F"/>
          <w:sz w:val="20"/>
        </w:rPr>
        <w:t>unifying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 the </w:t>
      </w:r>
      <w:r>
        <w:rPr>
          <w:rFonts w:ascii="Times" w:hAnsi="Times" w:eastAsia="Times"/>
          <w:b w:val="0"/>
          <w:i/>
          <w:color w:val="221F1F"/>
          <w:sz w:val="20"/>
        </w:rPr>
        <w:t>content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 and the </w:t>
      </w:r>
      <w:r>
        <w:rPr>
          <w:rFonts w:ascii="Times" w:hAnsi="Times" w:eastAsia="Times"/>
          <w:b w:val="0"/>
          <w:i/>
          <w:color w:val="221F1F"/>
          <w:sz w:val="20"/>
        </w:rPr>
        <w:t>teaching process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 in order to be </w:t>
      </w:r>
      <w:r>
        <w:rPr>
          <w:rFonts w:ascii="Times" w:hAnsi="Times" w:eastAsia="Times"/>
          <w:b w:val="0"/>
          <w:i/>
          <w:color w:val="221F1F"/>
          <w:sz w:val="20"/>
        </w:rPr>
        <w:t>computerizable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. Without this approach, any programmer would not have an idea of how the communication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and teaching process must be programmed. Therefore the approach for technology-enhanced learning must be </w:t>
      </w:r>
    </w:p>
    <w:p>
      <w:pPr>
        <w:sectPr>
          <w:pgSz w:w="10885" w:h="14854"/>
          <w:pgMar w:top="368" w:right="540" w:bottom="1440" w:left="902" w:header="720" w:footer="720" w:gutter="0"/>
          <w:cols w:space="720" w:num="1" w:equalWidth="0">
            <w:col w:w="9443" w:space="0"/>
            <w:col w:w="9646" w:space="0"/>
            <w:col w:w="9228" w:space="0"/>
            <w:col w:w="9646" w:space="0"/>
            <w:col w:w="9528" w:space="0"/>
            <w:col w:w="9723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2760" w:val="left"/>
        </w:tabs>
        <w:autoSpaceDE w:val="0"/>
        <w:widowControl/>
        <w:spacing w:line="180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188</w:t>
      </w:r>
      <w:r>
        <w:tab/>
      </w:r>
      <w:r>
        <w:rPr>
          <w:rFonts w:ascii="Times" w:hAnsi="Times" w:eastAsia="Times"/>
          <w:b w:val="0"/>
          <w:i/>
          <w:color w:val="221F1F"/>
          <w:sz w:val="16"/>
        </w:rPr>
        <w:t xml:space="preserve"> Stefan Svetsky and Oliver Moravcik /  AASRI Procedia  4 ( 2013 )  182 – 189 </w:t>
      </w:r>
    </w:p>
    <w:p>
      <w:pPr>
        <w:autoSpaceDN w:val="0"/>
        <w:autoSpaceDE w:val="0"/>
        <w:widowControl/>
        <w:spacing w:line="240" w:lineRule="exact" w:before="312" w:after="0"/>
        <w:ind w:left="312" w:right="430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primarily </w:t>
      </w:r>
      <w:r>
        <w:rPr>
          <w:rFonts w:ascii="Times" w:hAnsi="Times" w:eastAsia="Times"/>
          <w:b w:val="0"/>
          <w:i/>
          <w:color w:val="221F1F"/>
          <w:sz w:val="20"/>
        </w:rPr>
        <w:t>education - driven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. This aspect is often emphasised in actual literature, e.g. in [6]. Very precise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information related to education - driven computer support was given in [7]. This trend is also visible in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European Union ICT policy stated in the FP7 research programme, e.g., previous target outcomes for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Objective 8.1, technology-enhanced learning were: 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technology-enhanced learning systems, educational 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technologies for science, technology and maths, computational tools, exploratory activities for fundamentally </w:t>
      </w:r>
      <w:r>
        <w:rPr>
          <w:rFonts w:ascii="Times" w:hAnsi="Times" w:eastAsia="Times"/>
          <w:b w:val="0"/>
          <w:i/>
          <w:color w:val="221F1F"/>
          <w:sz w:val="20"/>
        </w:rPr>
        <w:t>new forms of learning through ICT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. For instance, an expected impact was to “Unlock the potential of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individual by a stronger and smarter adaptation and personalization of educational technologies”. Thus,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developing supportive system of BIKE is in compliance with this research policy (this is illustrated in Fig. 2).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The latest FP7 ICT calls are focused on </w:t>
      </w:r>
      <w:r>
        <w:rPr>
          <w:rFonts w:ascii="Times" w:hAnsi="Times" w:eastAsia="Times"/>
          <w:b w:val="0"/>
          <w:i/>
          <w:color w:val="221F1F"/>
          <w:sz w:val="20"/>
        </w:rPr>
        <w:t>learning analytics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 and </w:t>
      </w:r>
      <w:r>
        <w:rPr>
          <w:rFonts w:ascii="Times" w:hAnsi="Times" w:eastAsia="Times"/>
          <w:b w:val="0"/>
          <w:i/>
          <w:color w:val="221F1F"/>
          <w:sz w:val="20"/>
        </w:rPr>
        <w:t>educational data mining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. In this context,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further activities are also focused on mining techniques (also illustrated in Fig. 2). Concerning mining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techniques, a knowledge worker does not differentiate between data- / text- / knowledge- / WeB mining. In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compliance with the definition of knowledge, this is understood as </w:t>
      </w:r>
      <w:r>
        <w:rPr>
          <w:rFonts w:ascii="Times" w:hAnsi="Times" w:eastAsia="Times"/>
          <w:b w:val="0"/>
          <w:i/>
          <w:color w:val="221F1F"/>
          <w:sz w:val="20"/>
        </w:rPr>
        <w:t>knowledge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 mining, respectively 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strings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mining. This enables one to apply repeatable programming codes. The compliance with </w:t>
      </w:r>
      <w:r>
        <w:rPr>
          <w:rFonts w:ascii="Times" w:hAnsi="Times" w:eastAsia="Times"/>
          <w:b w:val="0"/>
          <w:i/>
          <w:color w:val="221F1F"/>
          <w:sz w:val="20"/>
        </w:rPr>
        <w:t>text mining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 can be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compared with [8, 9]. The intermediate forms for knowledge representation on the level of textual data, which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were discussed in [9], evocate a new idea of understanding knowledge tables as intermediate forms on a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higher level (BIKE’s authors operate with the knowledge table just as one does with a data type). BIKE’s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approach is similar to the trends for minimising information overload, sharing information or solving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multitasking, e.g. within the EU project Active it is argued  that to switch between task  contexts to improve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productivity of knowledge workers is one of the hardest things for workers to do [10]. Many shared points are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in the field of </w:t>
      </w:r>
      <w:r>
        <w:rPr>
          <w:rFonts w:ascii="Times" w:hAnsi="Times" w:eastAsia="Times"/>
          <w:b w:val="0"/>
          <w:i/>
          <w:color w:val="221F1F"/>
          <w:sz w:val="20"/>
        </w:rPr>
        <w:t>advanced search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 and </w:t>
      </w:r>
      <w:r>
        <w:rPr>
          <w:rFonts w:ascii="Times" w:hAnsi="Times" w:eastAsia="Times"/>
          <w:b w:val="0"/>
          <w:i/>
          <w:color w:val="221F1F"/>
          <w:sz w:val="20"/>
        </w:rPr>
        <w:t>information retrieval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. One can select from items of BIKE’s user menu to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support processes or tasks in which knowledge plays a key role. One can utilize the knowledge for “whatever”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one wants - searching, extracting, mining, converting, exchanging, sharing, joining or making batch internet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retrievals (the latter is used by students). All this occurs within the knowledge tables. Thus, BIKE’s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applications are also directed at the field of </w:t>
      </w:r>
      <w:r>
        <w:rPr>
          <w:rFonts w:ascii="Times" w:hAnsi="Times" w:eastAsia="Times"/>
          <w:b w:val="0"/>
          <w:i/>
          <w:color w:val="221F1F"/>
          <w:sz w:val="20"/>
        </w:rPr>
        <w:t>knowledge management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 due to the system working as a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knowledge based software application. A similarity can be found with activities of the Department of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Cybernetics and Artificial Intelligence of the Faculty of Electrical Engineering and Informatics [11]. After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BIKE’s author’s lecture at this faculty, the students categorised BIKE as a </w:t>
      </w:r>
      <w:r>
        <w:rPr>
          <w:rFonts w:ascii="Times" w:hAnsi="Times" w:eastAsia="Times"/>
          <w:b w:val="0"/>
          <w:i/>
          <w:color w:val="221F1F"/>
          <w:sz w:val="20"/>
        </w:rPr>
        <w:t>knowledge base repository system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.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From another point of view, the system was presented as a </w:t>
      </w:r>
      <w:r>
        <w:rPr>
          <w:rFonts w:ascii="Times" w:hAnsi="Times" w:eastAsia="Times"/>
          <w:b w:val="0"/>
          <w:i/>
          <w:color w:val="221F1F"/>
          <w:sz w:val="20"/>
        </w:rPr>
        <w:t>personalised knowledge management system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 [12]. </w:t>
      </w:r>
    </w:p>
    <w:p>
      <w:pPr>
        <w:autoSpaceDN w:val="0"/>
        <w:autoSpaceDE w:val="0"/>
        <w:widowControl/>
        <w:spacing w:line="222" w:lineRule="exact" w:before="258" w:after="0"/>
        <w:ind w:left="312" w:right="0" w:firstLine="0"/>
        <w:jc w:val="left"/>
      </w:pPr>
      <w:r>
        <w:rPr>
          <w:rFonts w:ascii="Times" w:hAnsi="Times" w:eastAsia="Times"/>
          <w:b/>
          <w:i w:val="0"/>
          <w:color w:val="221F1F"/>
          <w:sz w:val="20"/>
        </w:rPr>
        <w:t>5. Conclusion</w:t>
      </w:r>
    </w:p>
    <w:p>
      <w:pPr>
        <w:autoSpaceDN w:val="0"/>
        <w:autoSpaceDE w:val="0"/>
        <w:widowControl/>
        <w:spacing w:line="240" w:lineRule="exact" w:before="240" w:after="0"/>
        <w:ind w:left="312" w:right="288" w:firstLine="238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The supportive knowledge system BIKE was presented by examples of knowledge processing based on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definition of the knowledge and batch knowledge processing paradigm. This system covers dozens of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informatics categories, inter alia, advanced search, retrieval and “string mining techniques” (both off-line and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online). This in-house developed database application enables individuals to have support of human decision-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making, teaching and learning,  knowledge management,  administration and other actions in a user friendly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way. BIKE works as a user’s partner, it has its own “social memory” that increases an individual’s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performance and automates its personal activities. The approach for the solving of knowledge processing was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explained in detail and briefly illustrated by the use of the analysed documents and the exploration of a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multilingual internet database Marketplace. The BIKE approach was also compared with state-of-the-art. One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of the future focuses should be on learning analytics and analysis of students’ behaviour via the use of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BIKE system. </w:t>
      </w:r>
    </w:p>
    <w:p>
      <w:pPr>
        <w:sectPr>
          <w:pgSz w:w="10885" w:h="14854"/>
          <w:pgMar w:top="368" w:right="588" w:bottom="1440" w:left="652" w:header="720" w:footer="720" w:gutter="0"/>
          <w:cols w:space="720" w:num="1" w:equalWidth="0">
            <w:col w:w="9646" w:space="0"/>
            <w:col w:w="9443" w:space="0"/>
            <w:col w:w="9646" w:space="0"/>
            <w:col w:w="9228" w:space="0"/>
            <w:col w:w="9646" w:space="0"/>
            <w:col w:w="9528" w:space="0"/>
            <w:col w:w="9723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9184" w:val="left"/>
        </w:tabs>
        <w:autoSpaceDE w:val="0"/>
        <w:widowControl/>
        <w:spacing w:line="176" w:lineRule="exact" w:before="0" w:after="0"/>
        <w:ind w:left="2300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16"/>
        </w:rPr>
        <w:t xml:space="preserve"> Stefan Svetsky and Oliver Moravcik /  AASRI Procedia  4 ( 2013 )  182 – 189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189</w:t>
      </w:r>
    </w:p>
    <w:p>
      <w:pPr>
        <w:autoSpaceDN w:val="0"/>
        <w:autoSpaceDE w:val="0"/>
        <w:widowControl/>
        <w:spacing w:line="222" w:lineRule="exact" w:before="334" w:after="0"/>
        <w:ind w:left="190" w:right="0" w:firstLine="0"/>
        <w:jc w:val="left"/>
      </w:pPr>
      <w:r>
        <w:rPr>
          <w:rFonts w:ascii="Times" w:hAnsi="Times" w:eastAsia="Times"/>
          <w:b/>
          <w:i w:val="0"/>
          <w:color w:val="221F1F"/>
          <w:sz w:val="20"/>
        </w:rPr>
        <w:t xml:space="preserve">Acknowledgements </w:t>
      </w:r>
    </w:p>
    <w:p>
      <w:pPr>
        <w:autoSpaceDN w:val="0"/>
        <w:tabs>
          <w:tab w:pos="428" w:val="left"/>
        </w:tabs>
        <w:autoSpaceDE w:val="0"/>
        <w:widowControl/>
        <w:spacing w:line="240" w:lineRule="exact" w:before="236" w:after="0"/>
        <w:ind w:left="190" w:right="432" w:firstLine="0"/>
        <w:jc w:val="left"/>
      </w:pP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This work was supported within the  funded project KEGA No.  047STU-4/2012: The building online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teaching room for education in the field of machining of complex shaped components. </w:t>
      </w:r>
    </w:p>
    <w:p>
      <w:pPr>
        <w:autoSpaceDN w:val="0"/>
        <w:autoSpaceDE w:val="0"/>
        <w:widowControl/>
        <w:spacing w:line="222" w:lineRule="exact" w:before="484" w:after="0"/>
        <w:ind w:left="190" w:right="0" w:firstLine="0"/>
        <w:jc w:val="left"/>
      </w:pPr>
      <w:r>
        <w:rPr>
          <w:rFonts w:ascii="Times" w:hAnsi="Times" w:eastAsia="Times"/>
          <w:b/>
          <w:i w:val="0"/>
          <w:color w:val="221F1F"/>
          <w:sz w:val="20"/>
        </w:rPr>
        <w:t xml:space="preserve">References </w:t>
      </w:r>
    </w:p>
    <w:p>
      <w:pPr>
        <w:autoSpaceDN w:val="0"/>
        <w:autoSpaceDE w:val="0"/>
        <w:widowControl/>
        <w:spacing w:line="230" w:lineRule="exact" w:before="196" w:after="0"/>
        <w:ind w:left="190" w:right="57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[1] Saljö, R. Digital tools and challenges to institutional traditions of learning: technologies, social memory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and the performative nature of learning. Journal of Computer Assisted Learning. Vol.26, pp. 53–64; 2010. </w:t>
      </w:r>
    </w:p>
    <w:p>
      <w:pPr>
        <w:autoSpaceDN w:val="0"/>
        <w:autoSpaceDE w:val="0"/>
        <w:widowControl/>
        <w:spacing w:line="230" w:lineRule="exact" w:before="0" w:after="0"/>
        <w:ind w:left="190" w:right="86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[2] Svetsky, et al. The Implementation of the Personalised Approach for Technology Enhanced Learning.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Lecture Notes in Engineering and Computer Science. Volume 2186, Issue 1, 2010, pp. 321-323. </w:t>
      </w:r>
    </w:p>
    <w:p>
      <w:pPr>
        <w:autoSpaceDN w:val="0"/>
        <w:autoSpaceDE w:val="0"/>
        <w:widowControl/>
        <w:spacing w:line="230" w:lineRule="exact" w:before="0" w:after="0"/>
        <w:ind w:left="190" w:right="100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[3] Svetsky, S. et al.  The Particular Approach for Personalised Knowledge Processing. In: Advances in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Intelligent and Soft Computing. Springer-Verlag Berlin Heidelberg, 2012, pp. 937-946. </w:t>
      </w:r>
    </w:p>
    <w:p>
      <w:pPr>
        <w:autoSpaceDN w:val="0"/>
        <w:autoSpaceDE w:val="0"/>
        <w:widowControl/>
        <w:spacing w:line="230" w:lineRule="exact" w:before="0" w:after="0"/>
        <w:ind w:left="190" w:right="86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[4] Svetsky, et al. The Implementation of the Personalised Approach for Technology Enhanced Learning.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Lecture Notes in Engineering and Computer Science. Volume I,  2012, pp. 290-296. </w:t>
      </w:r>
    </w:p>
    <w:p>
      <w:pPr>
        <w:autoSpaceDN w:val="0"/>
        <w:autoSpaceDE w:val="0"/>
        <w:widowControl/>
        <w:spacing w:line="230" w:lineRule="exact" w:before="0" w:after="0"/>
        <w:ind w:left="190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[5] Svetsky, S. The practical aspect of knowledge  construction and automation of teaching processes within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technology-enhanced learning and  eLearning.  Habilitation thesis. Slovak University of Technology; 2012.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[6] Derry, J. Technology - Enhanced Learning: A Question of Knowledge. Journal of Philosophy of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Education, vol. 42, pp. 505–519; 2008. </w:t>
      </w:r>
    </w:p>
    <w:p>
      <w:pPr>
        <w:autoSpaceDN w:val="0"/>
        <w:autoSpaceDE w:val="0"/>
        <w:widowControl/>
        <w:spacing w:line="238" w:lineRule="exact" w:before="0" w:after="0"/>
        <w:ind w:left="190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[7] Goodman Paul S., et al. Technology Enhanced Learning: Opportunities for Change. Laurence Erlbaum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Associates, Mahwah, NJ, USA; 2002. </w:t>
      </w:r>
    </w:p>
    <w:p>
      <w:pPr>
        <w:autoSpaceDN w:val="0"/>
        <w:autoSpaceDE w:val="0"/>
        <w:widowControl/>
        <w:spacing w:line="230" w:lineRule="exact" w:before="2" w:after="0"/>
        <w:ind w:left="190" w:right="57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[8]  Drewes, B. Some Industrial Applications of Text Mining.  Knowledge Mining. Studies in Fuzziness and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Soft Computing.  Springer  - Verlag, Berlin Heidelberg. Volume 185, 2005, pp 233-238. </w:t>
      </w:r>
    </w:p>
    <w:p>
      <w:pPr>
        <w:autoSpaceDN w:val="0"/>
        <w:autoSpaceDE w:val="0"/>
        <w:widowControl/>
        <w:spacing w:line="230" w:lineRule="exact" w:before="0" w:after="0"/>
        <w:ind w:left="190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[9] Justicia de la Torre, M. Consuelo, et al. Text Knowledge Mining: An Approach to Text Mining.  Spain,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ESTYLF 2008: XIV Congreso Español sobre Tecnologías y Lógica Fuzzy. </w:t>
      </w:r>
    </w:p>
    <w:p>
      <w:pPr>
        <w:autoSpaceDN w:val="0"/>
        <w:autoSpaceDE w:val="0"/>
        <w:widowControl/>
        <w:spacing w:line="230" w:lineRule="exact" w:before="0" w:after="0"/>
        <w:ind w:left="190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[10] Putting knowledge in context to end information overload. Research EU Results magazine. IT and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Telecomunication. No 11 April 2012. </w:t>
      </w:r>
    </w:p>
    <w:p>
      <w:pPr>
        <w:autoSpaceDN w:val="0"/>
        <w:autoSpaceDE w:val="0"/>
        <w:widowControl/>
        <w:spacing w:line="222" w:lineRule="exact" w:before="8" w:after="0"/>
        <w:ind w:left="19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[11] Paralic, J., Paralic, M., Mach, M. Support of Knowledge Management in Distributed Environment. </w:t>
      </w:r>
    </w:p>
    <w:p>
      <w:pPr>
        <w:autoSpaceDN w:val="0"/>
        <w:autoSpaceDE w:val="0"/>
        <w:widowControl/>
        <w:spacing w:line="230" w:lineRule="exact" w:before="0" w:after="0"/>
        <w:ind w:left="190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Informatica. Knowledge Based Software Engineering Information Technology. Vol. 25. Ljubljana; 2001.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[12] Svetsky et. al. IT Support for Knowledge Management within R&amp;D and Education. ICL 2012. 15th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International Conference on Interactive Collaborative Learning Villach, Austria. - Piscataway : IEEE, 2012.</w:t>
      </w:r>
    </w:p>
    <w:sectPr w:rsidR="00FC693F" w:rsidRPr="0006063C" w:rsidSect="00034616">
      <w:pgSz w:w="10885" w:h="14854"/>
      <w:pgMar w:top="368" w:right="540" w:bottom="1440" w:left="794" w:header="720" w:footer="720" w:gutter="0"/>
      <w:cols w:space="720" w:num="1" w:equalWidth="0">
        <w:col w:w="9552" w:space="0"/>
        <w:col w:w="9646" w:space="0"/>
        <w:col w:w="9443" w:space="0"/>
        <w:col w:w="9646" w:space="0"/>
        <w:col w:w="9228" w:space="0"/>
        <w:col w:w="9646" w:space="0"/>
        <w:col w:w="9528" w:space="0"/>
        <w:col w:w="9723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hyperlink" Target="http://creativecommons.org/licenses/by-nc-nd/3.0/" TargetMode="External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