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36" w:lineRule="exact" w:before="0" w:after="210"/>
        <w:ind w:left="0" w:right="0" w:firstLine="0"/>
        <w:jc w:val="center"/>
      </w:pP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Array 14 (2022) 100135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404"/>
        </w:trPr>
        <w:tc>
          <w:tcPr>
            <w:tcW w:type="dxa" w:w="1450"/>
            <w:vMerge w:val="restart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49" cy="8305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49" cy="830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42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2" w:after="0"/>
              <w:ind w:left="0" w:right="0" w:firstLine="0"/>
              <w:jc w:val="center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 lists available at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CharisSIL" w:hAnsi="CharisSIL" w:eastAsia="CharisSIL"/>
                <w:b w:val="0"/>
                <w:i w:val="0"/>
                <w:color w:val="007F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0"/>
            <w:vMerge w:val="restart"/>
            <w:tcBorders>
              <w:top w:sz="2.3919999599456787" w:val="single" w:color="#000000"/>
              <w:end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50" cy="908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908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74" w:after="0"/>
              <w:ind w:left="0" w:right="0" w:firstLine="0"/>
              <w:jc w:val="center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Array</w:t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0" w:firstLine="0"/>
              <w:jc w:val="center"/>
            </w:pPr>
            <w:r>
              <w:rPr>
                <w:rFonts w:ascii="u" w:hAnsi="u" w:eastAsia="u"/>
                <w:b w:val="0"/>
                <w:i w:val="0"/>
                <w:color w:val="000000"/>
                <w:sz w:val="16"/>
              </w:rPr>
              <w:t>journal homepage:</w:t>
            </w:r>
            <w:r>
              <w:rPr>
                <w:rFonts w:ascii="u" w:hAnsi="u" w:eastAsia="u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u" w:hAnsi="u" w:eastAsia="u"/>
                <w:b w:val="0"/>
                <w:i w:val="0"/>
                <w:color w:val="007FAC"/>
                <w:sz w:val="16"/>
              </w:rPr>
              <w:hyperlink r:id="rId11" w:history="1">
                <w:r>
                  <w:rPr>
                    <w:rStyle w:val="Hyperlink"/>
                  </w:rPr>
                  <w:t>www.elsevier.com/locate/array</w:t>
                </w:r>
              </w:hyperlink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10402"/>
            <w:gridSpan w:val="3"/>
            <w:tcBorders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44" w:lineRule="exact" w:before="648" w:after="0"/>
        <w:ind w:left="6" w:right="158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Who watches the new watchmen? The challenges for drone digital forensics 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investigations</w:t>
      </w:r>
    </w:p>
    <w:p>
      <w:pPr>
        <w:autoSpaceDN w:val="0"/>
        <w:autoSpaceDE w:val="0"/>
        <w:widowControl/>
        <w:spacing w:line="380" w:lineRule="exact" w:before="0" w:after="0"/>
        <w:ind w:left="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1"/>
        </w:rPr>
        <w:t>Evangelos Mantas</w:t>
      </w:r>
      <w:r>
        <w:rPr>
          <w:rFonts w:ascii="CharisSIL" w:hAnsi="CharisSIL" w:eastAsia="CharisSIL"/>
          <w:b w:val="0"/>
          <w:i w:val="0"/>
          <w:color w:val="007FAC"/>
          <w:sz w:val="14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 Constantinos Patsakis</w:t>
      </w:r>
      <w:r>
        <w:rPr>
          <w:rFonts w:ascii="CharisSIL" w:hAnsi="CharisSIL" w:eastAsia="CharisSIL"/>
          <w:b w:val="0"/>
          <w:i w:val="0"/>
          <w:color w:val="007FAC"/>
          <w:sz w:val="14"/>
        </w:rPr>
        <w:t>b</w:t>
      </w:r>
      <w:r>
        <w:rPr>
          <w:w w:val="98.56266657511394"/>
          <w:rFonts w:ascii="CharisSIL" w:hAnsi="CharisSIL" w:eastAsia="CharisSIL"/>
          <w:b w:val="0"/>
          <w:i w:val="0"/>
          <w:color w:val="000000"/>
          <w:sz w:val="15"/>
        </w:rPr>
        <w:t>,</w:t>
      </w:r>
      <w:r>
        <w:rPr>
          <w:rFonts w:ascii="CharisSIL" w:hAnsi="CharisSIL" w:eastAsia="CharisSIL"/>
          <w:b w:val="0"/>
          <w:i w:val="0"/>
          <w:color w:val="007FAC"/>
          <w:sz w:val="14"/>
        </w:rPr>
        <w:t>c</w:t>
      </w:r>
      <w:r>
        <w:rPr>
          <w:w w:val="98.56266657511394"/>
          <w:rFonts w:ascii="CharisSIL" w:hAnsi="CharisSIL" w:eastAsia="CharisSIL"/>
          <w:b w:val="0"/>
          <w:i w:val="0"/>
          <w:color w:val="000000"/>
          <w:sz w:val="15"/>
        </w:rPr>
        <w:t>,</w:t>
      </w:r>
      <w:r>
        <w:rPr>
          <w:w w:val="98.56266657511394"/>
          <w:rFonts w:ascii="STIXMath" w:hAnsi="STIXMath" w:eastAsia="STIXMath"/>
          <w:b w:val="0"/>
          <w:i w:val="0"/>
          <w:color w:val="007FAC"/>
          <w:sz w:val="15"/>
        </w:rPr>
        <w:t>∗</w:t>
      </w:r>
    </w:p>
    <w:p>
      <w:pPr>
        <w:autoSpaceDN w:val="0"/>
        <w:autoSpaceDE w:val="0"/>
        <w:widowControl/>
        <w:spacing w:line="172" w:lineRule="exact" w:before="102" w:after="52"/>
        <w:ind w:left="6" w:right="6192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9"/>
        </w:rPr>
        <w:t>a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 University of Oxford, OX1 2JD Oxford, United Kingdom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9"/>
        </w:rPr>
        <w:t>b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 University of Piraeus, 80 Karaoli &amp; Dimitriou str, 18534 Piraeus, Greece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9"/>
        </w:rPr>
        <w:t>c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 Athena Research Center, Artemidos 6, Marousi 15125, Greece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652"/>
        </w:trPr>
        <w:tc>
          <w:tcPr>
            <w:tcW w:type="dxa" w:w="119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10" w:after="0"/>
              <w:ind w:left="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A R T I C L E</w:t>
            </w:r>
          </w:p>
        </w:tc>
        <w:tc>
          <w:tcPr>
            <w:tcW w:type="dxa" w:w="1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10" w:after="0"/>
              <w:ind w:left="98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I N F O</w:t>
            </w:r>
          </w:p>
        </w:tc>
        <w:tc>
          <w:tcPr>
            <w:tcW w:type="dxa" w:w="77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10" w:after="0"/>
              <w:ind w:left="62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A B S T R A C T</w:t>
            </w:r>
          </w:p>
        </w:tc>
      </w:tr>
      <w:tr>
        <w:trPr>
          <w:trHeight w:hRule="exact" w:val="3192"/>
        </w:trPr>
        <w:tc>
          <w:tcPr>
            <w:tcW w:type="dxa" w:w="119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" w:right="144" w:firstLine="0"/>
              <w:jc w:val="left"/>
            </w:pPr>
            <w:r>
              <w:rPr>
                <w:w w:val="98.09384712806116"/>
                <w:rFonts w:ascii="CharisSIL" w:hAnsi="CharisSIL" w:eastAsia="CharisSIL"/>
                <w:b w:val="0"/>
                <w:i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UAV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UAS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Drones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Digital forensics </w:t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Investigation </w:t>
            </w:r>
            <w:r>
              <w:br/>
            </w:r>
            <w:r>
              <w:rPr>
                <w:w w:val="98.09384712806116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Standardisation</w:t>
            </w:r>
          </w:p>
        </w:tc>
        <w:tc>
          <w:tcPr>
            <w:tcW w:type="dxa" w:w="1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620" w:right="32" w:firstLine="0"/>
              <w:jc w:val="both"/>
            </w:pP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The technological advance of drone technology has augmented the existing capabilities of flying vehicles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rendering them a valuable asset of the modern society. As more drones are expected to occupy the airspace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in the near future, security-related incidents, either malicious acts or accidents, will increase as well. The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forensics analysis of a security incident is essential, as drones are flying above populated areas and have also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been weaponised from radical forces and perpetrators. Thus, it is an imperative need to establish a Drone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Digital Forensics Investigation Framework and standardise the processes of collecting and processing such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>evidence.</w:t>
            </w:r>
          </w:p>
          <w:p>
            <w:pPr>
              <w:autoSpaceDN w:val="0"/>
              <w:autoSpaceDE w:val="0"/>
              <w:widowControl/>
              <w:spacing w:line="192" w:lineRule="exact" w:before="66" w:after="0"/>
              <w:ind w:left="620" w:right="30" w:firstLine="240"/>
              <w:jc w:val="both"/>
            </w:pP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Although there are numerous drone platforms in the market, the same principles apply to all of them; just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like mobile phones. Nevertheless, due to the nature of drones, standardised forensics procedures to date do not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manage to address the required processes and challenges that such investigations pose. Acknowledging this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need, we detail the unique characteristics of drones and the gaps in existing methodologies and standards,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showcasing that there are fundamental issues in terms of their forensics analysis from various perspectives,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ranging from operational and procedural ones, and escalate to manufacturers, as well as legal restrictions.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The above creates a very complex environment where coordinated actions must be made among the key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stakeholders. Therefore, this work paves the way to address these challenges by identifying the main issues, </w:t>
            </w:r>
            <w:r>
              <w:rPr>
                <w:w w:val="102.4728570665632"/>
                <w:rFonts w:ascii="CharisSIL" w:hAnsi="CharisSIL" w:eastAsia="CharisSIL"/>
                <w:b w:val="0"/>
                <w:i w:val="0"/>
                <w:color w:val="000000"/>
                <w:sz w:val="14"/>
              </w:rPr>
              <w:t>their origins, and the needs in the field by performing a thorough review of the literature and a gap analysis.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36"/>
        <w:ind w:left="0" w:right="0"/>
      </w:pPr>
    </w:p>
    <w:p>
      <w:pPr>
        <w:sectPr>
          <w:pgSz w:w="11906" w:h="15874"/>
          <w:pgMar w:top="334" w:right="726" w:bottom="496" w:left="746" w:header="720" w:footer="720" w:gutter="0"/>
          <w:cols w:space="720" w:num="1" w:equalWidth="0"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1. Introduction</w:t>
      </w:r>
    </w:p>
    <w:p>
      <w:pPr>
        <w:autoSpaceDN w:val="0"/>
        <w:autoSpaceDE w:val="0"/>
        <w:widowControl/>
        <w:spacing w:line="208" w:lineRule="exact" w:before="208" w:after="0"/>
        <w:ind w:left="6" w:right="178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few years ago, drones were exclusively used by government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military organisations, but the ever-evolving technology made them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accessible to the public. What was labelled as a ‘‘technology of the fu-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ture’’, quickly become a technology of today, as drones integrated to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needs of the market rapidly. Drones evolved from toy machines used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numerous flight enthusiasts to machines that can undertake operations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everyday tasks. From seemingly simple applications like high-level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quality infrastructure inspections, and everyday goods deliveries to life-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saving Search and Rescue (SAR) missions, drones have established 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value to the society. The revolutionary use of drones comes with side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effects as malicious actors have also evolved to incorporate drones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modus operandi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as they are cheap, reliable and easy to modify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carry payloads (e.g. drugs, explosive devices). Over the last five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years, drones have been used to disrupt airport operations,</w:t>
      </w:r>
      <w:r>
        <w:rPr>
          <w:rFonts w:ascii="CharisSIL" w:hAnsi="CharisSIL" w:eastAsia="CharisSIL"/>
          <w:b w:val="0"/>
          <w:i w:val="0"/>
          <w:color w:val="007FAC"/>
          <w:sz w:val="12"/>
        </w:rPr>
        <w:t>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attempted</w:t>
      </w:r>
    </w:p>
    <w:p>
      <w:pPr>
        <w:sectPr>
          <w:type w:val="continuous"/>
          <w:pgSz w:w="11906" w:h="15874"/>
          <w:pgMar w:top="334" w:right="726" w:bottom="496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54" w:after="0"/>
        <w:ind w:left="180" w:right="26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high-value persons assassinations,</w:t>
      </w:r>
      <w:r>
        <w:rPr>
          <w:rFonts w:ascii="CharisSIL" w:hAnsi="CharisSIL" w:eastAsia="CharisSIL"/>
          <w:b w:val="0"/>
          <w:i w:val="0"/>
          <w:color w:val="007FAC"/>
          <w:sz w:val="12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used in attacks against industry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complexes</w:t>
      </w:r>
      <w:r>
        <w:rPr>
          <w:rFonts w:ascii="CharisSIL" w:hAnsi="CharisSIL" w:eastAsia="CharisSIL"/>
          <w:b w:val="0"/>
          <w:i w:val="0"/>
          <w:color w:val="007FAC"/>
          <w:sz w:val="12"/>
        </w:rPr>
        <w:t>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name a few. The number of malicious acts is expected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rise since perpetrators are becoming more acquainted with this new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technology.</w:t>
      </w:r>
    </w:p>
    <w:p>
      <w:pPr>
        <w:autoSpaceDN w:val="0"/>
        <w:autoSpaceDE w:val="0"/>
        <w:widowControl/>
        <w:spacing w:line="236" w:lineRule="exact" w:before="52" w:after="322"/>
        <w:ind w:left="180" w:right="2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need to address this emerging technology has pushed Digital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Forensics Science to further specialise in handling incidents involving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drones and their supporting equipment or devices. Since this need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relatively new, there is a limited amount of information and specialisa-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 on the matter, and as there is no standardised practice to conduct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forensic investigation around drones, the investigator relies on already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established procedures, relevant to other digital devices, that may not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 applicable to a drone. Furthermore, the presence of a large number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different devices, that support the operation of a drone expands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complexity of the investigation, as the forensics expert will have to</w:t>
      </w:r>
    </w:p>
    <w:p>
      <w:pPr>
        <w:sectPr>
          <w:type w:val="nextColumn"/>
          <w:pgSz w:w="11906" w:h="15874"/>
          <w:pgMar w:top="334" w:right="726" w:bottom="496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142" w:right="0" w:firstLine="0"/>
        <w:jc w:val="left"/>
      </w:pPr>
      <w:r>
        <w:rPr>
          <w:rFonts w:ascii="STIXMath" w:hAnsi="STIXMath" w:eastAsia="STIXMath"/>
          <w:b w:val="0"/>
          <w:i w:val="0"/>
          <w:color w:val="000000"/>
          <w:sz w:val="14"/>
        </w:rPr>
        <w:t>∗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 Corresponding au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>thor at: University of Pir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aeus, 80 Kara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oli &amp; Dimitriou 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tr, 18534 Piraeus, Greece.</w:t>
      </w:r>
    </w:p>
    <w:p>
      <w:pPr>
        <w:autoSpaceDN w:val="0"/>
        <w:autoSpaceDE w:val="0"/>
        <w:widowControl/>
        <w:spacing w:line="258" w:lineRule="exact" w:before="0" w:after="0"/>
        <w:ind w:left="304" w:right="0" w:firstLine="0"/>
        <w:jc w:val="left"/>
      </w:pP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hyperlink r:id="rId15" w:history="1">
          <w:r>
            <w:rPr>
              <w:rStyle w:val="Hyperlink"/>
            </w:rPr>
            <w:t>E-mail addresses: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3" w:history="1">
          <w:r>
            <w:rPr>
              <w:rStyle w:val="Hyperlink"/>
            </w:rPr>
            <w:t>emantas000@gmail.com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 xml:space="preserve"> (E. Mantas),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kpatsak@unipi.gr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 xml:space="preserve"> (C. Patsakis).</w:t>
          </w:r>
        </w:hyperlink>
      </w:r>
    </w:p>
    <w:p>
      <w:pPr>
        <w:autoSpaceDN w:val="0"/>
        <w:autoSpaceDE w:val="0"/>
        <w:widowControl/>
        <w:spacing w:line="190" w:lineRule="exact" w:before="118" w:after="0"/>
        <w:ind w:left="158" w:right="144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0"/>
        </w:rPr>
        <w:t>1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https://www.forb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3" w:history="1">
          <w:r>
            <w:rPr>
              <w:rStyle w:val="Hyperlink"/>
            </w:rPr>
            <w:t>es.com/sites/grantmartin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/2019/01/08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/lon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dons-heathro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w-airport-briefly-closed-following-possible-drone-sighting/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. </w:t>
      </w:r>
      <w:r>
        <w:rPr>
          <w:rFonts w:ascii="CharisSIL" w:hAnsi="CharisSIL" w:eastAsia="CharisSIL"/>
          <w:b w:val="0"/>
          <w:i w:val="0"/>
          <w:color w:val="000000"/>
          <w:sz w:val="10"/>
        </w:rPr>
        <w:t>2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6" w:history="1">
          <w:r>
            <w:rPr>
              <w:rStyle w:val="Hyperlink"/>
            </w:rPr>
            <w:t>https://www.bbc.com/news/world-latin-america-45073385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6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308" w:lineRule="exact" w:before="0" w:after="0"/>
        <w:ind w:left="158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0"/>
        </w:rPr>
        <w:t>3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6" w:history="1">
          <w:r>
            <w:rPr>
              <w:rStyle w:val="Hyperlink"/>
            </w:rPr>
            <w:t>https://www.nytimes.com/2019/09/14/world/middleeast/s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6" w:history="1">
          <w:r>
            <w:rPr>
              <w:rStyle w:val="Hyperlink"/>
            </w:rPr>
            <w:t>audi-arabia-refineries-drone-attack.html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258" w:lineRule="exact" w:before="78" w:after="0"/>
        <w:ind w:left="6" w:right="0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9" w:history="1">
          <w:r>
            <w:rPr>
              <w:rStyle w:val="Hyperlink"/>
            </w:rPr>
            <w:t>https://doi.org/10.1016/j.array.2022.100135</w:t>
          </w:r>
        </w:hyperlink>
      </w:r>
    </w:p>
    <w:p>
      <w:pPr>
        <w:autoSpaceDN w:val="0"/>
        <w:autoSpaceDE w:val="0"/>
        <w:widowControl/>
        <w:spacing w:line="258" w:lineRule="exact" w:before="0" w:after="0"/>
        <w:ind w:left="6" w:right="0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 xml:space="preserve">Received 29 June 2021; Received in revised 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form 3 October 2021; Accepted 22 February 2022</w:t>
      </w:r>
    </w:p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Available online 11 March 2022</w:t>
      </w: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center"/>
      </w:pP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hyperlink r:id="rId17" w:history="1">
          <w:r>
            <w:rPr>
              <w:rStyle w:val="Hyperlink"/>
            </w:rPr>
            <w:t>2590-0056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/© 2022 The Authors. Published by Elsevier Inc. This is an open access article under the CC BY-NC-ND license (</w:t>
      </w: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17" w:history="1">
          <w:r>
            <w:rPr>
              <w:rStyle w:val="Hyperlink"/>
            </w:rPr>
            <w:t>http://creativecommons.org/licenses/by-</w:t>
          </w:r>
        </w:hyperlink>
      </w:r>
    </w:p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17" w:history="1">
          <w:r>
            <w:rPr>
              <w:rStyle w:val="Hyperlink"/>
            </w:rPr>
            <w:t>nc-nd/4.0/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34" w:right="726" w:bottom="496" w:left="746" w:header="720" w:footer="720" w:gutter="0"/>
          <w:cols w:space="720" w:num="1" w:equalWidth="0"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14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E. Mantas and C. Patsakis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100135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80" w:after="0"/>
        <w:ind w:left="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handle the supporting devices as well as to find and correlate evidence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regarding the drone operation.</w:t>
      </w:r>
    </w:p>
    <w:p>
      <w:pPr>
        <w:autoSpaceDN w:val="0"/>
        <w:autoSpaceDE w:val="0"/>
        <w:widowControl/>
        <w:spacing w:line="208" w:lineRule="exact" w:before="80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work focuses on explaining the reason behind the need for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standardised procedure by identifying the related devices needed to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examined and the evidence stored in them. Therefore, we review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related literature, highlighting key differences with traditional digital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forensics operations and the challenges that these introduce. We argue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 since both drone accidents and malicious acts will become 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creasingly frequent in the near future, a forensics framework to handle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such incidents should be set in a timely manner. In this regard, our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work performs a thorough literature review which covers the work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both academic and ‘gray’ literature as it spans to, e.g. international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standards. Based on this, our gap analysis illustrates the needs in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field and serves as a guideline for both academic and practitioners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field.</w:t>
      </w:r>
    </w:p>
    <w:p>
      <w:pPr>
        <w:autoSpaceDN w:val="0"/>
        <w:autoSpaceDE w:val="0"/>
        <w:widowControl/>
        <w:spacing w:line="206" w:lineRule="exact" w:before="78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rest of this manuscript is organised as follows. First, we present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related work by first providing an overview of the drone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most relevant forensics tools for drones. Then, in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we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discuss which are the primary sources for evidence in a drone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their types, to proceed with a generic overview of the cases that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forensics investigator would have to face. To facilitate her task, we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accompany the latter with a comprehensive and prioritised list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evidence for each case. In Section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4.1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we first present the relevant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forensic models and standards to discuss the primary challenges in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forensics investigation in the form of a gap analysis afterwards.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key differences of drones and their particularities indicate that we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currently missing not only the needed tools but also the procedures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address the upcoming forensics cases. The article then concludes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streamlines some key findings and open issues for the further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 of the field.</w:t>
      </w:r>
    </w:p>
    <w:p>
      <w:pPr>
        <w:autoSpaceDN w:val="0"/>
        <w:autoSpaceDE w:val="0"/>
        <w:widowControl/>
        <w:spacing w:line="286" w:lineRule="exact" w:before="11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2. Related work</w:t>
      </w:r>
    </w:p>
    <w:p>
      <w:pPr>
        <w:autoSpaceDN w:val="0"/>
        <w:autoSpaceDE w:val="0"/>
        <w:widowControl/>
        <w:spacing w:line="208" w:lineRule="exact" w:before="204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goal of this section is to acquaint the reader with the drone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existing tools to collect forensic evidence from a drone. Therefore,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 briefly provide an overview of a drone and proceed to present some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relevant tools and their scope.</w:t>
      </w:r>
    </w:p>
    <w:p>
      <w:pPr>
        <w:autoSpaceDN w:val="0"/>
        <w:autoSpaceDE w:val="0"/>
        <w:widowControl/>
        <w:spacing w:line="286" w:lineRule="exact" w:before="122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2.1. Overview of a drone</w:t>
      </w:r>
    </w:p>
    <w:p>
      <w:pPr>
        <w:autoSpaceDN w:val="0"/>
        <w:autoSpaceDE w:val="0"/>
        <w:widowControl/>
        <w:spacing w:line="208" w:lineRule="exact" w:before="204" w:after="0"/>
        <w:ind w:left="0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Unmanned Aerial Vehicles are commonly acknowledged as drones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 everyday life. It is important to make a distinction between the sys-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tems with autonomous capabilities and the hobbyist flying machines;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capabilities of which rely only on the pilot’s skills. Since these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radio-controlled (RC) machines require minimal and basic hardware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fly, usually a ‘flight board‘ to receive and process the signal to spin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motors, they do not offer any tangible digital forensics. Therefore,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work focuses on drones with autonomous capabilities. The primary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components of a drone are the following:</w:t>
      </w:r>
    </w:p>
    <w:p>
      <w:pPr>
        <w:autoSpaceDN w:val="0"/>
        <w:autoSpaceDE w:val="0"/>
        <w:widowControl/>
        <w:spacing w:line="208" w:lineRule="exact" w:before="128" w:after="0"/>
        <w:ind w:left="398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Flight Controller: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The most critical component of a drone since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 contains a variety of sensors (e.g. accelerometer, gyroscope)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software, or as widely know as the autopilot, to allow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execution of autonomous commands and more complex flight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scenarios. The flight controller can also receive input from sensors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(e.g. lidar, infrared) and adjust the flight path to avoid collision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 nearby objects without any human interaction.</w:t>
      </w:r>
    </w:p>
    <w:p>
      <w:pPr>
        <w:autoSpaceDN w:val="0"/>
        <w:autoSpaceDE w:val="0"/>
        <w:widowControl/>
        <w:spacing w:line="208" w:lineRule="exact" w:before="78" w:after="0"/>
        <w:ind w:left="398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Companion Computer: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The flight controller can be directly con-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nected to a small on-board companion computer (e.g. Raspberry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Pi, Asus Tinker-board) that augments the drones’ capabilities even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further, running a real-time Operating System (OS). A task like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 object avoidance can be executed by combining the on-board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range-finding sensors connected on the companion computer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 that feedback to the flight controller. Companion comput-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ers are expected to be found on makeshift/DIY flying machines 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very sophisticated commercial drones to handle demanding tasks,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 as object avoidance and 3D object reconstruction.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708660</wp:posOffset>
            </wp:positionV>
            <wp:extent cx="3270250" cy="2468688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4686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698500</wp:posOffset>
            </wp:positionV>
            <wp:extent cx="3276600" cy="2489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38" w:val="left"/>
        </w:tabs>
        <w:autoSpaceDE w:val="0"/>
        <w:widowControl/>
        <w:spacing w:line="230" w:lineRule="exact" w:before="0" w:after="0"/>
        <w:ind w:left="6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E. Mantas and C. Patsakis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100135</w:t>
      </w:r>
    </w:p>
    <w:p>
      <w:pPr>
        <w:autoSpaceDN w:val="0"/>
        <w:autoSpaceDE w:val="0"/>
        <w:widowControl/>
        <w:spacing w:line="240" w:lineRule="auto" w:before="4170" w:after="0"/>
        <w:ind w:left="0" w:right="30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04800" cy="76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164" w:after="184"/>
        <w:ind w:left="0" w:right="0" w:firstLine="0"/>
        <w:jc w:val="center"/>
      </w:pPr>
      <w:r>
        <w:rPr>
          <w:w w:val="98.09384712806116"/>
          <w:rFonts w:ascii="CharisSIL" w:hAnsi="CharisSIL" w:eastAsia="CharisSIL"/>
          <w:b/>
          <w:i w:val="0"/>
          <w:color w:val="000000"/>
          <w:sz w:val="13"/>
        </w:rPr>
        <w:t>Fig. 1.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 Components of an Unmanned Aerial System (UAS).</w:t>
      </w:r>
    </w:p>
    <w:p>
      <w:pPr>
        <w:sectPr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6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Unmanned Aircraft (UmA):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The flying vehicle as described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previous section, is probably the most critical component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since the whole system exists to assist the drone’s operation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its autonomous capabilities. It should also be noted that another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multiple flying vehicles may be part of the same UAS, which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 described as a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swarm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10" w:lineRule="exact" w:before="78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Ground Control Station (GCS):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Ground Control Station is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ground-based software and hardware that provides communica-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 and enables the remote control of the drone. GCS software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 be installed on systems on fixed locations (e.g. military air-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bases) or in portable systems such as laptops and mobile phones.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acquisition of the GCS device is of great significance since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 contains most of the flight data and can be linked with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individual. There are commercially available drones that come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equipped with controllers with proprietary software to control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drone, a hybrid device combining the analogue RF control and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digital interface of a mobile platform, the acquisition of which can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 contain considerable evidence.</w:t>
      </w:r>
    </w:p>
    <w:p>
      <w:pPr>
        <w:autoSpaceDN w:val="0"/>
        <w:autoSpaceDE w:val="0"/>
        <w:widowControl/>
        <w:spacing w:line="210" w:lineRule="exact" w:before="78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Communication Data-Link (CDL):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Data links are mainly used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UAV control, video transmission from the on-board camera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telemetry providing information on the location of the vehicle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other sensor values. Each data link broadcasts on a different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radio-frequency (RF) wavelength with 4 GHz and 900 Mhz mainly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being used for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UAV control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 3-4–5 GHz for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video transmission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400–900 Mhz for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telemetry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>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Small UAVs (sUAV) may also use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Bluetooth and WiFi communications to execute all the previous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operations, but their flight radius is significantly reduced.</w:t>
      </w:r>
    </w:p>
    <w:p>
      <w:pPr>
        <w:autoSpaceDN w:val="0"/>
        <w:autoSpaceDE w:val="0"/>
        <w:widowControl/>
        <w:spacing w:line="212" w:lineRule="exact" w:before="122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All these interconnected components store data related to the drone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operation or serve them to other devices. These data can be classified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 the following types:</w:t>
      </w:r>
    </w:p>
    <w:p>
      <w:pPr>
        <w:autoSpaceDN w:val="0"/>
        <w:autoSpaceDE w:val="0"/>
        <w:widowControl/>
        <w:spacing w:line="210" w:lineRule="exact" w:before="128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Flight logs and predefined flight missions: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As mentioned be-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fore, the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flight controller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 is responsible for the autonomous ca-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pabilities, has another function during the flight. It generates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log that contains information about critical sensors like the GPS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position and altitude, resulting in a reconstruction of the flight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path, providing valuable information about the drone activity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forensics investigator. Moreover, they contain key equipment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 and error logs. For instance, battery and signal statistics</w:t>
      </w:r>
    </w:p>
    <w:p>
      <w:pPr>
        <w:autoSpaceDN w:val="0"/>
        <w:tabs>
          <w:tab w:pos="158" w:val="left"/>
        </w:tabs>
        <w:autoSpaceDE w:val="0"/>
        <w:widowControl/>
        <w:spacing w:line="190" w:lineRule="exact" w:before="418" w:after="0"/>
        <w:ind w:left="6" w:right="72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0"/>
        </w:rPr>
        <w:t>4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9" w:history="1">
          <w:r>
            <w:rPr>
              <w:rStyle w:val="Hyperlink"/>
            </w:rPr>
            <w:t>https://www.911security.com/learn/airspace-security/drone-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9" w:history="1">
          <w:r>
            <w:rPr>
              <w:rStyle w:val="Hyperlink"/>
            </w:rPr>
            <w:t>fund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19" w:history="1">
          <w:r>
            <w:rPr>
              <w:rStyle w:val="Hyperlink"/>
            </w:rPr>
            <w:t>amentals/drone-communication-data-link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9" w:history="1">
          <w:r>
            <w:rPr>
              <w:rStyle w:val="Hyperlink"/>
            </w:rPr>
            <w:t>.</w:t>
          </w:r>
        </w:hyperlink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3517900</wp:posOffset>
            </wp:positionV>
            <wp:extent cx="3200400" cy="2413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1270000</wp:posOffset>
            </wp:positionV>
            <wp:extent cx="4064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1130300</wp:posOffset>
            </wp:positionV>
            <wp:extent cx="38100" cy="63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939800</wp:posOffset>
            </wp:positionV>
            <wp:extent cx="38100" cy="76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1270000</wp:posOffset>
            </wp:positionV>
            <wp:extent cx="482600" cy="50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5257800</wp:posOffset>
            </wp:positionH>
            <wp:positionV relativeFrom="page">
              <wp:posOffset>723900</wp:posOffset>
            </wp:positionV>
            <wp:extent cx="381000" cy="5969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96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1460500</wp:posOffset>
            </wp:positionV>
            <wp:extent cx="952500" cy="3556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1435100</wp:posOffset>
            </wp:positionV>
            <wp:extent cx="990600" cy="3683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5067300</wp:posOffset>
            </wp:positionH>
            <wp:positionV relativeFrom="page">
              <wp:posOffset>1473200</wp:posOffset>
            </wp:positionV>
            <wp:extent cx="800100" cy="3810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1955800</wp:posOffset>
            </wp:positionV>
            <wp:extent cx="190500" cy="2540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1968500</wp:posOffset>
            </wp:positionV>
            <wp:extent cx="355600" cy="2540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3911600</wp:posOffset>
            </wp:positionH>
            <wp:positionV relativeFrom="page">
              <wp:posOffset>1930400</wp:posOffset>
            </wp:positionV>
            <wp:extent cx="558800" cy="279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2336800</wp:posOffset>
            </wp:positionH>
            <wp:positionV relativeFrom="page">
              <wp:posOffset>2425700</wp:posOffset>
            </wp:positionV>
            <wp:extent cx="1028700" cy="292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2438400</wp:posOffset>
            </wp:positionV>
            <wp:extent cx="1016000" cy="304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5207000</wp:posOffset>
            </wp:positionH>
            <wp:positionV relativeFrom="page">
              <wp:posOffset>2476500</wp:posOffset>
            </wp:positionV>
            <wp:extent cx="469900" cy="2540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2343150</wp:posOffset>
            </wp:positionH>
            <wp:positionV relativeFrom="page">
              <wp:posOffset>707390</wp:posOffset>
            </wp:positionV>
            <wp:extent cx="3517900" cy="2036358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03635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E. Mantas and C. Patsakis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100135</w:t>
      </w:r>
    </w:p>
    <w:p>
      <w:pPr>
        <w:autoSpaceDN w:val="0"/>
        <w:autoSpaceDE w:val="0"/>
        <w:widowControl/>
        <w:spacing w:line="240" w:lineRule="auto" w:before="750" w:after="0"/>
        <w:ind w:left="18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80" w:after="0"/>
        <w:ind w:left="18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20" w:after="0"/>
        <w:ind w:left="18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91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40" w:after="0"/>
        <w:ind w:left="18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436" w:after="182"/>
        <w:ind w:left="0" w:right="0" w:firstLine="0"/>
        <w:jc w:val="center"/>
      </w:pPr>
      <w:r>
        <w:rPr>
          <w:w w:val="98.09384712806116"/>
          <w:rFonts w:ascii="CharisSIL" w:hAnsi="CharisSIL" w:eastAsia="CharisSIL"/>
          <w:b/>
          <w:i w:val="0"/>
          <w:color w:val="000000"/>
          <w:sz w:val="13"/>
        </w:rPr>
        <w:t>Fig. 2.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 Evidence Distribution on UAS devices.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398" w:right="7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like the SD card. Provided with the fact that storage capacities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micro SD cards have exceeded the TB mark, the low price per byte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ratio has established them as the dominant data storage solution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UAVs. Most of the drones have an SD card slot to save images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video footage recorded during the flight or even the ‘‘hard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drive’’ of the companion computer.</w:t>
      </w:r>
    </w:p>
    <w:p>
      <w:pPr>
        <w:autoSpaceDN w:val="0"/>
        <w:autoSpaceDE w:val="0"/>
        <w:widowControl/>
        <w:spacing w:line="210" w:lineRule="exact" w:before="78" w:after="0"/>
        <w:ind w:left="398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Companion Computer Storage: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As mentioned before, compan-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ion computers are running a real-time OS. This may contain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digital evidence as ‘‘raw’’ information of drones activity, like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execution of flight-mission scripts and transmission of data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 devices.</w:t>
      </w:r>
    </w:p>
    <w:p>
      <w:pPr>
        <w:autoSpaceDN w:val="0"/>
        <w:autoSpaceDE w:val="0"/>
        <w:widowControl/>
        <w:spacing w:line="210" w:lineRule="exact" w:before="78" w:after="0"/>
        <w:ind w:left="398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Mobile Devices: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Mobile GCS applications provide the ability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control a drone or receive a payload (e.g. video stream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drone’s on-board camera) via wireless connection (e.g. WiFi,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Bluetooth) and should also be considered as a prospective data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source that can be directly linked to the pilot.</w:t>
      </w:r>
    </w:p>
    <w:p>
      <w:pPr>
        <w:autoSpaceDN w:val="0"/>
        <w:autoSpaceDE w:val="0"/>
        <w:widowControl/>
        <w:spacing w:line="210" w:lineRule="exact" w:before="78" w:after="0"/>
        <w:ind w:left="398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Network Packets: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The monitoring and capturing of packets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UAS network, can lead to the discovery of numerous payloads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 devices and servers that the fight data are stored, as an addi-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tional source of evidence that could not be otherwise obvious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forensic investigator.</w:t>
      </w:r>
    </w:p>
    <w:p>
      <w:pPr>
        <w:autoSpaceDN w:val="0"/>
        <w:autoSpaceDE w:val="0"/>
        <w:widowControl/>
        <w:spacing w:line="210" w:lineRule="exact" w:before="78" w:after="0"/>
        <w:ind w:left="398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Cloud Storage: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There is a currently increasing trend in UAV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technology, where manufacturers allow their clients to store 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logs and images on their servers. Data storage outsourcing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third parties’ servers, internal UAS cloud, and backup servers,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due to the demand to reduce local storage media, should also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 during a UAS forensics investigation.</w:t>
      </w:r>
    </w:p>
    <w:p>
      <w:pPr>
        <w:autoSpaceDN w:val="0"/>
        <w:autoSpaceDE w:val="0"/>
        <w:widowControl/>
        <w:spacing w:line="210" w:lineRule="exact" w:before="166" w:after="0"/>
        <w:ind w:left="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 indicative list of the devices and the evidence found on a typical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UAS is illustrated in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Fig. 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86" w:lineRule="exact" w:before="154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3.2. Cases for forensics investigation</w:t>
      </w:r>
    </w:p>
    <w:p>
      <w:pPr>
        <w:autoSpaceDN w:val="0"/>
        <w:tabs>
          <w:tab w:pos="238" w:val="left"/>
        </w:tabs>
        <w:autoSpaceDE w:val="0"/>
        <w:widowControl/>
        <w:spacing w:line="212" w:lineRule="exact" w:before="220" w:after="0"/>
        <w:ind w:left="0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 is deemed necessary to outline the cases that a digital forensic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investigation would be required, to highlight which evidence might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available and which ones could be more more relevant for each case.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most ‘‘benign’’ cases involve accidents where the forensic 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vestigator should determine its causes. It is clear that even a small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malfunction, due to the altitude that a drone may have and the dif-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ficulty to balance once something starts falling from the sky, severe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damages would be suffered by the drone. Moreover, while one may not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care about the damage to the drone and its payload per se, insurance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issues due to the caused damages may require the investigation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accident. It should be noted that weather issues due to sudden and local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phenomena or even collisions with a bird or another drone fall into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accident category and have to be investigated. In such cases, the 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relevant evidence would be the flight logs and media captured, since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4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8" w:val="left"/>
        </w:tabs>
        <w:autoSpaceDE w:val="0"/>
        <w:widowControl/>
        <w:spacing w:line="230" w:lineRule="exact" w:before="0" w:after="140"/>
        <w:ind w:left="6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E. Mantas and C. Patsakis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100135</w:t>
      </w:r>
    </w:p>
    <w:p>
      <w:pPr>
        <w:sectPr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6" w:right="7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has to assess the actual impact as further damages may have been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caused. The evidence will allow her to estimate when and where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incident occurred but also to extract some key locations of interest,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e.g. from where the drone was launched and where it was heading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to. The scheduled flight and the payload may also denote the drone’s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purpose. For the attribution, the investigator also has to consider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stored data (images, videos), metadata (emails, registered accounts,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stored WiFi), hardware tags, as well as wet evidence (fingerprints,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DNA) to assess the possible owner and controller of the drone. Clearly,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above highlight the strong connection of the digital evidence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physical ones which act rather complementary.</w:t>
      </w:r>
    </w:p>
    <w:p>
      <w:pPr>
        <w:autoSpaceDN w:val="0"/>
        <w:autoSpaceDE w:val="0"/>
        <w:widowControl/>
        <w:spacing w:line="210" w:lineRule="exact" w:before="78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To summarise the evidence collection sources, in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Table 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 we high-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light and prioritise the most relevant evidence sources per case.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table clearly shows how the generic cases we discussed earlier differ 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investigator has to look for different evidence.</w:t>
      </w:r>
    </w:p>
    <w:p>
      <w:pPr>
        <w:autoSpaceDN w:val="0"/>
        <w:autoSpaceDE w:val="0"/>
        <w:widowControl/>
        <w:spacing w:line="286" w:lineRule="exact" w:before="138" w:after="0"/>
        <w:ind w:left="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4. Challenges and gaps for drone digital forensics</w:t>
      </w:r>
    </w:p>
    <w:p>
      <w:pPr>
        <w:autoSpaceDN w:val="0"/>
        <w:autoSpaceDE w:val="0"/>
        <w:widowControl/>
        <w:spacing w:line="210" w:lineRule="exact" w:before="214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There is a constant challenge to stay up to date with the rapid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changes in the latest technologies. Drones are beginning to shape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tomorrow’s society, used by many individuals for both personal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professional purposes. The challenge of carrying out digital forensics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drones and associated devices as part of the UAS, is to identify flight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routes, possible malfunctions, collisions, and associated media (pictures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videos) contained within the system’s devices. These may facilitate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investigator to understand the mission of the drone, whether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operation was successfully performed, the people or assets that were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affected by it, and the reasons behind possible damage or collision.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findings derived from electronic evidence must follow a standard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set of guidelines to ensure that the investigation is not challenged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 court of law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Moreover, the border-less nature should also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considered due to cloud storage (e.g. evidence on a server hosted in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third country). In fact, as indicated by NIST, cloud forensics are also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facing many challenges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and a draft mapping of, e.g. ISO 27037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 not that simple.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Additionally, the provision of the evidence from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cloud provider or a third party, in general, is not necessarily granted,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 shown in the case of Apple and the San Bernardino shooting case.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 xml:space="preserve">7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Note that even if the cloud service provider is willing to cooperate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data may be stored across different servers and countries.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presence of multiple devices and various formats on a UAS requires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high level of expertise from the forensic’s experts that take part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investigation since each device requires different acquisition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examination techniques.</w:t>
      </w:r>
    </w:p>
    <w:p>
      <w:pPr>
        <w:autoSpaceDN w:val="0"/>
        <w:autoSpaceDE w:val="0"/>
        <w:widowControl/>
        <w:spacing w:line="288" w:lineRule="exact" w:before="138" w:after="0"/>
        <w:ind w:left="6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4.1. Relevant standards, practices and challenges</w:t>
      </w:r>
    </w:p>
    <w:p>
      <w:pPr>
        <w:autoSpaceDN w:val="0"/>
        <w:autoSpaceDE w:val="0"/>
        <w:widowControl/>
        <w:spacing w:line="210" w:lineRule="exact" w:before="214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Standards are a vital necessity to ensure conformance and mutual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compliance across the geographical and jurisdictional border. There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currently numerous standards and established practices provided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organisations worldwide using accepted methods. The technical details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how to forensically approach the investigation differs, depending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device. The analysis of electronic evidence is typically categorised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into the following phases: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identification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collection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acquisition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preser-</w:t>
      </w:r>
      <w:r>
        <w:rPr>
          <w:rFonts w:ascii="CharisSIL" w:hAnsi="CharisSIL" w:eastAsia="CharisSIL"/>
          <w:b w:val="0"/>
          <w:i/>
          <w:color w:val="000000"/>
          <w:sz w:val="16"/>
        </w:rPr>
        <w:t>vation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and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disposal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although the exact phases naming may vary due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the usage of different forensic model that each organisation finds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appropriate for their needs.</w:t>
      </w:r>
    </w:p>
    <w:p>
      <w:pPr>
        <w:autoSpaceDN w:val="0"/>
        <w:autoSpaceDE w:val="0"/>
        <w:widowControl/>
        <w:spacing w:line="210" w:lineRule="exact" w:before="78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Currently, there are several models and methodologies regarding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handling of evidence and digital forensic procedures during an 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vestigation. These include the DFRWS model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the Enhanced Digital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Investigation Process Model (EDIP)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13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the Analytical Crime Scene</w:t>
      </w:r>
    </w:p>
    <w:p>
      <w:pPr>
        <w:autoSpaceDN w:val="0"/>
        <w:tabs>
          <w:tab w:pos="158" w:val="left"/>
        </w:tabs>
        <w:autoSpaceDE w:val="0"/>
        <w:widowControl/>
        <w:spacing w:line="192" w:lineRule="exact" w:before="404" w:after="0"/>
        <w:ind w:left="6" w:right="288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0"/>
        </w:rPr>
        <w:t>6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2" w:history="1">
          <w:r>
            <w:rPr>
              <w:rStyle w:val="Hyperlink"/>
            </w:rPr>
            <w:t>https://downloads.cloudsecurityalliance.org/initiatives/imf/Mapping-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2" w:history="1">
          <w:r>
            <w:rPr>
              <w:rStyle w:val="Hyperlink"/>
            </w:rPr>
            <w:t>the-F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2" w:history="1">
          <w:r>
            <w:rPr>
              <w:rStyle w:val="Hyperlink"/>
            </w:rPr>
            <w:t>orensic-Standard-ISO-IEC-27037-to-Cloud-Computing.pdf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43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158" w:val="left"/>
        </w:tabs>
        <w:autoSpaceDE w:val="0"/>
        <w:widowControl/>
        <w:spacing w:line="190" w:lineRule="exact" w:before="120" w:after="0"/>
        <w:ind w:left="6" w:right="144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0"/>
        </w:rPr>
        <w:hyperlink r:id="rId42" w:history="1">
          <w:r>
            <w:rPr>
              <w:rStyle w:val="Hyperlink"/>
            </w:rPr>
            <w:t>7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2" w:history="1">
          <w:r>
            <w:rPr>
              <w:rStyle w:val="Hyperlink"/>
            </w:rPr>
            <w:t>https://edition.cnn.com/2016/02/16/us/san-bernardino-s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3" w:history="1">
          <w:r>
            <w:rPr>
              <w:rStyle w:val="Hyperlink"/>
            </w:rPr>
            <w:t>hooter-phone-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3" w:history="1">
          <w:r>
            <w:rPr>
              <w:rStyle w:val="Hyperlink"/>
            </w:rPr>
            <w:t>appl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3" w:history="1">
          <w:r>
            <w:rPr>
              <w:rStyle w:val="Hyperlink"/>
            </w:rPr>
            <w:t>e/index.html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43" w:history="1">
          <w:r>
            <w:rPr>
              <w:rStyle w:val="Hyperlink"/>
            </w:rPr>
            <w:t>.</w:t>
          </w:r>
        </w:hyperlink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5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8" w:val="left"/>
        </w:tabs>
        <w:autoSpaceDE w:val="0"/>
        <w:widowControl/>
        <w:spacing w:line="230" w:lineRule="exact" w:before="0" w:after="140"/>
        <w:ind w:left="6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E. Mantas and C. Patsakis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100135</w:t>
      </w:r>
    </w:p>
    <w:p>
      <w:pPr>
        <w:sectPr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80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27038:2014: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Describes the digital redaction of informa-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 that must not be disclosed, taking extreme care to ensure 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removed information is permanently unrecoverable.</w:t>
      </w:r>
    </w:p>
    <w:p>
      <w:pPr>
        <w:autoSpaceDN w:val="0"/>
        <w:autoSpaceDE w:val="0"/>
        <w:widowControl/>
        <w:spacing w:line="210" w:lineRule="exact" w:before="76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27040:2015: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Provides detailed technical guidance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 organisations can define an appropriate level of risk miti-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gation by employing a well-proven and consistent approach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planning, design, documentation, and implementation of data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storage security.</w:t>
      </w:r>
    </w:p>
    <w:p>
      <w:pPr>
        <w:autoSpaceDN w:val="0"/>
        <w:autoSpaceDE w:val="0"/>
        <w:widowControl/>
        <w:spacing w:line="210" w:lineRule="exact" w:before="78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27041:2015: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Describes other standards and documents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provide guidance, setting the fundamental principles ensuring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tools, techniques and methods, appropriately selected for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investigation.</w:t>
      </w:r>
    </w:p>
    <w:p>
      <w:pPr>
        <w:autoSpaceDN w:val="0"/>
        <w:autoSpaceDE w:val="0"/>
        <w:widowControl/>
        <w:spacing w:line="210" w:lineRule="exact" w:before="76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27042:2015: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This standard describes how methods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processes to be used during an investigation can be designed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implemented to allow correct evaluation of potential digital evi-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dence, interpretation of digital evidence, and effective reporting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findings.</w:t>
      </w:r>
    </w:p>
    <w:p>
      <w:pPr>
        <w:autoSpaceDN w:val="0"/>
        <w:autoSpaceDE w:val="0"/>
        <w:widowControl/>
        <w:spacing w:line="210" w:lineRule="exact" w:before="80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27043:2015: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It defines the key common principles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processes underlying the investigation of incidents and provides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 framework model for all stages of investigations.</w:t>
      </w:r>
    </w:p>
    <w:p>
      <w:pPr>
        <w:autoSpaceDN w:val="0"/>
        <w:autoSpaceDE w:val="0"/>
        <w:widowControl/>
        <w:spacing w:line="208" w:lineRule="exact" w:before="80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27050: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This recently revised standard guides non-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technical and technical personnel to handle evidence on electron-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ically stored information (ESI).</w:t>
      </w:r>
    </w:p>
    <w:p>
      <w:pPr>
        <w:autoSpaceDN w:val="0"/>
        <w:autoSpaceDE w:val="0"/>
        <w:widowControl/>
        <w:spacing w:line="210" w:lineRule="exact" w:before="78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17025:2017: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This standard describes the general 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quirements for the competence of testing and calibration lab-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oratories, applying to all organisations performing laboratory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activities, regardless of the number of personnel.</w:t>
      </w:r>
    </w:p>
    <w:p>
      <w:pPr>
        <w:autoSpaceDN w:val="0"/>
        <w:autoSpaceDE w:val="0"/>
        <w:widowControl/>
        <w:spacing w:line="210" w:lineRule="exact" w:before="78" w:after="0"/>
        <w:ind w:left="404" w:right="74" w:hanging="128"/>
        <w:jc w:val="both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 ISO/IEC 30121:2015: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Provides a framework for organisations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strategically prepare for a digital investigation before an incident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occurs, to maximise the effectiveness of the investigation.</w:t>
      </w:r>
    </w:p>
    <w:p>
      <w:pPr>
        <w:autoSpaceDN w:val="0"/>
        <w:tabs>
          <w:tab w:pos="244" w:val="left"/>
        </w:tabs>
        <w:autoSpaceDE w:val="0"/>
        <w:widowControl/>
        <w:spacing w:line="210" w:lineRule="exact" w:before="160" w:after="0"/>
        <w:ind w:left="6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ETSI is a European Standards Organization that produces standards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ICT systems and services that are used all around the world,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collaborating with numerous organisations. In 2020 ETSI published 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103 643 V1.1.1 (2020-01)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a set of techniques for assurance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digital material in a legal proceeding, to provide a set of tools to assist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legitimate presentation of digital evidence.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 xml:space="preserve">8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National Institute of Standards and Technology (NIST) has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released guidelines for organisations to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develop forensic capability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based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the principles of forensic science in the aspect of the application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 to the law but should not be used on digital forensic investi-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gations due to subjection to different laws and regulations, as clearly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stated on their manual. The scope on NIST guidelines is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incorporating </w:t>
      </w:r>
      <w:r>
        <w:rPr>
          <w:rFonts w:ascii="CharisSIL" w:hAnsi="CharisSIL" w:eastAsia="CharisSIL"/>
          <w:b w:val="0"/>
          <w:i/>
          <w:color w:val="000000"/>
          <w:sz w:val="16"/>
        </w:rPr>
        <w:t>forensics into the information system life cycle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of an organisation.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 relevant guidelines are 800-86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 for Integrating Forensic Tech-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niques into Incident Response and 800-101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for Mobile Device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Forensics.</w:t>
      </w:r>
    </w:p>
    <w:p>
      <w:pPr>
        <w:autoSpaceDN w:val="0"/>
        <w:autoSpaceDE w:val="0"/>
        <w:widowControl/>
        <w:spacing w:line="210" w:lineRule="exact" w:before="76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Scientific Working Group on Digital Evidence (SWGDE) is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organisation engaged in the field of digital and multimedia evidence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foster communication and cooperation as well as to ensure quality and </w:t>
      </w:r>
      <w:r>
        <w:rPr>
          <w:rFonts w:ascii="CharisSIL" w:hAnsi="CharisSIL" w:eastAsia="CharisSIL"/>
          <w:b w:val="0"/>
          <w:i/>
          <w:color w:val="000000"/>
          <w:sz w:val="16"/>
        </w:rPr>
        <w:t>consistency within the forensic community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SWGDE has released a number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documents to provide the current best practices on a large variety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state of the art forensics subjects. Nonetheless, none of them is targeting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nor addressing the particularities of drone forensics.</w:t>
      </w:r>
    </w:p>
    <w:p>
      <w:pPr>
        <w:autoSpaceDN w:val="0"/>
        <w:autoSpaceDE w:val="0"/>
        <w:widowControl/>
        <w:spacing w:line="210" w:lineRule="exact" w:before="78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Nevertheless, in none of the aforementioned standards is there any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reference to drones. While someone could oversee this omission 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procedures could cover the procedures needed for UAV forensic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investigations. However, for the collection of forensic evidence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UAV one cannot always access the data and may need to exploit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device to gain access to them. As will be discussed in the next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paragraphs, such processes are not foreseen by any standard. Moreover,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contradicting records in the log files of the UAV and the GCS;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 discussed in the following paragraphs, are not considered by any</w:t>
      </w:r>
    </w:p>
    <w:p>
      <w:pPr>
        <w:autoSpaceDN w:val="0"/>
        <w:autoSpaceDE w:val="0"/>
        <w:widowControl/>
        <w:spacing w:line="308" w:lineRule="exact" w:before="282" w:after="0"/>
        <w:ind w:left="158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0"/>
        </w:rPr>
        <w:t>8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4" w:history="1">
          <w:r>
            <w:rPr>
              <w:rStyle w:val="Hyperlink"/>
            </w:rPr>
            <w:t>https://www.swgde.org/documents/published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.</w:t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6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8" w:val="left"/>
        </w:tabs>
        <w:autoSpaceDE w:val="0"/>
        <w:widowControl/>
        <w:spacing w:line="230" w:lineRule="exact" w:before="0" w:after="140"/>
        <w:ind w:left="6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E. Mantas and C. Patsakis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100135</w:t>
      </w:r>
    </w:p>
    <w:p>
      <w:pPr>
        <w:sectPr>
          <w:pgSz w:w="11906" w:h="15874"/>
          <w:pgMar w:top="330" w:right="720" w:bottom="288" w:left="746" w:header="720" w:footer="720" w:gutter="0"/>
          <w:cols w:space="720" w:num="1" w:equalWidth="0">
            <w:col w:w="10440" w:space="0"/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80" w:after="0"/>
        <w:ind w:left="6" w:right="7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latter issue with encryption leads to another challenge.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collect the evidence from a drone that lacks accessible removable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storage devices, or they are encrypted, similar to mobile devices, one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may need to exploit a vulnerability to gain access to the data. 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implies tampering of the digital evidence introducing issues for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chain of custody of the evidence. The nature of the exploit and the need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to, e.g. ‘‘root’’ the device may significantly alter the stored information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careful examination of the tools and methods is necessary to allow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presentation of the findings in a court of law. Clearly, such practices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violate the first principle of ACPO, which clearly states that:</w:t>
      </w:r>
    </w:p>
    <w:p>
      <w:pPr>
        <w:autoSpaceDN w:val="0"/>
        <w:autoSpaceDE w:val="0"/>
        <w:widowControl/>
        <w:spacing w:line="208" w:lineRule="exact" w:before="160" w:after="0"/>
        <w:ind w:left="244" w:right="7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‘‘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No action taken by law enforcement agencies or their agents should </w:t>
      </w:r>
      <w:r>
        <w:rPr>
          <w:rFonts w:ascii="CharisSIL" w:hAnsi="CharisSIL" w:eastAsia="CharisSIL"/>
          <w:b w:val="0"/>
          <w:i/>
          <w:color w:val="000000"/>
          <w:sz w:val="16"/>
        </w:rPr>
        <w:t>change data held on a computer or storage media which may subse-</w:t>
      </w:r>
      <w:r>
        <w:rPr>
          <w:rFonts w:ascii="CharisSIL" w:hAnsi="CharisSIL" w:eastAsia="CharisSIL"/>
          <w:b w:val="0"/>
          <w:i/>
          <w:color w:val="000000"/>
          <w:sz w:val="16"/>
        </w:rPr>
        <w:t>quently be relied upon in court.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’’</w:t>
      </w:r>
    </w:p>
    <w:p>
      <w:pPr>
        <w:autoSpaceDN w:val="0"/>
        <w:tabs>
          <w:tab w:pos="244" w:val="left"/>
        </w:tabs>
        <w:autoSpaceDE w:val="0"/>
        <w:widowControl/>
        <w:spacing w:line="208" w:lineRule="exact" w:before="152" w:after="0"/>
        <w:ind w:left="6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One has also to consider the diversity of the platforms. Unlike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mobile phones where there are two main platforms, Android and iOS,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can be considered a well-established market the drone market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might have a big player (DJI) which enjoys the biggest market share;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more than 70%, nevertheless, the rest is significantly fragmented.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Therefore, there are plenty of different platforms which imply the need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various forensics tools. Furthermore, the different scope of many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the drones as well as their big numbers suggest that despite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fragmentation this heterogeneity is expected to continue, so there is no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foreseen interoperability of the forensics tools. It is worth noticing 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recent ban on Chinese manufactured drones may lead to significant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market changes.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 xml:space="preserve">10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One very challenging parameter for drone forensics has to do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live forensics. While Adelstein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29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 stressed the need for live forensics,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 have to acknowledge the additional difficulties and limitations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performing live digital forensics in a drone. Contrary to ‘‘traditionally’’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compromised devices where the adversary will have integrated evasion,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persistence and anti-analysis mechanisms, in a drone the adversary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may have installed additional physical mechanisms, so the drone may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physically react, e.g. consider it being armoured, or try to fly away.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Beyond that, since the drone is remotely controlled; even via the cloud,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kill switches or other such mechanisms are expected to continue being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relevant during the investigation. To this end, to capture a drone, it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 advised to approach it from a non-visible angle and use a non-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tampering measure such as a coat or net. Next, the drone should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turned off without tampering any possible wet evidence on it.</w:t>
      </w:r>
    </w:p>
    <w:p>
      <w:pPr>
        <w:autoSpaceDN w:val="0"/>
        <w:tabs>
          <w:tab w:pos="244" w:val="left"/>
        </w:tabs>
        <w:autoSpaceDE w:val="0"/>
        <w:widowControl/>
        <w:spacing w:line="208" w:lineRule="exact" w:before="80" w:after="0"/>
        <w:ind w:left="6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Since there is no standardised procedure to conduct a digital foren-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sics investigation on drones, researchers have to resolve to already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established practices that apply to similar devices. This raises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following question: What kind of device is a drone or relevant to,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select a method to proceed with the forensics triage. A valid argument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would be that a drone has many similarities with a mobile phone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regarding the hardware (e.g. processor architecture) and the sensors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(e.g. GPS receiver, accelerometer). It should be noted here that there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also no standard for handling mobile digital forensics case, yet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initiative has recently started by the FORMOBILE H2020 project.</w:t>
      </w:r>
      <w:r>
        <w:rPr>
          <w:rFonts w:ascii="CharisSIL" w:hAnsi="CharisSIL" w:eastAsia="CharisSIL"/>
          <w:b w:val="0"/>
          <w:i w:val="0"/>
          <w:color w:val="007FAC"/>
          <w:sz w:val="10"/>
        </w:rPr>
        <w:t xml:space="preserve">11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acquire the needed data, the investigator will have to resolve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techniques illustrated in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 xml:space="preserve"> Fig. 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 Typically to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logically image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 mobile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device, the investigator has to turn on the device. If this method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applied to a drone, there is a high risk to alter or erase the existing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 of the UAV’s internal memory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30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As stated in [</w:t>
      </w:r>
      <w:r>
        <w:rPr>
          <w:rFonts w:ascii="CharisSIL" w:hAnsi="CharisSIL" w:eastAsia="CharisSIL"/>
          <w:b w:val="0"/>
          <w:i w:val="0"/>
          <w:color w:val="007FAC"/>
          <w:sz w:val="16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], turning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drone will erase the previously recorded flight log, resulting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loss of evidence and alteration of the investigation. Although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investigator followed the procedure correctly, the result may render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whole investigation useless due to misconceptions about the drone’s 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ternal operations. Since the storage of data on the drone itself is highly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volatile, extreme caution and preparation for the acquisition should</w:t>
      </w:r>
    </w:p>
    <w:p>
      <w:pPr>
        <w:autoSpaceDN w:val="0"/>
        <w:tabs>
          <w:tab w:pos="102" w:val="left"/>
        </w:tabs>
        <w:autoSpaceDE w:val="0"/>
        <w:widowControl/>
        <w:spacing w:line="190" w:lineRule="exact" w:before="398" w:after="0"/>
        <w:ind w:left="6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0"/>
        </w:rPr>
        <w:t>10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5" w:history="1">
          <w:r>
            <w:rPr>
              <w:rStyle w:val="Hyperlink"/>
            </w:rPr>
            <w:t>https://www.ainonline.com/aviation-news/aerospace/2020-08-17/us-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5" w:history="1">
          <w:r>
            <w:rPr>
              <w:rStyle w:val="Hyperlink"/>
            </w:rPr>
            <w:t>near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6" w:history="1">
          <w:r>
            <w:rPr>
              <w:rStyle w:val="Hyperlink"/>
            </w:rPr>
            <w:t>s-law-banning-chinese-drones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45" w:history="1">
          <w:r>
            <w:rPr>
              <w:rStyle w:val="Hyperlink"/>
            </w:rPr>
            <w:t xml:space="preserve">. </w:t>
          </w:r>
        </w:hyperlink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0"/>
        </w:rPr>
        <w:hyperlink r:id="rId45" w:history="1">
          <w:r>
            <w:rPr>
              <w:rStyle w:val="Hyperlink"/>
            </w:rPr>
            <w:t>11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SIL" w:hAnsi="CharisSIL" w:eastAsia="CharisSIL"/>
          <w:b w:val="0"/>
          <w:i w:val="0"/>
          <w:color w:val="007FAC"/>
          <w:sz w:val="14"/>
        </w:rPr>
        <w:hyperlink r:id="rId46" w:history="1">
          <w:r>
            <w:rPr>
              <w:rStyle w:val="Hyperlink"/>
            </w:rPr>
            <w:t>https://formobile-project.eu/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45" w:history="1">
          <w:r>
            <w:rPr>
              <w:rStyle w:val="Hyperlink"/>
            </w:rPr>
            <w:t>.</w:t>
          </w:r>
        </w:hyperlink>
      </w:r>
    </w:p>
    <w:p>
      <w:pPr>
        <w:sectPr>
          <w:type w:val="continuous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7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7</w:t>
      </w:r>
    </w:p>
    <w:p>
      <w:pPr>
        <w:sectPr>
          <w:type w:val="nextColumn"/>
          <w:pgSz w:w="11906" w:h="15874"/>
          <w:pgMar w:top="330" w:right="720" w:bottom="288" w:left="746" w:header="720" w:footer="720" w:gutter="0"/>
          <w:cols w:space="720" w:num="2" w:equalWidth="0"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E. Mantas and C. Patsakis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100135</w:t>
      </w:r>
    </w:p>
    <w:p>
      <w:pPr>
        <w:autoSpaceDN w:val="0"/>
        <w:autoSpaceDE w:val="0"/>
        <w:widowControl/>
        <w:spacing w:line="240" w:lineRule="auto" w:before="2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416300" cy="10795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7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68" w:val="left"/>
        </w:tabs>
        <w:autoSpaceDE w:val="0"/>
        <w:widowControl/>
        <w:spacing w:line="240" w:lineRule="auto" w:before="40" w:after="0"/>
        <w:ind w:left="32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17600" cy="1397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812800" cy="2159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1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172" w:after="182"/>
        <w:ind w:left="0" w:right="0" w:firstLine="0"/>
        <w:jc w:val="center"/>
      </w:pPr>
      <w:r>
        <w:rPr>
          <w:w w:val="98.09384712806116"/>
          <w:rFonts w:ascii="CharisSIL" w:hAnsi="CharisSIL" w:eastAsia="CharisSIL"/>
          <w:b/>
          <w:i w:val="0"/>
          <w:color w:val="000000"/>
          <w:sz w:val="13"/>
        </w:rPr>
        <w:t>Fig. 4.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 Data acquisition techniques.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80" w:after="0"/>
        <w:ind w:left="0" w:right="8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 se and the established forensics procedures and more coordinated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efforts towards this direction. To this end, we prioritise the harmonisa-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 of manufacturers with common best practices from other platforms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will pave the way for procedures and tools could be established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developed.</w:t>
      </w:r>
    </w:p>
    <w:p>
      <w:pPr>
        <w:autoSpaceDN w:val="0"/>
        <w:autoSpaceDE w:val="0"/>
        <w:widowControl/>
        <w:spacing w:line="286" w:lineRule="exact" w:before="132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Declaration of competing interest</w:t>
      </w:r>
    </w:p>
    <w:p>
      <w:pPr>
        <w:autoSpaceDN w:val="0"/>
        <w:autoSpaceDE w:val="0"/>
        <w:widowControl/>
        <w:spacing w:line="208" w:lineRule="exact" w:before="212" w:after="0"/>
        <w:ind w:left="0" w:right="8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authors declare that they have no known competing finan-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cial interests or personal relationships that could have appeared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influence the work reported in this paper.</w:t>
      </w:r>
    </w:p>
    <w:p>
      <w:pPr>
        <w:autoSpaceDN w:val="0"/>
        <w:autoSpaceDE w:val="0"/>
        <w:widowControl/>
        <w:spacing w:line="288" w:lineRule="exact" w:before="13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Acknowledgements</w:t>
      </w:r>
    </w:p>
    <w:p>
      <w:pPr>
        <w:autoSpaceDN w:val="0"/>
        <w:autoSpaceDE w:val="0"/>
        <w:widowControl/>
        <w:spacing w:line="210" w:lineRule="exact" w:before="208" w:after="0"/>
        <w:ind w:left="0" w:right="6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work was supported by the European Commission under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Horizon 2020 Programme (H2020), as part of the projects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Cyber-</w:t>
      </w:r>
      <w:r>
        <w:rPr>
          <w:rFonts w:ascii="CharisSIL" w:hAnsi="CharisSIL" w:eastAsia="CharisSIL"/>
          <w:b w:val="0"/>
          <w:i/>
          <w:color w:val="000000"/>
          <w:sz w:val="16"/>
        </w:rPr>
        <w:t>Sec4Europe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 Greece (Grant Agreement no. 830929) and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 LOCARD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Greece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(Grant Agreement no. 832735). The content of this article does not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reflect the official opinion of the European Union. Responsibility for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information and views expressed therein lies entirely with the authors.</w:t>
      </w:r>
    </w:p>
    <w:p>
      <w:pPr>
        <w:autoSpaceDN w:val="0"/>
        <w:autoSpaceDE w:val="0"/>
        <w:widowControl/>
        <w:spacing w:line="288" w:lineRule="exact" w:before="132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References</w:t>
      </w:r>
    </w:p>
    <w:p>
      <w:pPr>
        <w:autoSpaceDN w:val="0"/>
        <w:autoSpaceDE w:val="0"/>
        <w:widowControl/>
        <w:spacing w:line="172" w:lineRule="exact" w:before="190" w:after="0"/>
        <w:ind w:left="378" w:right="0" w:hanging="278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[1] Kovar D, Dominguez G, Murphy C. UAV (aka drone) forensics. 2016, URL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https://integriography.files.wordpress.com/2016/06/uav-forensics-ts16-final-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0" w:history="1">
          <w:r>
            <w:rPr>
              <w:rStyle w:val="Hyperlink"/>
            </w:rPr>
            <w:t>distribution.pdf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0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378" w:right="84" w:hanging="278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[2]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>Kao D-Y, Che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>n M-C, Wu W-Y, Lin J-S, Chen C-H, Tsai F. Drone foren-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 xml:space="preserve">sic investigation: DJI spark drone as a case study. Procedia Comput Sci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 xml:space="preserve">2019;159:1890–9, Knowledge-Based and Intelligent Information &amp; Engineering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1" w:history="1">
          <w:r>
            <w:rPr>
              <w:rStyle w:val="Hyperlink"/>
            </w:rPr>
            <w:t>Systems: Proceedings of the 23rd International Conference KES2019.</w:t>
          </w:r>
        </w:hyperlink>
      </w:r>
    </w:p>
    <w:p>
      <w:pPr>
        <w:autoSpaceDN w:val="0"/>
        <w:autoSpaceDE w:val="0"/>
        <w:widowControl/>
        <w:spacing w:line="172" w:lineRule="exact" w:before="58" w:after="0"/>
        <w:ind w:left="378" w:right="84" w:hanging="278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[3]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1" w:history="1">
          <w:r>
            <w:rPr>
              <w:rStyle w:val="Hyperlink"/>
            </w:rPr>
            <w:t>Yousef M, Iqbal F. Drone forensics: A case study on a DJI mavic ai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r. In: 2019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IEEE/ACS 16th international conference on computer systems and applications.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2019, p. 1–3.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2" w:history="1">
          <w:r>
            <w:rPr>
              <w:rStyle w:val="Hyperlink"/>
            </w:rPr>
            <w:t>http://dx.doi.org/10.1109/AICCSA47632.2019.9035365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378" w:right="84" w:hanging="278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[4] Yousef M, Iqb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2" w:history="1">
          <w:r>
            <w:rPr>
              <w:rStyle w:val="Hyperlink"/>
            </w:rPr>
            <w:t>al F, Hussain M. Drone forensics: A detailed analysis 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 emerging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DJI models. In: 2020 11th international conference on information and commu-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nication systems. 2020, p. 066–71.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 xml:space="preserve">http://dx.doi.org/10.1109/ICICS49469.2020.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3" w:history="1">
          <w:r>
            <w:rPr>
              <w:rStyle w:val="Hyperlink"/>
            </w:rPr>
            <w:t>239530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378" w:right="84" w:hanging="278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[5] Kamoun F, Bouafif H, Iqbal F. Towards a better understanding of drone forensics: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A case study of parrot AR drone 2.0. Int J Digit Crime Forensics 2019;12:1–23.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4" w:history="1">
          <w:r>
            <w:rPr>
              <w:rStyle w:val="Hyperlink"/>
            </w:rPr>
            <w:t>http://dx.doi.org/10.4018/IJDCF.2020010103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378" w:right="84" w:hanging="278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[6]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54" w:history="1">
          <w:r>
            <w:rPr>
              <w:rStyle w:val="Hyperlink"/>
            </w:rPr>
            <w:t>Clark D, Meffert C, Baggili I, Breitinger F. DRO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P (drone open source parser) your 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drone: Forensic analysis of the DJI phantom III. Digit Investig 2017;22:S3–14.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>http://dx.doi.org/10.1016/j.diin.2017.06.013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72" w:lineRule="exact" w:before="58" w:after="0"/>
        <w:ind w:left="378" w:right="84" w:hanging="278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[7]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5" w:history="1">
          <w:r>
            <w:rPr>
              <w:rStyle w:val="Hyperlink"/>
            </w:rPr>
            <w:t>Mantas E, Patsakis C. GRYPHON: Drone fo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6" w:history="1">
          <w:r>
            <w:rPr>
              <w:rStyle w:val="Hyperlink"/>
            </w:rPr>
            <w:t xml:space="preserve">rensics in dataflash and telemetry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6" w:history="1">
          <w:r>
            <w:rPr>
              <w:rStyle w:val="Hyperlink"/>
            </w:rPr>
            <w:t xml:space="preserve">logs. In: Attrapadung N, Yagi T, editors. Advances in information and computer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6" w:history="1">
          <w:r>
            <w:rPr>
              <w:rStyle w:val="Hyperlink"/>
            </w:rPr>
            <w:t>security. Cham: Springer International Publishing; 2019, p. 377–90.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[8]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7" w:history="1">
          <w:r>
            <w:rPr>
              <w:rStyle w:val="Hyperlink"/>
            </w:rPr>
            <w:t>Yaacoub J-P, Salman O. Security analysis of drones systems: Attacks,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7" w:history="1">
          <w:r>
            <w:rPr>
              <w:rStyle w:val="Hyperlink"/>
            </w:rPr>
            <w:t xml:space="preserve"> limitations,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7" w:history="1">
          <w:r>
            <w:rPr>
              <w:rStyle w:val="Hyperlink"/>
            </w:rPr>
            <w:t>and recommendations. Internet Things 2020;100218.</w:t>
          </w:r>
        </w:hyperlink>
      </w:r>
    </w:p>
    <w:p>
      <w:pPr>
        <w:autoSpaceDN w:val="0"/>
        <w:tabs>
          <w:tab w:pos="378" w:val="left"/>
        </w:tabs>
        <w:autoSpaceDE w:val="0"/>
        <w:widowControl/>
        <w:spacing w:line="172" w:lineRule="exact" w:before="58" w:after="0"/>
        <w:ind w:left="10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[9]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8" w:history="1">
          <w:r>
            <w:rPr>
              <w:rStyle w:val="Hyperlink"/>
            </w:rPr>
            <w:t xml:space="preserve">Europol. Internet organised crime threat assessment.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8" w:history="1">
          <w:r>
            <w:rPr>
              <w:rStyle w:val="Hyperlink"/>
            </w:rPr>
            <w:t xml:space="preserve">European Union Agency for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7FAC"/>
          <w:sz w:val="13"/>
        </w:rPr>
        <w:hyperlink r:id="rId58" w:history="1">
          <w:r>
            <w:rPr>
              <w:rStyle w:val="Hyperlink"/>
            </w:rPr>
            <w:t>Law Enforcement Cooperation (Europol); 2020.</w:t>
          </w:r>
        </w:hyperlink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106" w:space="0"/>
            <w:col w:w="5328" w:space="0"/>
            <w:col w:w="10433" w:space="0"/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5101" w:space="0"/>
            <w:col w:w="5338" w:space="0"/>
            <w:col w:w="10440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66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8</w:t>
      </w:r>
    </w:p>
    <w:sectPr w:rsidR="00FC693F" w:rsidRPr="0006063C" w:rsidSect="00034616">
      <w:type w:val="nextColumn"/>
      <w:pgSz w:w="11906" w:h="15874"/>
      <w:pgMar w:top="330" w:right="720" w:bottom="288" w:left="752" w:header="720" w:footer="720" w:gutter="0"/>
      <w:cols w:space="720" w:num="2" w:equalWidth="0">
        <w:col w:w="5106" w:space="0"/>
        <w:col w:w="5328" w:space="0"/>
        <w:col w:w="10433" w:space="0"/>
        <w:col w:w="5101" w:space="0"/>
        <w:col w:w="5338" w:space="0"/>
        <w:col w:w="10440" w:space="0"/>
        <w:col w:w="5101" w:space="0"/>
        <w:col w:w="5338" w:space="0"/>
        <w:col w:w="10440" w:space="0"/>
        <w:col w:w="5101" w:space="0"/>
        <w:col w:w="5338" w:space="0"/>
        <w:col w:w="10440" w:space="0"/>
        <w:col w:w="5096" w:space="0"/>
        <w:col w:w="5338" w:space="0"/>
        <w:col w:w="10433" w:space="0"/>
        <w:col w:w="5101" w:space="0"/>
        <w:col w:w="5338" w:space="0"/>
        <w:col w:w="10440" w:space="0"/>
        <w:col w:w="5096" w:space="0"/>
        <w:col w:w="5338" w:space="0"/>
        <w:col w:w="10433" w:space="0"/>
        <w:col w:w="10434" w:space="0"/>
        <w:col w:w="5206" w:space="0"/>
        <w:col w:w="5228" w:space="0"/>
        <w:col w:w="10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rray.2022.100135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elsevier.com/locate/array" TargetMode="External"/><Relationship Id="rId12" Type="http://schemas.openxmlformats.org/officeDocument/2006/relationships/image" Target="media/image2.png"/><Relationship Id="rId13" Type="http://schemas.openxmlformats.org/officeDocument/2006/relationships/hyperlink" Target="mailto:emantas000@gmail.com" TargetMode="External"/><Relationship Id="rId14" Type="http://schemas.openxmlformats.org/officeDocument/2006/relationships/hyperlink" Target="mailto:kpatsak@unipi.gr" TargetMode="External"/><Relationship Id="rId15" Type="http://schemas.openxmlformats.org/officeDocument/2006/relationships/hyperlink" Target="https://www.forbes.com/sites/grantmartin/2019/01/08/londons-heathrow-airport-briefly-closed-following-possible-drone-sighting/" TargetMode="External"/><Relationship Id="rId16" Type="http://schemas.openxmlformats.org/officeDocument/2006/relationships/hyperlink" Target="https://www.nytimes.com/2019/09/14/world/middleeast/saudi-arabia-refineries-drone-attack.html" TargetMode="External"/><Relationship Id="rId17" Type="http://schemas.openxmlformats.org/officeDocument/2006/relationships/hyperlink" Target="http://creativecommons.org/licenses/by-nc-nd/4.0/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www.911security.com/learn/airspace-security/drone-fundamentals/drone-communication-data-link" TargetMode="Externa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hyperlink" Target="https://downloads.cloudsecurityalliance.org/initiatives/imf/Mapping-the-Forensic-Standard-ISO-IEC-27037-to-Cloud-Computing.pdf" TargetMode="External"/><Relationship Id="rId43" Type="http://schemas.openxmlformats.org/officeDocument/2006/relationships/hyperlink" Target="https://edition.cnn.com/2016/02/16/us/san-bernardino-shooter-phone-apple/index.html" TargetMode="External"/><Relationship Id="rId44" Type="http://schemas.openxmlformats.org/officeDocument/2006/relationships/hyperlink" Target="https://www.swgde.org/documents/published" TargetMode="External"/><Relationship Id="rId45" Type="http://schemas.openxmlformats.org/officeDocument/2006/relationships/hyperlink" Target="https://www.ainonline.com/aviation-news/aerospace/2020-08-17/us-nears-law-banning-chinese-drones" TargetMode="External"/><Relationship Id="rId46" Type="http://schemas.openxmlformats.org/officeDocument/2006/relationships/hyperlink" Target="https://formobile-project.eu/" TargetMode="External"/><Relationship Id="rId47" Type="http://schemas.openxmlformats.org/officeDocument/2006/relationships/image" Target="media/image26.png"/><Relationship Id="rId48" Type="http://schemas.openxmlformats.org/officeDocument/2006/relationships/image" Target="media/image27.png"/><Relationship Id="rId49" Type="http://schemas.openxmlformats.org/officeDocument/2006/relationships/image" Target="media/image28.png"/><Relationship Id="rId50" Type="http://schemas.openxmlformats.org/officeDocument/2006/relationships/hyperlink" Target="https://integriography.files.wordpress.com/2016/06/uav-forensics-ts16-final-distribution.pdf" TargetMode="External"/><Relationship Id="rId51" Type="http://schemas.openxmlformats.org/officeDocument/2006/relationships/hyperlink" Target="http://refhub.elsevier.com/S2590-0056(22)00006-6/sb2" TargetMode="External"/><Relationship Id="rId52" Type="http://schemas.openxmlformats.org/officeDocument/2006/relationships/hyperlink" Target="http://dx.doi.org/10.1109/AICCSA47632.2019.9035365" TargetMode="External"/><Relationship Id="rId53" Type="http://schemas.openxmlformats.org/officeDocument/2006/relationships/hyperlink" Target="http://dx.doi.org/10.1109/ICICS49469.2020.239530" TargetMode="External"/><Relationship Id="rId54" Type="http://schemas.openxmlformats.org/officeDocument/2006/relationships/hyperlink" Target="http://dx.doi.org/10.4018/IJDCF.2020010103" TargetMode="External"/><Relationship Id="rId55" Type="http://schemas.openxmlformats.org/officeDocument/2006/relationships/hyperlink" Target="http://dx.doi.org/10.1016/j.diin.2017.06.013" TargetMode="External"/><Relationship Id="rId56" Type="http://schemas.openxmlformats.org/officeDocument/2006/relationships/hyperlink" Target="http://refhub.elsevier.com/S2590-0056(22)00006-6/sb7" TargetMode="External"/><Relationship Id="rId57" Type="http://schemas.openxmlformats.org/officeDocument/2006/relationships/hyperlink" Target="http://refhub.elsevier.com/S2590-0056(22)00006-6/sb8" TargetMode="External"/><Relationship Id="rId58" Type="http://schemas.openxmlformats.org/officeDocument/2006/relationships/hyperlink" Target="http://refhub.elsevier.com/S2590-0056(22)00006-6/s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