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7"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200" id="docshapegroup1" coordorigin="2235,114" coordsize="610,644">
                <v:shape style="position:absolute;left:2234;top:652;width:610;height:105" type="#_x0000_t75" id="docshape2" href="http://crossmark.crossref.org/dialog/?doi=10.1016/j.aasri.2014.05.014&amp;domain=pdf" stroked="false">
                  <v:imagedata r:id="rId8" o:title=""/>
                </v:shape>
                <v:shape style="position:absolute;left:2283;top:113;width:504;height:504" type="#_x0000_t75" id="docshape3" href="http://crossmark.crossref.org/dialog/?doi=10.1016/j.aasri.2014.05.014&amp;domain=pdf" stroked="false">
                  <v:imagedata r:id="rId10" o:title=""/>
                </v:shape>
                <w10:wrap type="none"/>
              </v:group>
            </w:pict>
          </mc:Fallback>
        </mc:AlternateContent>
      </w:r>
      <w:r>
        <w:rPr>
          <w:rFonts w:ascii="Arial"/>
          <w:color w:val="231F20"/>
          <w:sz w:val="18"/>
        </w:rPr>
        <w:t>Available</w:t>
      </w:r>
      <w:r>
        <w:rPr>
          <w:rFonts w:ascii="Arial"/>
          <w:color w:val="231F20"/>
          <w:spacing w:val="-12"/>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373393"/>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95</w:t>
      </w:r>
      <w:r>
        <w:rPr>
          <w:color w:val="231F20"/>
          <w:spacing w:val="-1"/>
          <w:sz w:val="16"/>
        </w:rPr>
        <w:t> </w:t>
      </w:r>
      <w:r>
        <w:rPr>
          <w:color w:val="231F20"/>
          <w:sz w:val="16"/>
        </w:rPr>
        <w:t>–</w:t>
      </w:r>
      <w:r>
        <w:rPr>
          <w:color w:val="231F20"/>
          <w:spacing w:val="-1"/>
          <w:sz w:val="16"/>
        </w:rPr>
        <w:t> </w:t>
      </w:r>
      <w:r>
        <w:rPr>
          <w:color w:val="231F20"/>
          <w:spacing w:val="-5"/>
          <w:sz w:val="16"/>
        </w:rPr>
        <w:t>102</w:t>
      </w:r>
    </w:p>
    <w:p>
      <w:pPr>
        <w:pStyle w:val="BodyText"/>
        <w:rPr>
          <w:sz w:val="24"/>
        </w:rPr>
      </w:pPr>
    </w:p>
    <w:p>
      <w:pPr>
        <w:pStyle w:val="BodyText"/>
        <w:spacing w:before="131"/>
        <w:rPr>
          <w:sz w:val="24"/>
        </w:rPr>
      </w:pPr>
    </w:p>
    <w:p>
      <w:pPr>
        <w:spacing w:before="0"/>
        <w:ind w:left="42" w:right="0" w:firstLine="0"/>
        <w:jc w:val="center"/>
        <w:rPr>
          <w:sz w:val="24"/>
        </w:rPr>
      </w:pPr>
      <w:r>
        <w:rPr>
          <w:sz w:val="24"/>
        </w:rPr>
        <w:t>2013</w:t>
      </w:r>
      <w:r>
        <w:rPr>
          <w:spacing w:val="-3"/>
          <w:sz w:val="24"/>
        </w:rPr>
        <w:t> </w:t>
      </w:r>
      <w:r>
        <w:rPr>
          <w:sz w:val="24"/>
        </w:rPr>
        <w:t>2nd</w:t>
      </w:r>
      <w:r>
        <w:rPr>
          <w:spacing w:val="-2"/>
          <w:sz w:val="24"/>
        </w:rPr>
        <w:t> </w:t>
      </w:r>
      <w:r>
        <w:rPr>
          <w:sz w:val="24"/>
        </w:rPr>
        <w:t>AASRI</w:t>
      </w:r>
      <w:r>
        <w:rPr>
          <w:spacing w:val="-3"/>
          <w:sz w:val="24"/>
        </w:rPr>
        <w:t> </w:t>
      </w:r>
      <w:r>
        <w:rPr>
          <w:sz w:val="24"/>
        </w:rPr>
        <w:t>Conference</w:t>
      </w:r>
      <w:r>
        <w:rPr>
          <w:spacing w:val="-2"/>
          <w:sz w:val="24"/>
        </w:rPr>
        <w:t> </w:t>
      </w:r>
      <w:r>
        <w:rPr>
          <w:sz w:val="24"/>
        </w:rPr>
        <w:t>on</w:t>
      </w:r>
      <w:r>
        <w:rPr>
          <w:spacing w:val="-2"/>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Title"/>
        <w:spacing w:line="244" w:lineRule="auto"/>
      </w:pPr>
      <w:r>
        <w:rPr/>
        <w:t>A</w:t>
      </w:r>
      <w:r>
        <w:rPr>
          <w:spacing w:val="-6"/>
        </w:rPr>
        <w:t> </w:t>
      </w:r>
      <w:r>
        <w:rPr/>
        <w:t>Simple</w:t>
      </w:r>
      <w:r>
        <w:rPr>
          <w:spacing w:val="-6"/>
        </w:rPr>
        <w:t> </w:t>
      </w:r>
      <w:r>
        <w:rPr/>
        <w:t>Geometric</w:t>
      </w:r>
      <w:r>
        <w:rPr>
          <w:spacing w:val="-6"/>
        </w:rPr>
        <w:t> </w:t>
      </w:r>
      <w:r>
        <w:rPr/>
        <w:t>Model</w:t>
      </w:r>
      <w:r>
        <w:rPr>
          <w:spacing w:val="-6"/>
        </w:rPr>
        <w:t> </w:t>
      </w:r>
      <w:r>
        <w:rPr/>
        <w:t>for</w:t>
      </w:r>
      <w:r>
        <w:rPr>
          <w:spacing w:val="-6"/>
        </w:rPr>
        <w:t> </w:t>
      </w:r>
      <w:r>
        <w:rPr/>
        <w:t>Simulating</w:t>
      </w:r>
      <w:r>
        <w:rPr>
          <w:spacing w:val="-6"/>
        </w:rPr>
        <w:t> </w:t>
      </w:r>
      <w:r>
        <w:rPr/>
        <w:t>Brain</w:t>
      </w:r>
      <w:r>
        <w:rPr>
          <w:spacing w:val="-6"/>
        </w:rPr>
        <w:t> </w:t>
      </w:r>
      <w:r>
        <w:rPr/>
        <w:t>Herniation Using CT Craniometry</w:t>
      </w:r>
    </w:p>
    <w:p>
      <w:pPr>
        <w:spacing w:before="237"/>
        <w:ind w:left="45" w:right="0" w:firstLine="0"/>
        <w:jc w:val="center"/>
        <w:rPr>
          <w:sz w:val="26"/>
        </w:rPr>
      </w:pPr>
      <w:r>
        <w:rPr>
          <w:sz w:val="26"/>
        </w:rPr>
        <w:t>Ke-Chun</w:t>
      </w:r>
      <w:r>
        <w:rPr>
          <w:spacing w:val="-8"/>
          <w:sz w:val="26"/>
        </w:rPr>
        <w:t> </w:t>
      </w:r>
      <w:r>
        <w:rPr>
          <w:sz w:val="26"/>
        </w:rPr>
        <w:t>Huang</w:t>
      </w:r>
      <w:r>
        <w:rPr>
          <w:sz w:val="26"/>
          <w:vertAlign w:val="superscript"/>
        </w:rPr>
        <w:t>a</w:t>
      </w:r>
      <w:r>
        <w:rPr>
          <w:sz w:val="26"/>
          <w:vertAlign w:val="baseline"/>
        </w:rPr>
        <w:t>,</w:t>
      </w:r>
      <w:r>
        <w:rPr>
          <w:spacing w:val="-6"/>
          <w:sz w:val="26"/>
          <w:vertAlign w:val="baseline"/>
        </w:rPr>
        <w:t> </w:t>
      </w:r>
      <w:r>
        <w:rPr>
          <w:sz w:val="26"/>
          <w:vertAlign w:val="baseline"/>
        </w:rPr>
        <w:t>Furen</w:t>
      </w:r>
      <w:r>
        <w:rPr>
          <w:spacing w:val="-6"/>
          <w:sz w:val="26"/>
          <w:vertAlign w:val="baseline"/>
        </w:rPr>
        <w:t> </w:t>
      </w:r>
      <w:r>
        <w:rPr>
          <w:sz w:val="26"/>
          <w:vertAlign w:val="baseline"/>
        </w:rPr>
        <w:t>Xiao</w:t>
      </w:r>
      <w:r>
        <w:rPr>
          <w:sz w:val="26"/>
          <w:vertAlign w:val="superscript"/>
        </w:rPr>
        <w:t>a,b</w:t>
      </w:r>
      <w:r>
        <w:rPr>
          <w:sz w:val="26"/>
          <w:vertAlign w:val="baseline"/>
        </w:rPr>
        <w:t>,</w:t>
      </w:r>
      <w:r>
        <w:rPr>
          <w:spacing w:val="-6"/>
          <w:sz w:val="26"/>
          <w:vertAlign w:val="baseline"/>
        </w:rPr>
        <w:t> </w:t>
      </w:r>
      <w:r>
        <w:rPr>
          <w:sz w:val="26"/>
          <w:vertAlign w:val="baseline"/>
        </w:rPr>
        <w:t>I-Jen</w:t>
      </w:r>
      <w:r>
        <w:rPr>
          <w:spacing w:val="-6"/>
          <w:sz w:val="26"/>
          <w:vertAlign w:val="baseline"/>
        </w:rPr>
        <w:t> </w:t>
      </w:r>
      <w:r>
        <w:rPr>
          <w:sz w:val="26"/>
          <w:vertAlign w:val="baseline"/>
        </w:rPr>
        <w:t>Chiang</w:t>
      </w:r>
      <w:r>
        <w:rPr>
          <w:sz w:val="26"/>
          <w:vertAlign w:val="superscript"/>
        </w:rPr>
        <w:t>a,c</w:t>
      </w:r>
      <w:r>
        <w:rPr>
          <w:sz w:val="26"/>
          <w:vertAlign w:val="baseline"/>
        </w:rPr>
        <w:t>,</w:t>
      </w:r>
      <w:r>
        <w:rPr>
          <w:spacing w:val="-6"/>
          <w:sz w:val="26"/>
          <w:vertAlign w:val="baseline"/>
        </w:rPr>
        <w:t> </w:t>
      </w:r>
      <w:r>
        <w:rPr>
          <w:sz w:val="26"/>
          <w:vertAlign w:val="baseline"/>
        </w:rPr>
        <w:t>Yi-Long</w:t>
      </w:r>
      <w:r>
        <w:rPr>
          <w:spacing w:val="-5"/>
          <w:sz w:val="26"/>
          <w:vertAlign w:val="baseline"/>
        </w:rPr>
        <w:t> </w:t>
      </w:r>
      <w:r>
        <w:rPr>
          <w:spacing w:val="-2"/>
          <w:sz w:val="26"/>
          <w:vertAlign w:val="baseline"/>
        </w:rPr>
        <w:t>Chen</w:t>
      </w:r>
      <w:r>
        <w:rPr>
          <w:spacing w:val="-2"/>
          <w:sz w:val="26"/>
          <w:vertAlign w:val="superscript"/>
        </w:rPr>
        <w:t>d</w:t>
      </w:r>
      <w:r>
        <w:rPr>
          <w:spacing w:val="-2"/>
          <w:sz w:val="26"/>
          <w:vertAlign w:val="baseline"/>
        </w:rPr>
        <w:t>,</w:t>
      </w:r>
    </w:p>
    <w:p>
      <w:pPr>
        <w:spacing w:before="1"/>
        <w:ind w:left="46" w:right="0" w:firstLine="0"/>
        <w:jc w:val="center"/>
        <w:rPr>
          <w:sz w:val="26"/>
        </w:rPr>
      </w:pPr>
      <w:r>
        <w:rPr>
          <w:sz w:val="26"/>
        </w:rPr>
        <w:t>Yi-Hsin</w:t>
      </w:r>
      <w:r>
        <w:rPr>
          <w:spacing w:val="-6"/>
          <w:sz w:val="26"/>
        </w:rPr>
        <w:t> </w:t>
      </w:r>
      <w:r>
        <w:rPr>
          <w:sz w:val="26"/>
        </w:rPr>
        <w:t>Tsai</w:t>
      </w:r>
      <w:r>
        <w:rPr>
          <w:sz w:val="26"/>
          <w:vertAlign w:val="superscript"/>
        </w:rPr>
        <w:t>a,e</w:t>
      </w:r>
      <w:r>
        <w:rPr>
          <w:sz w:val="26"/>
          <w:vertAlign w:val="baseline"/>
        </w:rPr>
        <w:t>,</w:t>
      </w:r>
      <w:r>
        <w:rPr>
          <w:spacing w:val="-4"/>
          <w:sz w:val="26"/>
          <w:vertAlign w:val="baseline"/>
        </w:rPr>
        <w:t> </w:t>
      </w:r>
      <w:r>
        <w:rPr>
          <w:sz w:val="26"/>
          <w:vertAlign w:val="baseline"/>
        </w:rPr>
        <w:t>Jau-Min</w:t>
      </w:r>
      <w:r>
        <w:rPr>
          <w:spacing w:val="-3"/>
          <w:sz w:val="26"/>
          <w:vertAlign w:val="baseline"/>
        </w:rPr>
        <w:t> </w:t>
      </w:r>
      <w:r>
        <w:rPr>
          <w:sz w:val="26"/>
          <w:vertAlign w:val="baseline"/>
        </w:rPr>
        <w:t>Wong</w:t>
      </w:r>
      <w:r>
        <w:rPr>
          <w:sz w:val="26"/>
          <w:vertAlign w:val="superscript"/>
        </w:rPr>
        <w:t>a</w:t>
      </w:r>
      <w:r>
        <w:rPr>
          <w:sz w:val="26"/>
          <w:vertAlign w:val="baseline"/>
        </w:rPr>
        <w:t>,</w:t>
      </w:r>
      <w:r>
        <w:rPr>
          <w:spacing w:val="-5"/>
          <w:sz w:val="26"/>
          <w:vertAlign w:val="baseline"/>
        </w:rPr>
        <w:t> </w:t>
      </w:r>
      <w:r>
        <w:rPr>
          <w:sz w:val="26"/>
          <w:vertAlign w:val="baseline"/>
        </w:rPr>
        <w:t>Chun-Chih</w:t>
      </w:r>
      <w:r>
        <w:rPr>
          <w:spacing w:val="-4"/>
          <w:sz w:val="26"/>
          <w:vertAlign w:val="baseline"/>
        </w:rPr>
        <w:t> </w:t>
      </w:r>
      <w:r>
        <w:rPr>
          <w:spacing w:val="-2"/>
          <w:sz w:val="26"/>
          <w:vertAlign w:val="baseline"/>
        </w:rPr>
        <w:t>Liao</w:t>
      </w:r>
      <w:r>
        <w:rPr>
          <w:spacing w:val="-2"/>
          <w:sz w:val="26"/>
          <w:vertAlign w:val="superscript"/>
        </w:rPr>
        <w:t>a,f</w:t>
      </w:r>
      <w:r>
        <w:rPr>
          <w:spacing w:val="-2"/>
          <w:sz w:val="26"/>
          <w:vertAlign w:val="baseline"/>
        </w:rPr>
        <w:t>*</w:t>
      </w:r>
    </w:p>
    <w:p>
      <w:pPr>
        <w:spacing w:line="261" w:lineRule="auto" w:before="173"/>
        <w:ind w:left="920" w:right="863" w:hanging="11"/>
        <w:jc w:val="center"/>
        <w:rPr>
          <w:i/>
          <w:sz w:val="16"/>
        </w:rPr>
      </w:pPr>
      <w:r>
        <w:rPr>
          <w:i/>
          <w:sz w:val="16"/>
          <w:vertAlign w:val="superscript"/>
        </w:rPr>
        <w:t>a</w:t>
      </w:r>
      <w:r>
        <w:rPr>
          <w:i/>
          <w:sz w:val="16"/>
          <w:vertAlign w:val="baseline"/>
        </w:rPr>
        <w:t>Institute of Biomedical Engineering, National Taiwan University, No.1, Sec.1, Ren'ai Rd., Taipei City 10051, Taiwan</w:t>
      </w:r>
      <w:r>
        <w:rPr>
          <w:i/>
          <w:spacing w:val="40"/>
          <w:sz w:val="16"/>
          <w:vertAlign w:val="baseline"/>
        </w:rPr>
        <w:t> </w:t>
      </w:r>
      <w:r>
        <w:rPr>
          <w:i/>
          <w:sz w:val="16"/>
          <w:vertAlign w:val="superscript"/>
        </w:rPr>
        <w:t>b</w:t>
      </w:r>
      <w:r>
        <w:rPr>
          <w:i/>
          <w:sz w:val="16"/>
          <w:vertAlign w:val="baseline"/>
        </w:rPr>
        <w:t>Clinical</w:t>
      </w:r>
      <w:r>
        <w:rPr>
          <w:i/>
          <w:spacing w:val="-2"/>
          <w:sz w:val="16"/>
          <w:vertAlign w:val="baseline"/>
        </w:rPr>
        <w:t> </w:t>
      </w:r>
      <w:r>
        <w:rPr>
          <w:i/>
          <w:sz w:val="16"/>
          <w:vertAlign w:val="baseline"/>
        </w:rPr>
        <w:t>Center</w:t>
      </w:r>
      <w:r>
        <w:rPr>
          <w:i/>
          <w:spacing w:val="-2"/>
          <w:sz w:val="16"/>
          <w:vertAlign w:val="baseline"/>
        </w:rPr>
        <w:t> </w:t>
      </w:r>
      <w:r>
        <w:rPr>
          <w:i/>
          <w:sz w:val="16"/>
          <w:vertAlign w:val="baseline"/>
        </w:rPr>
        <w:t>for</w:t>
      </w:r>
      <w:r>
        <w:rPr>
          <w:i/>
          <w:spacing w:val="-2"/>
          <w:sz w:val="16"/>
          <w:vertAlign w:val="baseline"/>
        </w:rPr>
        <w:t> </w:t>
      </w:r>
      <w:r>
        <w:rPr>
          <w:i/>
          <w:sz w:val="16"/>
          <w:vertAlign w:val="baseline"/>
        </w:rPr>
        <w:t>Neuroscience,</w:t>
      </w:r>
      <w:r>
        <w:rPr>
          <w:i/>
          <w:spacing w:val="-2"/>
          <w:sz w:val="16"/>
          <w:vertAlign w:val="baseline"/>
        </w:rPr>
        <w:t> </w:t>
      </w:r>
      <w:r>
        <w:rPr>
          <w:i/>
          <w:sz w:val="16"/>
          <w:vertAlign w:val="baseline"/>
        </w:rPr>
        <w:t>National</w:t>
      </w:r>
      <w:r>
        <w:rPr>
          <w:i/>
          <w:spacing w:val="-2"/>
          <w:sz w:val="16"/>
          <w:vertAlign w:val="baseline"/>
        </w:rPr>
        <w:t> </w:t>
      </w:r>
      <w:r>
        <w:rPr>
          <w:i/>
          <w:sz w:val="16"/>
          <w:vertAlign w:val="baseline"/>
        </w:rPr>
        <w:t>Taiwan</w:t>
      </w:r>
      <w:r>
        <w:rPr>
          <w:i/>
          <w:spacing w:val="-2"/>
          <w:sz w:val="16"/>
          <w:vertAlign w:val="baseline"/>
        </w:rPr>
        <w:t> </w:t>
      </w:r>
      <w:r>
        <w:rPr>
          <w:i/>
          <w:sz w:val="16"/>
          <w:vertAlign w:val="baseline"/>
        </w:rPr>
        <w:t>University</w:t>
      </w:r>
      <w:r>
        <w:rPr>
          <w:i/>
          <w:spacing w:val="-2"/>
          <w:sz w:val="16"/>
          <w:vertAlign w:val="baseline"/>
        </w:rPr>
        <w:t> </w:t>
      </w:r>
      <w:r>
        <w:rPr>
          <w:i/>
          <w:sz w:val="16"/>
          <w:vertAlign w:val="baseline"/>
        </w:rPr>
        <w:t>Hospital,</w:t>
      </w:r>
      <w:r>
        <w:rPr>
          <w:i/>
          <w:spacing w:val="-1"/>
          <w:sz w:val="16"/>
          <w:vertAlign w:val="baseline"/>
        </w:rPr>
        <w:t> </w:t>
      </w:r>
      <w:r>
        <w:rPr>
          <w:i/>
          <w:sz w:val="16"/>
          <w:vertAlign w:val="baseline"/>
        </w:rPr>
        <w:t>No.7,</w:t>
      </w:r>
      <w:r>
        <w:rPr>
          <w:i/>
          <w:spacing w:val="-2"/>
          <w:sz w:val="16"/>
          <w:vertAlign w:val="baseline"/>
        </w:rPr>
        <w:t> </w:t>
      </w:r>
      <w:r>
        <w:rPr>
          <w:i/>
          <w:sz w:val="16"/>
          <w:vertAlign w:val="baseline"/>
        </w:rPr>
        <w:t>Zhongshan</w:t>
      </w:r>
      <w:r>
        <w:rPr>
          <w:i/>
          <w:spacing w:val="-2"/>
          <w:sz w:val="16"/>
          <w:vertAlign w:val="baseline"/>
        </w:rPr>
        <w:t> </w:t>
      </w:r>
      <w:r>
        <w:rPr>
          <w:i/>
          <w:sz w:val="16"/>
          <w:vertAlign w:val="baseline"/>
        </w:rPr>
        <w:t>S.</w:t>
      </w:r>
      <w:r>
        <w:rPr>
          <w:i/>
          <w:spacing w:val="-3"/>
          <w:sz w:val="16"/>
          <w:vertAlign w:val="baseline"/>
        </w:rPr>
        <w:t> </w:t>
      </w:r>
      <w:r>
        <w:rPr>
          <w:i/>
          <w:sz w:val="16"/>
          <w:vertAlign w:val="baseline"/>
        </w:rPr>
        <w:t>Rd.,</w:t>
      </w:r>
      <w:r>
        <w:rPr>
          <w:i/>
          <w:spacing w:val="-2"/>
          <w:sz w:val="16"/>
          <w:vertAlign w:val="baseline"/>
        </w:rPr>
        <w:t> </w:t>
      </w:r>
      <w:r>
        <w:rPr>
          <w:i/>
          <w:sz w:val="16"/>
          <w:vertAlign w:val="baseline"/>
        </w:rPr>
        <w:t>Taipei</w:t>
      </w:r>
      <w:r>
        <w:rPr>
          <w:i/>
          <w:spacing w:val="-2"/>
          <w:sz w:val="16"/>
          <w:vertAlign w:val="baseline"/>
        </w:rPr>
        <w:t> </w:t>
      </w:r>
      <w:r>
        <w:rPr>
          <w:i/>
          <w:sz w:val="16"/>
          <w:vertAlign w:val="baseline"/>
        </w:rPr>
        <w:t>City</w:t>
      </w:r>
      <w:r>
        <w:rPr>
          <w:i/>
          <w:spacing w:val="-2"/>
          <w:sz w:val="16"/>
          <w:vertAlign w:val="baseline"/>
        </w:rPr>
        <w:t> </w:t>
      </w:r>
      <w:r>
        <w:rPr>
          <w:i/>
          <w:sz w:val="16"/>
          <w:vertAlign w:val="baseline"/>
        </w:rPr>
        <w:t>10002,</w:t>
      </w:r>
      <w:r>
        <w:rPr>
          <w:i/>
          <w:spacing w:val="-2"/>
          <w:sz w:val="16"/>
          <w:vertAlign w:val="baseline"/>
        </w:rPr>
        <w:t> </w:t>
      </w:r>
      <w:r>
        <w:rPr>
          <w:i/>
          <w:sz w:val="16"/>
          <w:vertAlign w:val="baseline"/>
        </w:rPr>
        <w:t>Taiwan</w:t>
      </w:r>
      <w:r>
        <w:rPr>
          <w:i/>
          <w:spacing w:val="40"/>
          <w:sz w:val="16"/>
          <w:vertAlign w:val="baseline"/>
        </w:rPr>
        <w:t> </w:t>
      </w:r>
      <w:r>
        <w:rPr>
          <w:i/>
          <w:sz w:val="16"/>
          <w:vertAlign w:val="superscript"/>
        </w:rPr>
        <w:t>c</w:t>
      </w:r>
      <w:r>
        <w:rPr>
          <w:i/>
          <w:sz w:val="16"/>
          <w:vertAlign w:val="baseline"/>
        </w:rPr>
        <w:t>Graduate Institute of Medical Informatics, Taipei Medical University, No.250, Wuxing St., Taipei City 11031, Taiwan</w:t>
      </w:r>
      <w:r>
        <w:rPr>
          <w:i/>
          <w:spacing w:val="40"/>
          <w:sz w:val="16"/>
          <w:vertAlign w:val="baseline"/>
        </w:rPr>
        <w:t> </w:t>
      </w:r>
      <w:r>
        <w:rPr>
          <w:i/>
          <w:sz w:val="16"/>
          <w:vertAlign w:val="superscript"/>
        </w:rPr>
        <w:t>d</w:t>
      </w:r>
      <w:r>
        <w:rPr>
          <w:i/>
          <w:sz w:val="16"/>
          <w:vertAlign w:val="baseline"/>
        </w:rPr>
        <w:t>Institute of Biomedical Engineering, National Yang-Ming University, No.155, Sec.2, Linong St., Taipei City 11221, Taiwan</w:t>
      </w:r>
      <w:r>
        <w:rPr>
          <w:i/>
          <w:spacing w:val="40"/>
          <w:sz w:val="16"/>
          <w:vertAlign w:val="baseline"/>
        </w:rPr>
        <w:t> </w:t>
      </w:r>
      <w:r>
        <w:rPr>
          <w:i/>
          <w:sz w:val="16"/>
          <w:vertAlign w:val="superscript"/>
        </w:rPr>
        <w:t>e</w:t>
      </w:r>
      <w:r>
        <w:rPr>
          <w:i/>
          <w:sz w:val="16"/>
          <w:vertAlign w:val="baseline"/>
        </w:rPr>
        <w:t>Department of Surgery, Far Eastern Memorial Hospital, No.21, Sec.2, Nanya S. Rd., New Taipei City 22060, Taiwan</w:t>
      </w:r>
      <w:r>
        <w:rPr>
          <w:i/>
          <w:spacing w:val="40"/>
          <w:sz w:val="16"/>
          <w:vertAlign w:val="baseline"/>
        </w:rPr>
        <w:t> </w:t>
      </w:r>
      <w:r>
        <w:rPr>
          <w:i/>
          <w:sz w:val="16"/>
          <w:vertAlign w:val="superscript"/>
        </w:rPr>
        <w:t>f</w:t>
      </w:r>
      <w:r>
        <w:rPr>
          <w:i/>
          <w:sz w:val="16"/>
          <w:vertAlign w:val="baseline"/>
        </w:rPr>
        <w:t>Department of Neurosurgery, Taipei Hospital, No.127, Siyuan Rd., New Taipei City 24213, Taiwan</w:t>
      </w:r>
    </w:p>
    <w:p>
      <w:pPr>
        <w:pStyle w:val="BodyText"/>
        <w:rPr>
          <w:i/>
        </w:rPr>
      </w:pPr>
    </w:p>
    <w:p>
      <w:pPr>
        <w:pStyle w:val="BodyText"/>
        <w:spacing w:before="223"/>
        <w:rPr>
          <w:i/>
        </w:rPr>
      </w:pPr>
      <w:r>
        <w:rPr/>
        <mc:AlternateContent>
          <mc:Choice Requires="wps">
            <w:drawing>
              <wp:anchor distT="0" distB="0" distL="0" distR="0" allowOverlap="1" layoutInCell="1" locked="0" behindDoc="1" simplePos="0" relativeHeight="487587840">
                <wp:simplePos x="0" y="0"/>
                <wp:positionH relativeFrom="page">
                  <wp:posOffset>636651</wp:posOffset>
                </wp:positionH>
                <wp:positionV relativeFrom="paragraph">
                  <wp:posOffset>303108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130001pt;margin-top:23.866804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1"/>
        <w:rPr>
          <w:i/>
          <w:sz w:val="18"/>
        </w:rPr>
      </w:pPr>
    </w:p>
    <w:p>
      <w:pPr>
        <w:spacing w:before="0"/>
        <w:ind w:left="512" w:right="0" w:firstLine="0"/>
        <w:jc w:val="left"/>
        <w:rPr>
          <w:b/>
          <w:sz w:val="18"/>
        </w:rPr>
      </w:pPr>
      <w:r>
        <w:rPr>
          <w:b/>
          <w:spacing w:val="-2"/>
          <w:sz w:val="18"/>
        </w:rPr>
        <w:t>Abstract</w:t>
      </w:r>
    </w:p>
    <w:p>
      <w:pPr>
        <w:pStyle w:val="BodyText"/>
        <w:spacing w:before="27"/>
        <w:rPr>
          <w:b/>
          <w:sz w:val="18"/>
        </w:rPr>
      </w:pPr>
    </w:p>
    <w:p>
      <w:pPr>
        <w:spacing w:line="254" w:lineRule="auto" w:before="0"/>
        <w:ind w:left="512" w:right="451" w:firstLine="0"/>
        <w:jc w:val="both"/>
        <w:rPr>
          <w:sz w:val="18"/>
        </w:rPr>
      </w:pPr>
      <w:r>
        <w:rPr>
          <w:sz w:val="18"/>
        </w:rPr>
        <w:t>The intracranial space (ICS) is incompletely separated by the cerebral falx and the cerebellar</w:t>
      </w:r>
      <w:r>
        <w:rPr>
          <w:sz w:val="18"/>
        </w:rPr>
        <w:t> tentorium into three compartments. To simulate brain herniation, defined as part of the brain shifting from one compartment to another, we proposed a simplified model of the supratentorial space (STS) based on computed tomographic (CT) images</w:t>
      </w:r>
      <w:r>
        <w:rPr>
          <w:sz w:val="18"/>
        </w:rPr>
        <w:t> obtained</w:t>
      </w:r>
      <w:r>
        <w:rPr>
          <w:spacing w:val="40"/>
          <w:sz w:val="18"/>
        </w:rPr>
        <w:t> </w:t>
      </w:r>
      <w:r>
        <w:rPr>
          <w:sz w:val="18"/>
        </w:rPr>
        <w:t>from 50 subjects.</w:t>
      </w:r>
    </w:p>
    <w:p>
      <w:pPr>
        <w:spacing w:line="254" w:lineRule="auto" w:before="2"/>
        <w:ind w:left="512" w:right="458" w:firstLine="237"/>
        <w:jc w:val="both"/>
        <w:rPr>
          <w:sz w:val="18"/>
        </w:rPr>
      </w:pPr>
      <w:r>
        <w:rPr>
          <w:sz w:val="18"/>
        </w:rPr>
        <w:t>After identifying skull regions, we manually outlined the STS regions on CT slices. Pertinent dimensions of the STS and its openings were measured. The average volumes of the ICS and the STS were 1326 and 1154 mL. The average length, width and height of the STS were 154.7, 136.1, and 90.3 mm. The average length and height of the subfalcine</w:t>
      </w:r>
      <w:r>
        <w:rPr>
          <w:spacing w:val="40"/>
          <w:sz w:val="18"/>
        </w:rPr>
        <w:t> </w:t>
      </w:r>
      <w:r>
        <w:rPr>
          <w:sz w:val="18"/>
        </w:rPr>
        <w:t>space (SFS) were 85.8 and 52.1 mm, while the average length and width of midbrain were 37.9 and 30.9 mm.</w:t>
      </w:r>
    </w:p>
    <w:p>
      <w:pPr>
        <w:spacing w:line="254" w:lineRule="auto" w:before="2"/>
        <w:ind w:left="512" w:right="455" w:firstLine="237"/>
        <w:jc w:val="both"/>
        <w:rPr>
          <w:sz w:val="18"/>
        </w:rPr>
      </w:pPr>
      <w:r>
        <w:rPr>
          <w:sz w:val="18"/>
        </w:rPr>
        <w:t>Based on these data, we constructed a half sphere STS model with a diameter of 160 mm and a volume of 1072 mL. A 40 mm circle representing the tentorial incisura is removed from the center of its equatorial plane. This model is then divided into two compartments by its intact mid-sagittal plane, which had another 80 mm semicircle removed to simulate the SFS.</w:t>
      </w:r>
    </w:p>
    <w:p>
      <w:pPr>
        <w:spacing w:before="158"/>
        <w:ind w:left="483" w:right="0" w:firstLine="0"/>
        <w:jc w:val="left"/>
        <w:rPr>
          <w:sz w:val="16"/>
        </w:rPr>
      </w:pPr>
      <w:r>
        <w:rPr/>
        <mc:AlternateContent>
          <mc:Choice Requires="wps">
            <w:drawing>
              <wp:anchor distT="0" distB="0" distL="0" distR="0" allowOverlap="1" layoutInCell="1" locked="0" behindDoc="1" simplePos="0" relativeHeight="487229440">
                <wp:simplePos x="0" y="0"/>
                <wp:positionH relativeFrom="page">
                  <wp:posOffset>655701</wp:posOffset>
                </wp:positionH>
                <wp:positionV relativeFrom="paragraph">
                  <wp:posOffset>147234</wp:posOffset>
                </wp:positionV>
                <wp:extent cx="4980305" cy="2901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0305" cy="290195"/>
                        </a:xfrm>
                        <a:prstGeom prst="rect">
                          <a:avLst/>
                        </a:prstGeom>
                      </wps:spPr>
                      <wps:txbx>
                        <w:txbxContent>
                          <w:p>
                            <w:pPr>
                              <w:pStyle w:val="BodyText"/>
                              <w:spacing w:line="219" w:lineRule="exact"/>
                            </w:pPr>
                            <w:r>
                              <w:rPr/>
                              <w:t>©</w:t>
                            </w:r>
                            <w:r>
                              <w:rPr>
                                <w:spacing w:val="-3"/>
                              </w:rPr>
                              <w:t> </w:t>
                            </w:r>
                            <w:r>
                              <w:rPr/>
                              <w:t>2013</w:t>
                            </w:r>
                            <w:r>
                              <w:rPr>
                                <w:spacing w:val="-1"/>
                              </w:rPr>
                              <w:t> </w:t>
                            </w:r>
                            <w:r>
                              <w:rPr/>
                              <w:t>Published</w:t>
                            </w:r>
                            <w:r>
                              <w:rPr>
                                <w:spacing w:val="-2"/>
                              </w:rPr>
                              <w:t> </w:t>
                            </w:r>
                            <w:r>
                              <w:rPr/>
                              <w:t>by</w:t>
                            </w:r>
                            <w:r>
                              <w:rPr>
                                <w:spacing w:val="-1"/>
                              </w:rPr>
                              <w:t> </w:t>
                            </w:r>
                            <w:r>
                              <w:rPr/>
                              <w:t>Elsevier</w:t>
                            </w:r>
                            <w:r>
                              <w:rPr>
                                <w:spacing w:val="-1"/>
                              </w:rPr>
                              <w:t> </w:t>
                            </w:r>
                            <w:r>
                              <w:rPr>
                                <w:spacing w:val="-4"/>
                              </w:rPr>
                              <w:t>B.V.</w:t>
                            </w:r>
                          </w:p>
                          <w:p>
                            <w:pPr>
                              <w:pStyle w:val="BodyText"/>
                            </w:pPr>
                            <w:r>
                              <w:rPr/>
                              <w:t>Selection</w:t>
                            </w:r>
                            <w:r>
                              <w:rPr>
                                <w:spacing w:val="-7"/>
                              </w:rPr>
                              <w:t> </w:t>
                            </w:r>
                            <w:r>
                              <w:rPr/>
                              <w:t>and/or</w:t>
                            </w:r>
                            <w:r>
                              <w:rPr>
                                <w:spacing w:val="-6"/>
                              </w:rPr>
                              <w:t> </w:t>
                            </w:r>
                            <w:r>
                              <w:rPr/>
                              <w:t>peer</w:t>
                            </w:r>
                            <w:r>
                              <w:rPr>
                                <w:spacing w:val="-8"/>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630001pt;margin-top:11.593256pt;width:392.15pt;height:22.85pt;mso-position-horizontal-relative:page;mso-position-vertical-relative:paragraph;z-index:-16087040" type="#_x0000_t202" id="docshape5" filled="false" stroked="false">
                <v:textbox inset="0,0,0,0">
                  <w:txbxContent>
                    <w:p>
                      <w:pPr>
                        <w:pStyle w:val="BodyText"/>
                        <w:spacing w:line="219" w:lineRule="exact"/>
                      </w:pPr>
                      <w:r>
                        <w:rPr/>
                        <w:t>©</w:t>
                      </w:r>
                      <w:r>
                        <w:rPr>
                          <w:spacing w:val="-3"/>
                        </w:rPr>
                        <w:t> </w:t>
                      </w:r>
                      <w:r>
                        <w:rPr/>
                        <w:t>2013</w:t>
                      </w:r>
                      <w:r>
                        <w:rPr>
                          <w:spacing w:val="-1"/>
                        </w:rPr>
                        <w:t> </w:t>
                      </w:r>
                      <w:r>
                        <w:rPr/>
                        <w:t>Published</w:t>
                      </w:r>
                      <w:r>
                        <w:rPr>
                          <w:spacing w:val="-2"/>
                        </w:rPr>
                        <w:t> </w:t>
                      </w:r>
                      <w:r>
                        <w:rPr/>
                        <w:t>by</w:t>
                      </w:r>
                      <w:r>
                        <w:rPr>
                          <w:spacing w:val="-1"/>
                        </w:rPr>
                        <w:t> </w:t>
                      </w:r>
                      <w:r>
                        <w:rPr/>
                        <w:t>Elsevier</w:t>
                      </w:r>
                      <w:r>
                        <w:rPr>
                          <w:spacing w:val="-1"/>
                        </w:rPr>
                        <w:t> </w:t>
                      </w:r>
                      <w:r>
                        <w:rPr>
                          <w:spacing w:val="-4"/>
                        </w:rPr>
                        <w:t>B.V.</w:t>
                      </w:r>
                    </w:p>
                    <w:p>
                      <w:pPr>
                        <w:pStyle w:val="BodyText"/>
                      </w:pPr>
                      <w:r>
                        <w:rPr/>
                        <w:t>Selection</w:t>
                      </w:r>
                      <w:r>
                        <w:rPr>
                          <w:spacing w:val="-7"/>
                        </w:rPr>
                        <w:t> </w:t>
                      </w:r>
                      <w:r>
                        <w:rPr/>
                        <w:t>and/or</w:t>
                      </w:r>
                      <w:r>
                        <w:rPr>
                          <w:spacing w:val="-6"/>
                        </w:rPr>
                        <w:t> </w:t>
                      </w:r>
                      <w:r>
                        <w:rPr/>
                        <w:t>peer</w:t>
                      </w:r>
                      <w:r>
                        <w:rPr>
                          <w:spacing w:val="-8"/>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31488">
                <wp:simplePos x="0" y="0"/>
                <wp:positionH relativeFrom="page">
                  <wp:posOffset>619201</wp:posOffset>
                </wp:positionH>
                <wp:positionV relativeFrom="paragraph">
                  <wp:posOffset>59128</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756001pt;margin-top:4.655817pt;width:431.622pt;height:36.257pt;mso-position-horizontal-relative:page;mso-position-vertical-relative:paragraph;z-index:-16084992" id="docshape6"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2014</w:t>
      </w:r>
      <w:r>
        <w:rPr>
          <w:color w:val="231F20"/>
          <w:spacing w:val="-1"/>
          <w:sz w:val="18"/>
        </w:rPr>
        <w:t> </w:t>
      </w:r>
      <w:r>
        <w:rPr>
          <w:color w:val="231F20"/>
          <w:sz w:val="18"/>
        </w:rPr>
        <w:t>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w:t>
      </w:r>
      <w:r>
        <w:rPr>
          <w:color w:val="231F20"/>
          <w:spacing w:val="-1"/>
          <w:sz w:val="18"/>
        </w:rPr>
        <w:t> </w:t>
      </w:r>
      <w:r>
        <w:rPr>
          <w:color w:val="231F20"/>
          <w:sz w:val="18"/>
        </w:rPr>
        <w:t>V.</w:t>
      </w:r>
      <w:r>
        <w:rPr>
          <w:color w:val="231F20"/>
          <w:spacing w:val="-1"/>
          <w:sz w:val="18"/>
        </w:rPr>
        <w:t> </w:t>
      </w:r>
      <w:r>
        <w:rPr>
          <w:color w:val="231F20"/>
          <w:sz w:val="16"/>
        </w:rPr>
        <w:t>Open</w:t>
      </w:r>
      <w:r>
        <w:rPr>
          <w:color w:val="231F20"/>
          <w:spacing w:val="-1"/>
          <w:sz w:val="16"/>
        </w:rPr>
        <w:t> </w:t>
      </w:r>
      <w:r>
        <w:rPr>
          <w:color w:val="231F20"/>
          <w:sz w:val="16"/>
        </w:rPr>
        <w:t>access under</w:t>
      </w:r>
      <w:r>
        <w:rPr>
          <w:color w:val="231F20"/>
          <w:spacing w:val="-1"/>
          <w:sz w:val="16"/>
        </w:rPr>
        <w:t> </w:t>
      </w:r>
      <w:hyperlink r:id="rId12">
        <w:r>
          <w:rPr>
            <w:color w:val="0000FF"/>
            <w:sz w:val="16"/>
          </w:rPr>
          <w:t>CC BY-NC-ND</w:t>
        </w:r>
        <w:r>
          <w:rPr>
            <w:color w:val="0000FF"/>
            <w:spacing w:val="-1"/>
            <w:sz w:val="16"/>
          </w:rPr>
          <w:t> </w:t>
        </w:r>
        <w:r>
          <w:rPr>
            <w:color w:val="0000FF"/>
            <w:spacing w:val="-2"/>
            <w:sz w:val="16"/>
          </w:rPr>
          <w:t>license.</w:t>
        </w:r>
      </w:hyperlink>
    </w:p>
    <w:p>
      <w:pPr>
        <w:spacing w:before="9"/>
        <w:ind w:left="483"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pStyle w:val="BodyText"/>
        <w:spacing w:before="160"/>
        <w:rPr>
          <w:sz w:val="16"/>
        </w:rPr>
      </w:pPr>
    </w:p>
    <w:p>
      <w:pPr>
        <w:spacing w:before="0"/>
        <w:ind w:left="512" w:right="0" w:firstLine="0"/>
        <w:jc w:val="left"/>
        <w:rPr>
          <w:i/>
          <w:sz w:val="16"/>
        </w:rPr>
      </w:pPr>
      <w:r>
        <w:rPr>
          <w:i/>
          <w:sz w:val="16"/>
        </w:rPr>
        <w:t>Keywords:</w:t>
      </w:r>
      <w:r>
        <w:rPr>
          <w:i/>
          <w:spacing w:val="-7"/>
          <w:sz w:val="16"/>
        </w:rPr>
        <w:t> </w:t>
      </w:r>
      <w:r>
        <w:rPr>
          <w:i/>
          <w:sz w:val="16"/>
        </w:rPr>
        <w:t>Brain</w:t>
      </w:r>
      <w:r>
        <w:rPr>
          <w:i/>
          <w:spacing w:val="-7"/>
          <w:sz w:val="16"/>
        </w:rPr>
        <w:t> </w:t>
      </w:r>
      <w:r>
        <w:rPr>
          <w:i/>
          <w:sz w:val="16"/>
        </w:rPr>
        <w:t>herniation;</w:t>
      </w:r>
      <w:r>
        <w:rPr>
          <w:i/>
          <w:spacing w:val="-6"/>
          <w:sz w:val="16"/>
        </w:rPr>
        <w:t> </w:t>
      </w:r>
      <w:r>
        <w:rPr>
          <w:i/>
          <w:sz w:val="16"/>
        </w:rPr>
        <w:t>Geometric</w:t>
      </w:r>
      <w:r>
        <w:rPr>
          <w:i/>
          <w:spacing w:val="-7"/>
          <w:sz w:val="16"/>
        </w:rPr>
        <w:t> </w:t>
      </w:r>
      <w:r>
        <w:rPr>
          <w:i/>
          <w:sz w:val="16"/>
        </w:rPr>
        <w:t>model;</w:t>
      </w:r>
      <w:r>
        <w:rPr>
          <w:i/>
          <w:spacing w:val="-7"/>
          <w:sz w:val="16"/>
        </w:rPr>
        <w:t> </w:t>
      </w:r>
      <w:r>
        <w:rPr>
          <w:i/>
          <w:sz w:val="16"/>
        </w:rPr>
        <w:t>Midline</w:t>
      </w:r>
      <w:r>
        <w:rPr>
          <w:i/>
          <w:spacing w:val="-5"/>
          <w:sz w:val="16"/>
        </w:rPr>
        <w:t> </w:t>
      </w:r>
      <w:r>
        <w:rPr>
          <w:i/>
          <w:spacing w:val="-2"/>
          <w:sz w:val="16"/>
        </w:rPr>
        <w:t>shift</w:t>
      </w:r>
    </w:p>
    <w:p>
      <w:pPr>
        <w:pStyle w:val="BodyText"/>
        <w:spacing w:before="9"/>
        <w:rPr>
          <w:i/>
          <w:sz w:val="15"/>
        </w:rPr>
      </w:pPr>
      <w:r>
        <w:rPr/>
        <mc:AlternateContent>
          <mc:Choice Requires="wps">
            <w:drawing>
              <wp:anchor distT="0" distB="0" distL="0" distR="0" allowOverlap="1" layoutInCell="1" locked="0" behindDoc="1" simplePos="0" relativeHeight="487588352">
                <wp:simplePos x="0" y="0"/>
                <wp:positionH relativeFrom="page">
                  <wp:posOffset>636651</wp:posOffset>
                </wp:positionH>
                <wp:positionV relativeFrom="paragraph">
                  <wp:posOffset>130875</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130001pt;margin-top:10.305137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34"/>
        <w:rPr>
          <w:i/>
          <w:sz w:val="16"/>
        </w:rPr>
      </w:pPr>
    </w:p>
    <w:p>
      <w:pPr>
        <w:spacing w:before="0"/>
        <w:ind w:left="103" w:right="0" w:firstLine="0"/>
        <w:jc w:val="left"/>
        <w:rPr>
          <w:sz w:val="14"/>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6"/>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w:t>
      </w:r>
      <w:r>
        <w:rPr>
          <w:color w:val="231F20"/>
          <w:spacing w:val="-5"/>
          <w:sz w:val="16"/>
        </w:rPr>
        <w:t> </w:t>
      </w:r>
      <w:r>
        <w:rPr>
          <w:color w:val="231F20"/>
          <w:sz w:val="16"/>
        </w:rPr>
        <w:t>V.</w:t>
      </w:r>
      <w:r>
        <w:rPr>
          <w:color w:val="231F20"/>
          <w:spacing w:val="-5"/>
          <w:sz w:val="16"/>
        </w:rPr>
        <w:t> </w:t>
      </w:r>
      <w:r>
        <w:rPr>
          <w:color w:val="231F20"/>
          <w:sz w:val="14"/>
        </w:rPr>
        <w:t>Open</w:t>
      </w:r>
      <w:r>
        <w:rPr>
          <w:color w:val="231F20"/>
          <w:spacing w:val="-3"/>
          <w:sz w:val="14"/>
        </w:rPr>
        <w:t> </w:t>
      </w:r>
      <w:r>
        <w:rPr>
          <w:color w:val="231F20"/>
          <w:sz w:val="14"/>
        </w:rPr>
        <w:t>access</w:t>
      </w:r>
      <w:r>
        <w:rPr>
          <w:color w:val="231F20"/>
          <w:spacing w:val="-3"/>
          <w:sz w:val="14"/>
        </w:rPr>
        <w:t> </w:t>
      </w:r>
      <w:r>
        <w:rPr>
          <w:color w:val="231F20"/>
          <w:sz w:val="14"/>
        </w:rPr>
        <w:t>under</w:t>
      </w:r>
      <w:r>
        <w:rPr>
          <w:color w:val="231F20"/>
          <w:spacing w:val="-3"/>
          <w:sz w:val="14"/>
        </w:rPr>
        <w:t> </w:t>
      </w:r>
      <w:hyperlink r:id="rId12">
        <w:r>
          <w:rPr>
            <w:color w:val="0000FF"/>
            <w:sz w:val="14"/>
          </w:rPr>
          <w:t>CC</w:t>
        </w:r>
        <w:r>
          <w:rPr>
            <w:color w:val="0000FF"/>
            <w:spacing w:val="-3"/>
            <w:sz w:val="14"/>
          </w:rPr>
          <w:t> </w:t>
        </w:r>
        <w:r>
          <w:rPr>
            <w:color w:val="0000FF"/>
            <w:sz w:val="14"/>
          </w:rPr>
          <w:t>BY-NC-ND</w:t>
        </w:r>
        <w:r>
          <w:rPr>
            <w:color w:val="0000FF"/>
            <w:spacing w:val="-3"/>
            <w:sz w:val="14"/>
          </w:rPr>
          <w:t> </w:t>
        </w:r>
        <w:r>
          <w:rPr>
            <w:color w:val="0000FF"/>
            <w:spacing w:val="-2"/>
            <w:sz w:val="14"/>
          </w:rPr>
          <w:t>license.</w:t>
        </w:r>
      </w:hyperlink>
    </w:p>
    <w:p>
      <w:pPr>
        <w:spacing w:line="261" w:lineRule="auto" w:before="16"/>
        <w:ind w:left="103" w:right="108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doi:10.1016/j.aasri.2014.05.014</w:t>
      </w:r>
    </w:p>
    <w:p>
      <w:pPr>
        <w:spacing w:after="0" w:line="261" w:lineRule="auto"/>
        <w:jc w:val="left"/>
        <w:rPr>
          <w:sz w:val="16"/>
        </w:rPr>
        <w:sectPr>
          <w:footerReference w:type="default" r:id="rId5"/>
          <w:type w:val="continuous"/>
          <w:pgSz w:w="10890" w:h="14860"/>
          <w:pgMar w:header="0" w:footer="0" w:top="780" w:bottom="280" w:left="520" w:right="540"/>
          <w:pgNumType w:start="95"/>
        </w:sectPr>
      </w:pPr>
    </w:p>
    <w:p>
      <w:pPr>
        <w:pStyle w:val="BodyText"/>
        <w:spacing w:before="125"/>
      </w:pPr>
    </w:p>
    <w:p>
      <w:pPr>
        <w:pStyle w:val="Heading1"/>
        <w:numPr>
          <w:ilvl w:val="0"/>
          <w:numId w:val="1"/>
        </w:numPr>
        <w:tabs>
          <w:tab w:pos="609" w:val="left" w:leader="none"/>
        </w:tabs>
        <w:spacing w:line="240" w:lineRule="auto" w:before="0" w:after="0"/>
        <w:ind w:left="609" w:right="0" w:hanging="204"/>
        <w:jc w:val="left"/>
      </w:pPr>
      <w:r>
        <w:rPr>
          <w:spacing w:val="-2"/>
        </w:rPr>
        <w:t>Introduction</w:t>
      </w:r>
    </w:p>
    <w:p>
      <w:pPr>
        <w:pStyle w:val="BodyText"/>
        <w:spacing w:before="20"/>
        <w:rPr>
          <w:b/>
        </w:rPr>
      </w:pPr>
    </w:p>
    <w:p>
      <w:pPr>
        <w:pStyle w:val="BodyText"/>
        <w:spacing w:line="249" w:lineRule="auto"/>
        <w:ind w:left="405" w:right="569" w:firstLine="237"/>
        <w:jc w:val="both"/>
      </w:pPr>
      <w:r>
        <w:rPr/>
        <w:t>Lying within the cranial cavity, the human brain is composed of the cerebral hemispheres and the cerebellum, incompletely separated by the cerebral falx between the hemispheres and the cerebellar tentorium between the</w:t>
      </w:r>
      <w:r>
        <w:rPr>
          <w:spacing w:val="-1"/>
        </w:rPr>
        <w:t> </w:t>
      </w:r>
      <w:r>
        <w:rPr/>
        <w:t>cerebrum</w:t>
      </w:r>
      <w:r>
        <w:rPr>
          <w:spacing w:val="-2"/>
        </w:rPr>
        <w:t> </w:t>
      </w:r>
      <w:r>
        <w:rPr/>
        <w:t>and the</w:t>
      </w:r>
      <w:r>
        <w:rPr>
          <w:spacing w:val="-1"/>
        </w:rPr>
        <w:t> </w:t>
      </w:r>
      <w:r>
        <w:rPr/>
        <w:t>cerebellum</w:t>
      </w:r>
      <w:r>
        <w:rPr>
          <w:spacing w:val="-2"/>
        </w:rPr>
        <w:t> </w:t>
      </w:r>
      <w:r>
        <w:rPr/>
        <w:t>[1]. In</w:t>
      </w:r>
      <w:r>
        <w:rPr>
          <w:spacing w:val="-1"/>
        </w:rPr>
        <w:t> </w:t>
      </w:r>
      <w:r>
        <w:rPr/>
        <w:t>other</w:t>
      </w:r>
      <w:r>
        <w:rPr>
          <w:spacing w:val="-1"/>
        </w:rPr>
        <w:t> </w:t>
      </w:r>
      <w:r>
        <w:rPr/>
        <w:t>words, the</w:t>
      </w:r>
      <w:r>
        <w:rPr>
          <w:spacing w:val="-1"/>
        </w:rPr>
        <w:t> </w:t>
      </w:r>
      <w:r>
        <w:rPr/>
        <w:t>intracranial space (ICS) is separated into the supratentorial space (STS) and the infratentorial space (ITS) by the tentorium. Because the brain is roughly bilateral symmetric, the falx is often used to represent the intact mid-sagittal plane (iMSP) and the separated cerebral hemispheres connect at the subfalcine space (SFS) [2]. The tentorial incisura (TI), an opening at the center of the tentorium, provides the only communication between the STS and the ITS [3]. The TI is divided into the anterior, middle, and posterior incisural spaces, with the midbrain (upper brainstem) occupying the middle one.</w:t>
      </w:r>
    </w:p>
    <w:p>
      <w:pPr>
        <w:pStyle w:val="BodyText"/>
        <w:spacing w:line="249" w:lineRule="auto" w:before="8"/>
        <w:ind w:left="405" w:right="522" w:firstLine="237"/>
        <w:jc w:val="both"/>
      </w:pPr>
      <w:r>
        <w:rPr/>
        <w:t>Different</w:t>
      </w:r>
      <w:r>
        <w:rPr>
          <w:spacing w:val="-2"/>
        </w:rPr>
        <w:t> </w:t>
      </w:r>
      <w:r>
        <w:rPr/>
        <w:t>types</w:t>
      </w:r>
      <w:r>
        <w:rPr>
          <w:spacing w:val="-2"/>
        </w:rPr>
        <w:t> </w:t>
      </w:r>
      <w:r>
        <w:rPr/>
        <w:t>of</w:t>
      </w:r>
      <w:r>
        <w:rPr>
          <w:spacing w:val="-2"/>
        </w:rPr>
        <w:t> </w:t>
      </w:r>
      <w:r>
        <w:rPr/>
        <w:t>intracranial</w:t>
      </w:r>
      <w:r>
        <w:rPr>
          <w:spacing w:val="-2"/>
        </w:rPr>
        <w:t> </w:t>
      </w:r>
      <w:r>
        <w:rPr/>
        <w:t>mass,</w:t>
      </w:r>
      <w:r>
        <w:rPr>
          <w:spacing w:val="-2"/>
        </w:rPr>
        <w:t> </w:t>
      </w:r>
      <w:r>
        <w:rPr/>
        <w:t>such</w:t>
      </w:r>
      <w:r>
        <w:rPr>
          <w:spacing w:val="-2"/>
        </w:rPr>
        <w:t> </w:t>
      </w:r>
      <w:r>
        <w:rPr/>
        <w:t>as</w:t>
      </w:r>
      <w:r>
        <w:rPr>
          <w:spacing w:val="-3"/>
        </w:rPr>
        <w:t> </w:t>
      </w:r>
      <w:r>
        <w:rPr/>
        <w:t>hematomas,</w:t>
      </w:r>
      <w:r>
        <w:rPr>
          <w:spacing w:val="-2"/>
        </w:rPr>
        <w:t> </w:t>
      </w:r>
      <w:r>
        <w:rPr/>
        <w:t>tumors,</w:t>
      </w:r>
      <w:r>
        <w:rPr>
          <w:spacing w:val="-2"/>
        </w:rPr>
        <w:t> </w:t>
      </w:r>
      <w:r>
        <w:rPr/>
        <w:t>abscesses,</w:t>
      </w:r>
      <w:r>
        <w:rPr>
          <w:spacing w:val="-3"/>
        </w:rPr>
        <w:t> </w:t>
      </w:r>
      <w:r>
        <w:rPr/>
        <w:t>or</w:t>
      </w:r>
      <w:r>
        <w:rPr>
          <w:spacing w:val="-2"/>
        </w:rPr>
        <w:t> </w:t>
      </w:r>
      <w:r>
        <w:rPr/>
        <w:t>swelling</w:t>
      </w:r>
      <w:r>
        <w:rPr>
          <w:spacing w:val="-3"/>
        </w:rPr>
        <w:t> </w:t>
      </w:r>
      <w:r>
        <w:rPr/>
        <w:t>brains</w:t>
      </w:r>
      <w:r>
        <w:rPr>
          <w:spacing w:val="-2"/>
        </w:rPr>
        <w:t> </w:t>
      </w:r>
      <w:r>
        <w:rPr/>
        <w:t>after</w:t>
      </w:r>
      <w:r>
        <w:rPr>
          <w:spacing w:val="-2"/>
        </w:rPr>
        <w:t> </w:t>
      </w:r>
      <w:r>
        <w:rPr/>
        <w:t>infarcts, can cause brain shift, followed by herniation, brainstem compression and death. With increased intracranial pressure (ICP), the diseased or injured cerebral hemisphere may herniate through the SFS to the other side, resulting in subfalcine herniation (SFH) which is manifested as midline shift (MLS) on brain images [4]. With bilateral cerebral lesions or further elevation of the ICP, the medial part of the cerebrum may herniate through the TI, resulting in transtentorial herniation (TTH) and brain stem compression. On images, one can find changes in the shape of the brainstem and effacement of the cisternal spaces around it [4]. Both types of cerebral herniation, SFH and TTH, are clinically and radiologically important phenomena that require special attention of physicians.</w:t>
      </w:r>
    </w:p>
    <w:p>
      <w:pPr>
        <w:pStyle w:val="BodyText"/>
        <w:spacing w:line="249" w:lineRule="auto" w:before="8"/>
        <w:ind w:left="404" w:right="569" w:firstLine="237"/>
        <w:jc w:val="both"/>
      </w:pPr>
      <w:r>
        <w:rPr/>
        <w:t>We have proposed methods that can automatically measure MLS with symmetry-based and landmark- based methods, and the results were verified clinically [5-8]. To our knowledge, however, there has been no biomechanical model dedicated to simulating brain herniation in the literature. In this study, we try develop a simple 3-dimensional geometric model that can be applied to simulate brain deformation, especially brain herniation</w:t>
      </w:r>
      <w:r>
        <w:rPr>
          <w:spacing w:val="-1"/>
        </w:rPr>
        <w:t> </w:t>
      </w:r>
      <w:r>
        <w:rPr/>
        <w:t>occurring at the</w:t>
      </w:r>
      <w:r>
        <w:rPr>
          <w:spacing w:val="-1"/>
        </w:rPr>
        <w:t> </w:t>
      </w:r>
      <w:r>
        <w:rPr/>
        <w:t>STS, caused by</w:t>
      </w:r>
      <w:r>
        <w:rPr>
          <w:spacing w:val="-1"/>
        </w:rPr>
        <w:t> </w:t>
      </w:r>
      <w:r>
        <w:rPr/>
        <w:t>a supratentorial intracranial</w:t>
      </w:r>
      <w:r>
        <w:rPr>
          <w:spacing w:val="-1"/>
        </w:rPr>
        <w:t> </w:t>
      </w:r>
      <w:r>
        <w:rPr/>
        <w:t>mass, based</w:t>
      </w:r>
      <w:r>
        <w:rPr>
          <w:spacing w:val="-1"/>
        </w:rPr>
        <w:t> </w:t>
      </w:r>
      <w:r>
        <w:rPr/>
        <w:t>on computed tomographic (CT) images of patients with no intracranial pathologies.</w:t>
      </w:r>
    </w:p>
    <w:p>
      <w:pPr>
        <w:pStyle w:val="BodyText"/>
        <w:spacing w:before="15"/>
      </w:pPr>
    </w:p>
    <w:p>
      <w:pPr>
        <w:pStyle w:val="Heading1"/>
        <w:numPr>
          <w:ilvl w:val="0"/>
          <w:numId w:val="1"/>
        </w:numPr>
        <w:tabs>
          <w:tab w:pos="608" w:val="left" w:leader="none"/>
        </w:tabs>
        <w:spacing w:line="240" w:lineRule="auto" w:before="0" w:after="0"/>
        <w:ind w:left="608" w:right="0" w:hanging="204"/>
        <w:jc w:val="left"/>
      </w:pPr>
      <w:r>
        <w:rPr/>
        <w:t>Materials</w:t>
      </w:r>
      <w:r>
        <w:rPr>
          <w:spacing w:val="-2"/>
        </w:rPr>
        <w:t> </w:t>
      </w:r>
      <w:r>
        <w:rPr/>
        <w:t>and</w:t>
      </w:r>
      <w:r>
        <w:rPr>
          <w:spacing w:val="-2"/>
        </w:rPr>
        <w:t> Methods</w:t>
      </w:r>
    </w:p>
    <w:p>
      <w:pPr>
        <w:pStyle w:val="BodyText"/>
        <w:spacing w:before="20"/>
        <w:rPr>
          <w:b/>
        </w:rPr>
      </w:pPr>
    </w:p>
    <w:p>
      <w:pPr>
        <w:pStyle w:val="ListParagraph"/>
        <w:numPr>
          <w:ilvl w:val="1"/>
          <w:numId w:val="1"/>
        </w:numPr>
        <w:tabs>
          <w:tab w:pos="758" w:val="left" w:leader="none"/>
        </w:tabs>
        <w:spacing w:line="240" w:lineRule="auto" w:before="0" w:after="0"/>
        <w:ind w:left="758" w:right="0" w:hanging="354"/>
        <w:jc w:val="left"/>
        <w:rPr>
          <w:i/>
          <w:sz w:val="20"/>
        </w:rPr>
      </w:pPr>
      <w:r>
        <w:rPr>
          <w:i/>
          <w:spacing w:val="-2"/>
          <w:sz w:val="20"/>
        </w:rPr>
        <w:t>Materials</w:t>
      </w:r>
    </w:p>
    <w:p>
      <w:pPr>
        <w:pStyle w:val="BodyText"/>
        <w:spacing w:before="20"/>
        <w:rPr>
          <w:i/>
        </w:rPr>
      </w:pPr>
    </w:p>
    <w:p>
      <w:pPr>
        <w:pStyle w:val="BodyText"/>
        <w:spacing w:line="249" w:lineRule="auto"/>
        <w:ind w:left="405" w:right="571" w:firstLine="237"/>
        <w:jc w:val="both"/>
      </w:pPr>
      <w:r>
        <w:rPr/>
        <w:t>Compared to females, males have larger skulls and thus larger intracranial volumes (ICVs) [9, 10]. To create</w:t>
      </w:r>
      <w:r>
        <w:rPr>
          <w:spacing w:val="8"/>
        </w:rPr>
        <w:t> </w:t>
      </w:r>
      <w:r>
        <w:rPr/>
        <w:t>a</w:t>
      </w:r>
      <w:r>
        <w:rPr>
          <w:spacing w:val="11"/>
        </w:rPr>
        <w:t> </w:t>
      </w:r>
      <w:r>
        <w:rPr/>
        <w:t>generalized</w:t>
      </w:r>
      <w:r>
        <w:rPr>
          <w:spacing w:val="11"/>
        </w:rPr>
        <w:t> </w:t>
      </w:r>
      <w:r>
        <w:rPr/>
        <w:t>model,</w:t>
      </w:r>
      <w:r>
        <w:rPr>
          <w:spacing w:val="11"/>
        </w:rPr>
        <w:t> </w:t>
      </w:r>
      <w:r>
        <w:rPr/>
        <w:t>we</w:t>
      </w:r>
      <w:r>
        <w:rPr>
          <w:spacing w:val="10"/>
        </w:rPr>
        <w:t> </w:t>
      </w:r>
      <w:r>
        <w:rPr/>
        <w:t>collected</w:t>
      </w:r>
      <w:r>
        <w:rPr>
          <w:spacing w:val="11"/>
        </w:rPr>
        <w:t> </w:t>
      </w:r>
      <w:r>
        <w:rPr/>
        <w:t>computed</w:t>
      </w:r>
      <w:r>
        <w:rPr>
          <w:spacing w:val="11"/>
        </w:rPr>
        <w:t> </w:t>
      </w:r>
      <w:r>
        <w:rPr/>
        <w:t>tomographic</w:t>
      </w:r>
      <w:r>
        <w:rPr>
          <w:spacing w:val="11"/>
        </w:rPr>
        <w:t> </w:t>
      </w:r>
      <w:r>
        <w:rPr/>
        <w:t>(CT)</w:t>
      </w:r>
      <w:r>
        <w:rPr>
          <w:spacing w:val="11"/>
        </w:rPr>
        <w:t> </w:t>
      </w:r>
      <w:r>
        <w:rPr/>
        <w:t>images</w:t>
      </w:r>
      <w:r>
        <w:rPr>
          <w:spacing w:val="9"/>
        </w:rPr>
        <w:t> </w:t>
      </w:r>
      <w:r>
        <w:rPr/>
        <w:t>from</w:t>
      </w:r>
      <w:r>
        <w:rPr>
          <w:spacing w:val="9"/>
        </w:rPr>
        <w:t> </w:t>
      </w:r>
      <w:r>
        <w:rPr/>
        <w:t>25</w:t>
      </w:r>
      <w:r>
        <w:rPr>
          <w:spacing w:val="11"/>
        </w:rPr>
        <w:t> </w:t>
      </w:r>
      <w:r>
        <w:rPr/>
        <w:t>consecutive</w:t>
      </w:r>
      <w:r>
        <w:rPr>
          <w:spacing w:val="11"/>
        </w:rPr>
        <w:t> </w:t>
      </w:r>
      <w:r>
        <w:rPr/>
        <w:t>male</w:t>
      </w:r>
      <w:r>
        <w:rPr>
          <w:spacing w:val="11"/>
        </w:rPr>
        <w:t> </w:t>
      </w:r>
      <w:r>
        <w:rPr>
          <w:spacing w:val="-5"/>
        </w:rPr>
        <w:t>and</w:t>
      </w:r>
    </w:p>
    <w:p>
      <w:pPr>
        <w:pStyle w:val="BodyText"/>
        <w:spacing w:line="249" w:lineRule="auto" w:before="2"/>
        <w:ind w:left="405" w:right="572"/>
        <w:jc w:val="both"/>
      </w:pPr>
      <w:r>
        <w:rPr/>
        <w:t>25 consecutive female patients with brain concussion visiting the emergency room of Taipei Hospital, Department of Health, New Taipei City, Taiwan, between April and May in 2013. Patients with skull fractures, intracranial hematomas, history of neurological illnesses or intracranial surgeries, were excluded from this study.</w:t>
      </w:r>
    </w:p>
    <w:p>
      <w:pPr>
        <w:pStyle w:val="BodyText"/>
        <w:spacing w:line="249" w:lineRule="auto" w:before="4"/>
        <w:ind w:left="405" w:right="519" w:firstLine="237"/>
        <w:jc w:val="both"/>
      </w:pPr>
      <w:r>
        <w:rPr/>
        <w:t>All brain CT scans were done with a standard protocol using a Somatom Definition AS+ 128-slice scanner (Siemens,</w:t>
      </w:r>
      <w:r>
        <w:rPr>
          <w:spacing w:val="-1"/>
        </w:rPr>
        <w:t> </w:t>
      </w:r>
      <w:r>
        <w:rPr/>
        <w:t>Erlangen,</w:t>
      </w:r>
      <w:r>
        <w:rPr>
          <w:spacing w:val="-3"/>
        </w:rPr>
        <w:t> </w:t>
      </w:r>
      <w:r>
        <w:rPr/>
        <w:t>Germany).</w:t>
      </w:r>
      <w:r>
        <w:rPr>
          <w:spacing w:val="-1"/>
        </w:rPr>
        <w:t> </w:t>
      </w:r>
      <w:r>
        <w:rPr/>
        <w:t>The</w:t>
      </w:r>
      <w:r>
        <w:rPr>
          <w:spacing w:val="-2"/>
        </w:rPr>
        <w:t> </w:t>
      </w:r>
      <w:r>
        <w:rPr/>
        <w:t>field</w:t>
      </w:r>
      <w:r>
        <w:rPr>
          <w:spacing w:val="-2"/>
        </w:rPr>
        <w:t> </w:t>
      </w:r>
      <w:r>
        <w:rPr/>
        <w:t>of</w:t>
      </w:r>
      <w:r>
        <w:rPr>
          <w:spacing w:val="-2"/>
        </w:rPr>
        <w:t> </w:t>
      </w:r>
      <w:r>
        <w:rPr/>
        <w:t>view</w:t>
      </w:r>
      <w:r>
        <w:rPr>
          <w:spacing w:val="-2"/>
        </w:rPr>
        <w:t> </w:t>
      </w:r>
      <w:r>
        <w:rPr/>
        <w:t>(FOV)</w:t>
      </w:r>
      <w:r>
        <w:rPr>
          <w:spacing w:val="-2"/>
        </w:rPr>
        <w:t> </w:t>
      </w:r>
      <w:r>
        <w:rPr/>
        <w:t>was</w:t>
      </w:r>
      <w:r>
        <w:rPr>
          <w:spacing w:val="-1"/>
        </w:rPr>
        <w:t> </w:t>
      </w:r>
      <w:r>
        <w:rPr/>
        <w:t>250x250</w:t>
      </w:r>
      <w:r>
        <w:rPr>
          <w:spacing w:val="-1"/>
        </w:rPr>
        <w:t> </w:t>
      </w:r>
      <w:r>
        <w:rPr/>
        <w:t>mm.</w:t>
      </w:r>
      <w:r>
        <w:rPr>
          <w:spacing w:val="-1"/>
        </w:rPr>
        <w:t> </w:t>
      </w:r>
      <w:r>
        <w:rPr/>
        <w:t>For</w:t>
      </w:r>
      <w:r>
        <w:rPr>
          <w:spacing w:val="-3"/>
        </w:rPr>
        <w:t> </w:t>
      </w:r>
      <w:r>
        <w:rPr/>
        <w:t>patients</w:t>
      </w:r>
      <w:r>
        <w:rPr>
          <w:spacing w:val="-2"/>
        </w:rPr>
        <w:t> </w:t>
      </w:r>
      <w:r>
        <w:rPr/>
        <w:t>with</w:t>
      </w:r>
      <w:r>
        <w:rPr>
          <w:spacing w:val="-2"/>
        </w:rPr>
        <w:t> </w:t>
      </w:r>
      <w:r>
        <w:rPr/>
        <w:t>head</w:t>
      </w:r>
      <w:r>
        <w:rPr>
          <w:spacing w:val="-1"/>
        </w:rPr>
        <w:t> </w:t>
      </w:r>
      <w:r>
        <w:rPr/>
        <w:t>injury</w:t>
      </w:r>
      <w:r>
        <w:rPr>
          <w:spacing w:val="-1"/>
        </w:rPr>
        <w:t> </w:t>
      </w:r>
      <w:r>
        <w:rPr/>
        <w:t>only, contiguous 5-mm slices were obtained from the foramen magnum to the vertex with the gantry parallel to the orbitomeatal (OM) line. For those with concomitant facial and/or cervical spine injury, contiguous 5-mm</w:t>
      </w:r>
      <w:r>
        <w:rPr>
          <w:spacing w:val="80"/>
        </w:rPr>
        <w:t> </w:t>
      </w:r>
      <w:r>
        <w:rPr/>
        <w:t>slices were obtained from the neck to the vertex with the gantry perpendicular to the patient’s couch.</w:t>
      </w:r>
    </w:p>
    <w:p>
      <w:pPr>
        <w:pStyle w:val="BodyText"/>
        <w:spacing w:line="249" w:lineRule="auto" w:before="4"/>
        <w:ind w:left="405" w:right="572" w:firstLine="237"/>
        <w:jc w:val="both"/>
      </w:pPr>
      <w:r>
        <w:rPr/>
        <w:t>Each CT image was 512x512 pixels in size, resulting in a resolution of 0.49 mm per pixel. To rule out the diagnosis of intracranial hematoma, the original CT density values were transformed from Hounsfield units to 8-bit gray values in a windowed value range (center 35 HU, width 150 HU) [6]. CT slices at levels from the</w:t>
      </w:r>
    </w:p>
    <w:p>
      <w:pPr>
        <w:spacing w:after="0" w:line="249" w:lineRule="auto"/>
        <w:jc w:val="both"/>
        <w:sectPr>
          <w:headerReference w:type="even" r:id="rId13"/>
          <w:headerReference w:type="default" r:id="rId14"/>
          <w:pgSz w:w="10890" w:h="14860"/>
          <w:pgMar w:header="713" w:footer="0" w:top="900" w:bottom="280" w:left="520" w:right="540"/>
          <w:pgNumType w:start="96"/>
        </w:sectPr>
      </w:pPr>
    </w:p>
    <w:p>
      <w:pPr>
        <w:pStyle w:val="BodyText"/>
        <w:spacing w:before="125"/>
      </w:pPr>
    </w:p>
    <w:p>
      <w:pPr>
        <w:pStyle w:val="BodyText"/>
        <w:spacing w:line="249" w:lineRule="auto"/>
        <w:ind w:left="518" w:right="384"/>
      </w:pPr>
      <w:r>
        <w:rPr/>
        <w:t>foramen</w:t>
      </w:r>
      <w:r>
        <w:rPr>
          <w:spacing w:val="27"/>
        </w:rPr>
        <w:t> </w:t>
      </w:r>
      <w:r>
        <w:rPr/>
        <w:t>magnum</w:t>
      </w:r>
      <w:r>
        <w:rPr>
          <w:spacing w:val="24"/>
        </w:rPr>
        <w:t> </w:t>
      </w:r>
      <w:r>
        <w:rPr/>
        <w:t>to</w:t>
      </w:r>
      <w:r>
        <w:rPr>
          <w:spacing w:val="27"/>
        </w:rPr>
        <w:t> </w:t>
      </w:r>
      <w:r>
        <w:rPr/>
        <w:t>the</w:t>
      </w:r>
      <w:r>
        <w:rPr>
          <w:spacing w:val="24"/>
        </w:rPr>
        <w:t> </w:t>
      </w:r>
      <w:r>
        <w:rPr/>
        <w:t>vertex</w:t>
      </w:r>
      <w:r>
        <w:rPr>
          <w:spacing w:val="26"/>
        </w:rPr>
        <w:t> </w:t>
      </w:r>
      <w:r>
        <w:rPr/>
        <w:t>were</w:t>
      </w:r>
      <w:r>
        <w:rPr>
          <w:spacing w:val="26"/>
        </w:rPr>
        <w:t> </w:t>
      </w:r>
      <w:r>
        <w:rPr/>
        <w:t>downloaded</w:t>
      </w:r>
      <w:r>
        <w:rPr>
          <w:spacing w:val="27"/>
        </w:rPr>
        <w:t> </w:t>
      </w:r>
      <w:r>
        <w:rPr/>
        <w:t>to</w:t>
      </w:r>
      <w:r>
        <w:rPr>
          <w:spacing w:val="26"/>
        </w:rPr>
        <w:t> </w:t>
      </w:r>
      <w:r>
        <w:rPr/>
        <w:t>a</w:t>
      </w:r>
      <w:r>
        <w:rPr>
          <w:spacing w:val="26"/>
        </w:rPr>
        <w:t> </w:t>
      </w:r>
      <w:r>
        <w:rPr/>
        <w:t>personal</w:t>
      </w:r>
      <w:r>
        <w:rPr>
          <w:spacing w:val="27"/>
        </w:rPr>
        <w:t> </w:t>
      </w:r>
      <w:r>
        <w:rPr/>
        <w:t>computer.</w:t>
      </w:r>
      <w:r>
        <w:rPr>
          <w:spacing w:val="26"/>
        </w:rPr>
        <w:t> </w:t>
      </w:r>
      <w:r>
        <w:rPr/>
        <w:t>All</w:t>
      </w:r>
      <w:r>
        <w:rPr>
          <w:spacing w:val="27"/>
        </w:rPr>
        <w:t> </w:t>
      </w:r>
      <w:r>
        <w:rPr/>
        <w:t>images</w:t>
      </w:r>
      <w:r>
        <w:rPr>
          <w:spacing w:val="27"/>
        </w:rPr>
        <w:t> </w:t>
      </w:r>
      <w:r>
        <w:rPr/>
        <w:t>were</w:t>
      </w:r>
      <w:r>
        <w:rPr>
          <w:spacing w:val="25"/>
        </w:rPr>
        <w:t> </w:t>
      </w:r>
      <w:r>
        <w:rPr/>
        <w:t>then</w:t>
      </w:r>
      <w:r>
        <w:rPr>
          <w:spacing w:val="27"/>
        </w:rPr>
        <w:t> </w:t>
      </w:r>
      <w:r>
        <w:rPr/>
        <w:t>inspected again by a board-certified neurosurgeon to confirm the absence of any exclusion criteria mentioned above.</w:t>
      </w:r>
    </w:p>
    <w:p>
      <w:pPr>
        <w:pStyle w:val="BodyText"/>
        <w:spacing w:before="12"/>
      </w:pPr>
    </w:p>
    <w:p>
      <w:pPr>
        <w:pStyle w:val="ListParagraph"/>
        <w:numPr>
          <w:ilvl w:val="1"/>
          <w:numId w:val="1"/>
        </w:numPr>
        <w:tabs>
          <w:tab w:pos="871" w:val="left" w:leader="none"/>
        </w:tabs>
        <w:spacing w:line="240" w:lineRule="auto" w:before="0" w:after="0"/>
        <w:ind w:left="871" w:right="0" w:hanging="353"/>
        <w:jc w:val="left"/>
        <w:rPr>
          <w:i/>
          <w:sz w:val="20"/>
        </w:rPr>
      </w:pPr>
      <w:r>
        <w:rPr>
          <w:i/>
          <w:spacing w:val="-2"/>
          <w:sz w:val="20"/>
        </w:rPr>
        <w:t>Methods</w:t>
      </w:r>
    </w:p>
    <w:p>
      <w:pPr>
        <w:pStyle w:val="BodyText"/>
        <w:spacing w:before="20"/>
        <w:rPr>
          <w:i/>
        </w:rPr>
      </w:pPr>
    </w:p>
    <w:p>
      <w:pPr>
        <w:pStyle w:val="BodyText"/>
        <w:spacing w:line="249" w:lineRule="auto"/>
        <w:ind w:left="518" w:right="455" w:firstLine="237"/>
        <w:jc w:val="both"/>
      </w:pPr>
      <w:r>
        <w:rPr/>
        <w:t>For each CT data set, the global gray level histogram was obtained. Then, pixels with bone density in all CT slices of the given data set were automatically tagged using a threshold derived from the histogram. The detailed settings were previously described [6, 7].</w:t>
      </w:r>
    </w:p>
    <w:p>
      <w:pPr>
        <w:pStyle w:val="BodyText"/>
        <w:spacing w:line="249" w:lineRule="auto" w:before="3"/>
        <w:ind w:left="518" w:right="457" w:firstLine="237"/>
        <w:jc w:val="both"/>
      </w:pPr>
      <w:r>
        <w:rPr/>
        <w:t>We have developed an algorithm that can differentiate the intracranial regions from the extracranial ones automatically [11]. With in the ICS, however, it is difficult to separate the STS from the ITS because the cerebellar tentorium is thin and has gray levels similar to the brain itself. Therefore, we manually labeled the boundary between the STS and the ITS and labeled the regions on the computer screen. The skull base openings of these regions were also labeled to prevent failures of the region-growing algorithm.</w:t>
      </w:r>
    </w:p>
    <w:p>
      <w:pPr>
        <w:pStyle w:val="BodyText"/>
        <w:spacing w:line="249" w:lineRule="auto" w:before="4"/>
        <w:ind w:left="518" w:right="455" w:firstLine="237"/>
        <w:jc w:val="both"/>
      </w:pPr>
      <w:r>
        <w:rPr/>
        <w:t>Using planimetry method of the Cavalieri principle, the volume of a given region is its area multiplied by the slice thickness. The total ICV, the volume of the STS (V_STS) and that of the ITS (V_ITS) of the patient, are the sum of the volumetric results of all corresponding regions across all CT slices. We also measured the length and width of the STS, defined as the largest anteroposterior diameter and the largest transverse</w:t>
      </w:r>
      <w:r>
        <w:rPr>
          <w:spacing w:val="40"/>
        </w:rPr>
        <w:t> </w:t>
      </w:r>
      <w:r>
        <w:rPr/>
        <w:t>diameter among all STS regions. The height of the STS is the total thickness of the STS volume, counted</w:t>
      </w:r>
      <w:r>
        <w:rPr>
          <w:spacing w:val="80"/>
        </w:rPr>
        <w:t> </w:t>
      </w:r>
      <w:r>
        <w:rPr/>
        <w:t>from the vertex to the level of the midbrain.</w:t>
      </w:r>
    </w:p>
    <w:p>
      <w:pPr>
        <w:pStyle w:val="BodyText"/>
        <w:spacing w:line="249" w:lineRule="auto" w:before="6"/>
        <w:ind w:left="519" w:right="454" w:firstLine="237"/>
        <w:jc w:val="both"/>
      </w:pPr>
      <w:r>
        <w:rPr/>
        <w:t>In addition to the volume and outer dimensions of the STS, we also measured the sizes of its openings, namely the SFS and the TI. The SFS and the TI meets at the midbrain. Due to the complex anatomy in this region, we only tried to identify the midbrain and omitted other structures such as vessels, nerves and the pituitary gland. The midbrains in the patients were manually recognized by human experts and their lengths and the widths were recorded. We measured its length of the SFS at the level of interventricular foramen of Monro [4]. We also counted the number of slices containing connected cerebral hemispheres from the corpus callosum down to the level of the midbrain and the total thickness was considered the height of the SFS.</w:t>
      </w:r>
    </w:p>
    <w:p>
      <w:pPr>
        <w:pStyle w:val="BodyText"/>
        <w:spacing w:before="16"/>
      </w:pPr>
    </w:p>
    <w:p>
      <w:pPr>
        <w:pStyle w:val="Heading1"/>
        <w:numPr>
          <w:ilvl w:val="0"/>
          <w:numId w:val="1"/>
        </w:numPr>
        <w:tabs>
          <w:tab w:pos="723" w:val="left" w:leader="none"/>
        </w:tabs>
        <w:spacing w:line="240" w:lineRule="auto" w:before="0" w:after="0"/>
        <w:ind w:left="723" w:right="0" w:hanging="204"/>
        <w:jc w:val="left"/>
      </w:pPr>
      <w:r>
        <w:rPr>
          <w:spacing w:val="-2"/>
        </w:rPr>
        <w:t>Results</w:t>
      </w:r>
    </w:p>
    <w:p>
      <w:pPr>
        <w:pStyle w:val="BodyText"/>
        <w:spacing w:before="20"/>
        <w:rPr>
          <w:b/>
        </w:rPr>
      </w:pPr>
    </w:p>
    <w:p>
      <w:pPr>
        <w:pStyle w:val="BodyText"/>
        <w:spacing w:line="249" w:lineRule="auto"/>
        <w:ind w:left="519" w:right="457" w:firstLine="237"/>
        <w:jc w:val="both"/>
      </w:pPr>
      <w:r>
        <w:rPr/>
        <w:t>The</w:t>
      </w:r>
      <w:r>
        <w:rPr>
          <w:spacing w:val="-1"/>
        </w:rPr>
        <w:t> </w:t>
      </w:r>
      <w:r>
        <w:rPr/>
        <w:t>ages</w:t>
      </w:r>
      <w:r>
        <w:rPr>
          <w:spacing w:val="-1"/>
        </w:rPr>
        <w:t> </w:t>
      </w:r>
      <w:r>
        <w:rPr/>
        <w:t>of</w:t>
      </w:r>
      <w:r>
        <w:rPr>
          <w:spacing w:val="-1"/>
        </w:rPr>
        <w:t> </w:t>
      </w:r>
      <w:r>
        <w:rPr/>
        <w:t>the</w:t>
      </w:r>
      <w:r>
        <w:rPr>
          <w:spacing w:val="-1"/>
        </w:rPr>
        <w:t> </w:t>
      </w:r>
      <w:r>
        <w:rPr/>
        <w:t>patients</w:t>
      </w:r>
      <w:r>
        <w:rPr>
          <w:spacing w:val="-1"/>
        </w:rPr>
        <w:t> </w:t>
      </w:r>
      <w:r>
        <w:rPr/>
        <w:t>ranged</w:t>
      </w:r>
      <w:r>
        <w:rPr>
          <w:spacing w:val="-1"/>
        </w:rPr>
        <w:t> </w:t>
      </w:r>
      <w:r>
        <w:rPr/>
        <w:t>from</w:t>
      </w:r>
      <w:r>
        <w:rPr>
          <w:spacing w:val="-3"/>
        </w:rPr>
        <w:t> </w:t>
      </w:r>
      <w:r>
        <w:rPr/>
        <w:t>18</w:t>
      </w:r>
      <w:r>
        <w:rPr>
          <w:spacing w:val="-1"/>
        </w:rPr>
        <w:t> </w:t>
      </w:r>
      <w:r>
        <w:rPr/>
        <w:t>to</w:t>
      </w:r>
      <w:r>
        <w:rPr>
          <w:spacing w:val="-2"/>
        </w:rPr>
        <w:t> </w:t>
      </w:r>
      <w:r>
        <w:rPr/>
        <w:t>66</w:t>
      </w:r>
      <w:r>
        <w:rPr>
          <w:spacing w:val="-1"/>
        </w:rPr>
        <w:t> </w:t>
      </w:r>
      <w:r>
        <w:rPr/>
        <w:t>years</w:t>
      </w:r>
      <w:r>
        <w:rPr>
          <w:spacing w:val="-1"/>
        </w:rPr>
        <w:t> </w:t>
      </w:r>
      <w:r>
        <w:rPr/>
        <w:t>with</w:t>
      </w:r>
      <w:r>
        <w:rPr>
          <w:spacing w:val="-1"/>
        </w:rPr>
        <w:t> </w:t>
      </w:r>
      <w:r>
        <w:rPr/>
        <w:t>a</w:t>
      </w:r>
      <w:r>
        <w:rPr>
          <w:spacing w:val="-1"/>
        </w:rPr>
        <w:t> </w:t>
      </w:r>
      <w:r>
        <w:rPr/>
        <w:t>mean</w:t>
      </w:r>
      <w:r>
        <w:rPr>
          <w:spacing w:val="-1"/>
        </w:rPr>
        <w:t> </w:t>
      </w:r>
      <w:r>
        <w:rPr/>
        <w:t>of</w:t>
      </w:r>
      <w:r>
        <w:rPr>
          <w:spacing w:val="-2"/>
        </w:rPr>
        <w:t> </w:t>
      </w:r>
      <w:r>
        <w:rPr/>
        <w:t>37</w:t>
      </w:r>
      <w:r>
        <w:rPr>
          <w:spacing w:val="-2"/>
        </w:rPr>
        <w:t> </w:t>
      </w:r>
      <w:r>
        <w:rPr/>
        <w:t>±</w:t>
      </w:r>
      <w:r>
        <w:rPr>
          <w:spacing w:val="-5"/>
        </w:rPr>
        <w:t> </w:t>
      </w:r>
      <w:r>
        <w:rPr/>
        <w:t>14</w:t>
      </w:r>
      <w:r>
        <w:rPr>
          <w:spacing w:val="-1"/>
        </w:rPr>
        <w:t> </w:t>
      </w:r>
      <w:r>
        <w:rPr/>
        <w:t>years.</w:t>
      </w:r>
      <w:r>
        <w:rPr>
          <w:spacing w:val="-1"/>
        </w:rPr>
        <w:t> </w:t>
      </w:r>
      <w:r>
        <w:rPr/>
        <w:t>The</w:t>
      </w:r>
      <w:r>
        <w:rPr>
          <w:spacing w:val="-2"/>
        </w:rPr>
        <w:t> </w:t>
      </w:r>
      <w:r>
        <w:rPr/>
        <w:t>mean</w:t>
      </w:r>
      <w:r>
        <w:rPr>
          <w:spacing w:val="-1"/>
        </w:rPr>
        <w:t> </w:t>
      </w:r>
      <w:r>
        <w:rPr/>
        <w:t>ages</w:t>
      </w:r>
      <w:r>
        <w:rPr>
          <w:spacing w:val="-1"/>
        </w:rPr>
        <w:t> </w:t>
      </w:r>
      <w:r>
        <w:rPr/>
        <w:t>of</w:t>
      </w:r>
      <w:r>
        <w:rPr>
          <w:spacing w:val="-1"/>
        </w:rPr>
        <w:t> </w:t>
      </w:r>
      <w:r>
        <w:rPr/>
        <w:t>female and male patients were 39 ± 15 and 35 ±14 years, respectively.</w:t>
      </w:r>
    </w:p>
    <w:p>
      <w:pPr>
        <w:pStyle w:val="BodyText"/>
        <w:spacing w:before="11"/>
      </w:pPr>
    </w:p>
    <w:p>
      <w:pPr>
        <w:pStyle w:val="ListParagraph"/>
        <w:numPr>
          <w:ilvl w:val="1"/>
          <w:numId w:val="1"/>
        </w:numPr>
        <w:tabs>
          <w:tab w:pos="870" w:val="left" w:leader="none"/>
        </w:tabs>
        <w:spacing w:line="240" w:lineRule="auto" w:before="1" w:after="0"/>
        <w:ind w:left="870" w:right="0" w:hanging="351"/>
        <w:jc w:val="left"/>
        <w:rPr>
          <w:i/>
          <w:sz w:val="20"/>
        </w:rPr>
      </w:pPr>
      <w:r>
        <w:rPr>
          <w:i/>
          <w:sz w:val="20"/>
        </w:rPr>
        <w:t>Biometric</w:t>
      </w:r>
      <w:r>
        <w:rPr>
          <w:i/>
          <w:spacing w:val="-8"/>
          <w:sz w:val="20"/>
        </w:rPr>
        <w:t> </w:t>
      </w:r>
      <w:r>
        <w:rPr>
          <w:i/>
          <w:spacing w:val="-2"/>
          <w:sz w:val="20"/>
        </w:rPr>
        <w:t>Results</w:t>
      </w:r>
    </w:p>
    <w:p>
      <w:pPr>
        <w:pStyle w:val="BodyText"/>
        <w:spacing w:before="19"/>
        <w:rPr>
          <w:i/>
        </w:rPr>
      </w:pPr>
    </w:p>
    <w:p>
      <w:pPr>
        <w:pStyle w:val="BodyText"/>
        <w:spacing w:line="249" w:lineRule="auto" w:before="1"/>
        <w:ind w:left="519" w:right="384" w:firstLine="237"/>
      </w:pPr>
      <w:r>
        <w:rPr/>
        <w:t>Results of manual volumetry are listed in Table 1. The ICVs in the 50 patients ranged from 1040 to 1716 mL, with a mean of</w:t>
      </w:r>
      <w:r>
        <w:rPr>
          <w:spacing w:val="-1"/>
        </w:rPr>
        <w:t> </w:t>
      </w:r>
      <w:r>
        <w:rPr/>
        <w:t>1326 ±</w:t>
      </w:r>
      <w:r>
        <w:rPr>
          <w:spacing w:val="-4"/>
        </w:rPr>
        <w:t> </w:t>
      </w:r>
      <w:r>
        <w:rPr/>
        <w:t>138 mL. The</w:t>
      </w:r>
      <w:r>
        <w:rPr>
          <w:spacing w:val="-1"/>
        </w:rPr>
        <w:t> </w:t>
      </w:r>
      <w:r>
        <w:rPr/>
        <w:t>V_STS</w:t>
      </w:r>
      <w:r>
        <w:rPr>
          <w:spacing w:val="-1"/>
        </w:rPr>
        <w:t> </w:t>
      </w:r>
      <w:r>
        <w:rPr/>
        <w:t>ranged</w:t>
      </w:r>
      <w:r>
        <w:rPr>
          <w:spacing w:val="-1"/>
        </w:rPr>
        <w:t> </w:t>
      </w:r>
      <w:r>
        <w:rPr/>
        <w:t>from</w:t>
      </w:r>
      <w:r>
        <w:rPr>
          <w:spacing w:val="-2"/>
        </w:rPr>
        <w:t> </w:t>
      </w:r>
      <w:r>
        <w:rPr/>
        <w:t>915 to</w:t>
      </w:r>
      <w:r>
        <w:rPr>
          <w:spacing w:val="-1"/>
        </w:rPr>
        <w:t> </w:t>
      </w:r>
      <w:r>
        <w:rPr/>
        <w:t>1480 mL with a mean of</w:t>
      </w:r>
      <w:r>
        <w:rPr>
          <w:spacing w:val="-1"/>
        </w:rPr>
        <w:t> </w:t>
      </w:r>
      <w:r>
        <w:rPr/>
        <w:t>1154 ±</w:t>
      </w:r>
      <w:r>
        <w:rPr>
          <w:spacing w:val="-4"/>
        </w:rPr>
        <w:t> </w:t>
      </w:r>
      <w:r>
        <w:rPr/>
        <w:t>119 mL, while</w:t>
      </w:r>
      <w:r>
        <w:rPr>
          <w:spacing w:val="20"/>
        </w:rPr>
        <w:t> </w:t>
      </w:r>
      <w:r>
        <w:rPr/>
        <w:t>the</w:t>
      </w:r>
      <w:r>
        <w:rPr>
          <w:spacing w:val="20"/>
        </w:rPr>
        <w:t> </w:t>
      </w:r>
      <w:r>
        <w:rPr/>
        <w:t>V_ITS</w:t>
      </w:r>
      <w:r>
        <w:rPr>
          <w:spacing w:val="18"/>
        </w:rPr>
        <w:t> </w:t>
      </w:r>
      <w:r>
        <w:rPr/>
        <w:t>ranged</w:t>
      </w:r>
      <w:r>
        <w:rPr>
          <w:spacing w:val="20"/>
        </w:rPr>
        <w:t> </w:t>
      </w:r>
      <w:r>
        <w:rPr/>
        <w:t>from</w:t>
      </w:r>
      <w:r>
        <w:rPr>
          <w:spacing w:val="18"/>
        </w:rPr>
        <w:t> </w:t>
      </w:r>
      <w:r>
        <w:rPr/>
        <w:t>125</w:t>
      </w:r>
      <w:r>
        <w:rPr>
          <w:spacing w:val="20"/>
        </w:rPr>
        <w:t> </w:t>
      </w:r>
      <w:r>
        <w:rPr/>
        <w:t>to</w:t>
      </w:r>
      <w:r>
        <w:rPr>
          <w:spacing w:val="18"/>
        </w:rPr>
        <w:t> </w:t>
      </w:r>
      <w:r>
        <w:rPr/>
        <w:t>236</w:t>
      </w:r>
      <w:r>
        <w:rPr>
          <w:spacing w:val="18"/>
        </w:rPr>
        <w:t> </w:t>
      </w:r>
      <w:r>
        <w:rPr/>
        <w:t>mL</w:t>
      </w:r>
      <w:r>
        <w:rPr>
          <w:spacing w:val="20"/>
        </w:rPr>
        <w:t> </w:t>
      </w:r>
      <w:r>
        <w:rPr/>
        <w:t>with</w:t>
      </w:r>
      <w:r>
        <w:rPr>
          <w:spacing w:val="21"/>
        </w:rPr>
        <w:t> </w:t>
      </w:r>
      <w:r>
        <w:rPr/>
        <w:t>a</w:t>
      </w:r>
      <w:r>
        <w:rPr>
          <w:spacing w:val="20"/>
        </w:rPr>
        <w:t> </w:t>
      </w:r>
      <w:r>
        <w:rPr/>
        <w:t>mean</w:t>
      </w:r>
      <w:r>
        <w:rPr>
          <w:spacing w:val="20"/>
        </w:rPr>
        <w:t> </w:t>
      </w:r>
      <w:r>
        <w:rPr/>
        <w:t>of</w:t>
      </w:r>
      <w:r>
        <w:rPr>
          <w:spacing w:val="19"/>
        </w:rPr>
        <w:t> </w:t>
      </w:r>
      <w:r>
        <w:rPr/>
        <w:t>171</w:t>
      </w:r>
      <w:r>
        <w:rPr>
          <w:spacing w:val="18"/>
        </w:rPr>
        <w:t> </w:t>
      </w:r>
      <w:r>
        <w:rPr/>
        <w:t>±</w:t>
      </w:r>
      <w:r>
        <w:rPr>
          <w:spacing w:val="16"/>
        </w:rPr>
        <w:t> </w:t>
      </w:r>
      <w:r>
        <w:rPr/>
        <w:t>23</w:t>
      </w:r>
      <w:r>
        <w:rPr>
          <w:spacing w:val="21"/>
        </w:rPr>
        <w:t> </w:t>
      </w:r>
      <w:r>
        <w:rPr/>
        <w:t>mL.</w:t>
      </w:r>
      <w:r>
        <w:rPr>
          <w:spacing w:val="20"/>
        </w:rPr>
        <w:t> </w:t>
      </w:r>
      <w:r>
        <w:rPr/>
        <w:t>The</w:t>
      </w:r>
      <w:r>
        <w:rPr>
          <w:spacing w:val="20"/>
        </w:rPr>
        <w:t> </w:t>
      </w:r>
      <w:r>
        <w:rPr/>
        <w:t>ratio</w:t>
      </w:r>
      <w:r>
        <w:rPr>
          <w:spacing w:val="20"/>
        </w:rPr>
        <w:t> </w:t>
      </w:r>
      <w:r>
        <w:rPr/>
        <w:t>between</w:t>
      </w:r>
      <w:r>
        <w:rPr>
          <w:spacing w:val="18"/>
        </w:rPr>
        <w:t> </w:t>
      </w:r>
      <w:r>
        <w:rPr/>
        <w:t>V_STS</w:t>
      </w:r>
      <w:r>
        <w:rPr>
          <w:spacing w:val="20"/>
        </w:rPr>
        <w:t> </w:t>
      </w:r>
      <w:r>
        <w:rPr/>
        <w:t>and ICV</w:t>
      </w:r>
      <w:r>
        <w:rPr>
          <w:spacing w:val="40"/>
        </w:rPr>
        <w:t> </w:t>
      </w:r>
      <w:r>
        <w:rPr/>
        <w:t>had</w:t>
      </w:r>
      <w:r>
        <w:rPr>
          <w:spacing w:val="40"/>
        </w:rPr>
        <w:t> </w:t>
      </w:r>
      <w:r>
        <w:rPr/>
        <w:t>a</w:t>
      </w:r>
      <w:r>
        <w:rPr>
          <w:spacing w:val="40"/>
        </w:rPr>
        <w:t> </w:t>
      </w:r>
      <w:r>
        <w:rPr/>
        <w:t>small</w:t>
      </w:r>
      <w:r>
        <w:rPr>
          <w:spacing w:val="40"/>
        </w:rPr>
        <w:t> </w:t>
      </w:r>
      <w:r>
        <w:rPr/>
        <w:t>range</w:t>
      </w:r>
      <w:r>
        <w:rPr>
          <w:spacing w:val="40"/>
        </w:rPr>
        <w:t> </w:t>
      </w:r>
      <w:r>
        <w:rPr/>
        <w:t>from</w:t>
      </w:r>
      <w:r>
        <w:rPr>
          <w:spacing w:val="40"/>
        </w:rPr>
        <w:t> </w:t>
      </w:r>
      <w:r>
        <w:rPr/>
        <w:t>0.85</w:t>
      </w:r>
      <w:r>
        <w:rPr>
          <w:spacing w:val="40"/>
        </w:rPr>
        <w:t> </w:t>
      </w:r>
      <w:r>
        <w:rPr/>
        <w:t>to</w:t>
      </w:r>
      <w:r>
        <w:rPr>
          <w:spacing w:val="40"/>
        </w:rPr>
        <w:t> </w:t>
      </w:r>
      <w:r>
        <w:rPr/>
        <w:t>0.89</w:t>
      </w:r>
      <w:r>
        <w:rPr>
          <w:spacing w:val="40"/>
        </w:rPr>
        <w:t> </w:t>
      </w:r>
      <w:r>
        <w:rPr/>
        <w:t>with</w:t>
      </w:r>
      <w:r>
        <w:rPr>
          <w:spacing w:val="40"/>
        </w:rPr>
        <w:t> </w:t>
      </w:r>
      <w:r>
        <w:rPr/>
        <w:t>a</w:t>
      </w:r>
      <w:r>
        <w:rPr>
          <w:spacing w:val="40"/>
        </w:rPr>
        <w:t> </w:t>
      </w:r>
      <w:r>
        <w:rPr/>
        <w:t>mean</w:t>
      </w:r>
      <w:r>
        <w:rPr>
          <w:spacing w:val="40"/>
        </w:rPr>
        <w:t> </w:t>
      </w:r>
      <w:r>
        <w:rPr/>
        <w:t>of</w:t>
      </w:r>
      <w:r>
        <w:rPr>
          <w:spacing w:val="40"/>
        </w:rPr>
        <w:t> </w:t>
      </w:r>
      <w:r>
        <w:rPr/>
        <w:t>0.87</w:t>
      </w:r>
      <w:r>
        <w:rPr>
          <w:spacing w:val="40"/>
        </w:rPr>
        <w:t> </w:t>
      </w:r>
      <w:r>
        <w:rPr/>
        <w:t>±</w:t>
      </w:r>
      <w:r>
        <w:rPr>
          <w:spacing w:val="39"/>
        </w:rPr>
        <w:t> </w:t>
      </w:r>
      <w:r>
        <w:rPr/>
        <w:t>0.01.</w:t>
      </w:r>
      <w:r>
        <w:rPr>
          <w:spacing w:val="40"/>
        </w:rPr>
        <w:t> </w:t>
      </w:r>
      <w:r>
        <w:rPr/>
        <w:t>The</w:t>
      </w:r>
      <w:r>
        <w:rPr>
          <w:spacing w:val="40"/>
        </w:rPr>
        <w:t> </w:t>
      </w:r>
      <w:r>
        <w:rPr/>
        <w:t>volumes</w:t>
      </w:r>
      <w:r>
        <w:rPr>
          <w:spacing w:val="40"/>
        </w:rPr>
        <w:t> </w:t>
      </w:r>
      <w:r>
        <w:rPr/>
        <w:t>of</w:t>
      </w:r>
      <w:r>
        <w:rPr>
          <w:spacing w:val="40"/>
        </w:rPr>
        <w:t> </w:t>
      </w:r>
      <w:r>
        <w:rPr/>
        <w:t>all</w:t>
      </w:r>
      <w:r>
        <w:rPr>
          <w:spacing w:val="40"/>
        </w:rPr>
        <w:t> </w:t>
      </w:r>
      <w:r>
        <w:rPr/>
        <w:t>intracranial compartments were larger in males (p &lt; 0.001, one-tail t-test). The volumes of the STS and the ITS are highly correlated, with a correlation coefficient of 0.777 (p &lt; 0.001).</w:t>
      </w:r>
    </w:p>
    <w:p>
      <w:pPr>
        <w:spacing w:before="208"/>
        <w:ind w:left="518" w:right="0" w:firstLine="0"/>
        <w:jc w:val="left"/>
        <w:rPr>
          <w:sz w:val="16"/>
        </w:rPr>
      </w:pPr>
      <w:r>
        <w:rPr>
          <w:sz w:val="16"/>
        </w:rPr>
        <w:t>Table</w:t>
      </w:r>
      <w:r>
        <w:rPr>
          <w:spacing w:val="-5"/>
          <w:sz w:val="16"/>
        </w:rPr>
        <w:t> </w:t>
      </w:r>
      <w:r>
        <w:rPr>
          <w:sz w:val="16"/>
        </w:rPr>
        <w:t>1.</w:t>
      </w:r>
      <w:r>
        <w:rPr>
          <w:spacing w:val="-5"/>
          <w:sz w:val="16"/>
        </w:rPr>
        <w:t> </w:t>
      </w:r>
      <w:r>
        <w:rPr>
          <w:sz w:val="16"/>
        </w:rPr>
        <w:t>Results</w:t>
      </w:r>
      <w:r>
        <w:rPr>
          <w:spacing w:val="-5"/>
          <w:sz w:val="16"/>
        </w:rPr>
        <w:t> </w:t>
      </w:r>
      <w:r>
        <w:rPr>
          <w:sz w:val="16"/>
        </w:rPr>
        <w:t>of</w:t>
      </w:r>
      <w:r>
        <w:rPr>
          <w:spacing w:val="-4"/>
          <w:sz w:val="16"/>
        </w:rPr>
        <w:t> </w:t>
      </w:r>
      <w:r>
        <w:rPr>
          <w:sz w:val="16"/>
        </w:rPr>
        <w:t>manual</w:t>
      </w:r>
      <w:r>
        <w:rPr>
          <w:spacing w:val="-5"/>
          <w:sz w:val="16"/>
        </w:rPr>
        <w:t> </w:t>
      </w:r>
      <w:r>
        <w:rPr>
          <w:sz w:val="16"/>
        </w:rPr>
        <w:t>volumetry.</w:t>
      </w:r>
      <w:r>
        <w:rPr>
          <w:spacing w:val="-5"/>
          <w:sz w:val="16"/>
        </w:rPr>
        <w:t> </w:t>
      </w:r>
      <w:r>
        <w:rPr>
          <w:sz w:val="16"/>
        </w:rPr>
        <w:t>The</w:t>
      </w:r>
      <w:r>
        <w:rPr>
          <w:spacing w:val="-5"/>
          <w:sz w:val="16"/>
        </w:rPr>
        <w:t> </w:t>
      </w:r>
      <w:r>
        <w:rPr>
          <w:sz w:val="16"/>
        </w:rPr>
        <w:t>significance</w:t>
      </w:r>
      <w:r>
        <w:rPr>
          <w:spacing w:val="-4"/>
          <w:sz w:val="16"/>
        </w:rPr>
        <w:t> </w:t>
      </w:r>
      <w:r>
        <w:rPr>
          <w:sz w:val="16"/>
        </w:rPr>
        <w:t>of</w:t>
      </w:r>
      <w:r>
        <w:rPr>
          <w:spacing w:val="-5"/>
          <w:sz w:val="16"/>
        </w:rPr>
        <w:t> </w:t>
      </w:r>
      <w:r>
        <w:rPr>
          <w:sz w:val="16"/>
        </w:rPr>
        <w:t>the</w:t>
      </w:r>
      <w:r>
        <w:rPr>
          <w:spacing w:val="-5"/>
          <w:sz w:val="16"/>
        </w:rPr>
        <w:t> </w:t>
      </w:r>
      <w:r>
        <w:rPr>
          <w:sz w:val="16"/>
        </w:rPr>
        <w:t>differences</w:t>
      </w:r>
      <w:r>
        <w:rPr>
          <w:spacing w:val="-5"/>
          <w:sz w:val="16"/>
        </w:rPr>
        <w:t> </w:t>
      </w:r>
      <w:r>
        <w:rPr>
          <w:sz w:val="16"/>
        </w:rPr>
        <w:t>between</w:t>
      </w:r>
      <w:r>
        <w:rPr>
          <w:spacing w:val="-5"/>
          <w:sz w:val="16"/>
        </w:rPr>
        <w:t> </w:t>
      </w:r>
      <w:r>
        <w:rPr>
          <w:sz w:val="16"/>
        </w:rPr>
        <w:t>females</w:t>
      </w:r>
      <w:r>
        <w:rPr>
          <w:spacing w:val="-4"/>
          <w:sz w:val="16"/>
        </w:rPr>
        <w:t> </w:t>
      </w:r>
      <w:r>
        <w:rPr>
          <w:sz w:val="16"/>
        </w:rPr>
        <w:t>and</w:t>
      </w:r>
      <w:r>
        <w:rPr>
          <w:spacing w:val="-5"/>
          <w:sz w:val="16"/>
        </w:rPr>
        <w:t> </w:t>
      </w:r>
      <w:r>
        <w:rPr>
          <w:sz w:val="16"/>
        </w:rPr>
        <w:t>males</w:t>
      </w:r>
      <w:r>
        <w:rPr>
          <w:spacing w:val="-4"/>
          <w:sz w:val="16"/>
        </w:rPr>
        <w:t> </w:t>
      </w:r>
      <w:r>
        <w:rPr>
          <w:sz w:val="16"/>
        </w:rPr>
        <w:t>are</w:t>
      </w:r>
      <w:r>
        <w:rPr>
          <w:spacing w:val="-5"/>
          <w:sz w:val="16"/>
        </w:rPr>
        <w:t> </w:t>
      </w:r>
      <w:r>
        <w:rPr>
          <w:sz w:val="16"/>
        </w:rPr>
        <w:t>given</w:t>
      </w:r>
      <w:r>
        <w:rPr>
          <w:spacing w:val="-5"/>
          <w:sz w:val="16"/>
        </w:rPr>
        <w:t> </w:t>
      </w:r>
      <w:r>
        <w:rPr>
          <w:sz w:val="16"/>
        </w:rPr>
        <w:t>after</w:t>
      </w:r>
      <w:r>
        <w:rPr>
          <w:spacing w:val="-5"/>
          <w:sz w:val="16"/>
        </w:rPr>
        <w:t> </w:t>
      </w:r>
      <w:r>
        <w:rPr>
          <w:sz w:val="16"/>
        </w:rPr>
        <w:t>each</w:t>
      </w:r>
      <w:r>
        <w:rPr>
          <w:spacing w:val="-5"/>
          <w:sz w:val="16"/>
        </w:rPr>
        <w:t> </w:t>
      </w:r>
      <w:r>
        <w:rPr>
          <w:spacing w:val="-2"/>
          <w:sz w:val="16"/>
        </w:rPr>
        <w:t>parameter.</w:t>
      </w:r>
    </w:p>
    <w:p>
      <w:pPr>
        <w:pStyle w:val="BodyText"/>
        <w:spacing w:before="21"/>
      </w:pPr>
    </w:p>
    <w:tbl>
      <w:tblPr>
        <w:tblW w:w="0" w:type="auto"/>
        <w:jc w:val="left"/>
        <w:tblInd w:w="2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1"/>
        <w:gridCol w:w="863"/>
        <w:gridCol w:w="1252"/>
        <w:gridCol w:w="1244"/>
        <w:gridCol w:w="1103"/>
      </w:tblGrid>
      <w:tr>
        <w:trPr>
          <w:trHeight w:val="239" w:hRule="atLeast"/>
        </w:trPr>
        <w:tc>
          <w:tcPr>
            <w:tcW w:w="1101" w:type="dxa"/>
            <w:tcBorders>
              <w:top w:val="single" w:sz="4" w:space="0" w:color="000000"/>
              <w:bottom w:val="single" w:sz="4" w:space="0" w:color="000000"/>
            </w:tcBorders>
          </w:tcPr>
          <w:p>
            <w:pPr>
              <w:pStyle w:val="TableParagraph"/>
              <w:spacing w:before="30"/>
              <w:ind w:left="115"/>
              <w:rPr>
                <w:sz w:val="16"/>
              </w:rPr>
            </w:pPr>
            <w:r>
              <w:rPr>
                <w:spacing w:val="-2"/>
                <w:sz w:val="16"/>
              </w:rPr>
              <w:t>Pamameter</w:t>
            </w:r>
          </w:p>
        </w:tc>
        <w:tc>
          <w:tcPr>
            <w:tcW w:w="863" w:type="dxa"/>
            <w:tcBorders>
              <w:top w:val="single" w:sz="4" w:space="0" w:color="000000"/>
              <w:bottom w:val="single" w:sz="4" w:space="0" w:color="000000"/>
            </w:tcBorders>
          </w:tcPr>
          <w:p>
            <w:pPr>
              <w:pStyle w:val="TableParagraph"/>
              <w:spacing w:before="0"/>
              <w:ind w:left="0"/>
              <w:rPr>
                <w:sz w:val="16"/>
              </w:rPr>
            </w:pPr>
          </w:p>
        </w:tc>
        <w:tc>
          <w:tcPr>
            <w:tcW w:w="1252" w:type="dxa"/>
            <w:tcBorders>
              <w:top w:val="single" w:sz="4" w:space="0" w:color="000000"/>
              <w:bottom w:val="single" w:sz="4" w:space="0" w:color="000000"/>
            </w:tcBorders>
          </w:tcPr>
          <w:p>
            <w:pPr>
              <w:pStyle w:val="TableParagraph"/>
              <w:spacing w:before="30"/>
              <w:ind w:left="107"/>
              <w:rPr>
                <w:sz w:val="16"/>
              </w:rPr>
            </w:pPr>
            <w:r>
              <w:rPr>
                <w:sz w:val="16"/>
              </w:rPr>
              <w:t>Overall</w:t>
            </w:r>
            <w:r>
              <w:rPr>
                <w:spacing w:val="-3"/>
                <w:sz w:val="16"/>
              </w:rPr>
              <w:t> </w:t>
            </w:r>
            <w:r>
              <w:rPr>
                <w:sz w:val="16"/>
              </w:rPr>
              <w:t>(n</w:t>
            </w:r>
            <w:r>
              <w:rPr>
                <w:spacing w:val="-3"/>
                <w:sz w:val="16"/>
              </w:rPr>
              <w:t> </w:t>
            </w:r>
            <w:r>
              <w:rPr>
                <w:sz w:val="16"/>
              </w:rPr>
              <w:t>=</w:t>
            </w:r>
            <w:r>
              <w:rPr>
                <w:spacing w:val="-4"/>
                <w:sz w:val="16"/>
              </w:rPr>
              <w:t> </w:t>
            </w:r>
            <w:r>
              <w:rPr>
                <w:spacing w:val="-5"/>
                <w:sz w:val="16"/>
              </w:rPr>
              <w:t>50)</w:t>
            </w:r>
          </w:p>
        </w:tc>
        <w:tc>
          <w:tcPr>
            <w:tcW w:w="1244" w:type="dxa"/>
            <w:tcBorders>
              <w:top w:val="single" w:sz="4" w:space="0" w:color="000000"/>
              <w:bottom w:val="single" w:sz="4" w:space="0" w:color="000000"/>
            </w:tcBorders>
          </w:tcPr>
          <w:p>
            <w:pPr>
              <w:pStyle w:val="TableParagraph"/>
              <w:spacing w:before="30"/>
              <w:rPr>
                <w:sz w:val="16"/>
              </w:rPr>
            </w:pPr>
            <w:r>
              <w:rPr>
                <w:sz w:val="16"/>
              </w:rPr>
              <w:t>Female</w:t>
            </w:r>
            <w:r>
              <w:rPr>
                <w:spacing w:val="-3"/>
                <w:sz w:val="16"/>
              </w:rPr>
              <w:t> </w:t>
            </w:r>
            <w:r>
              <w:rPr>
                <w:sz w:val="16"/>
              </w:rPr>
              <w:t>(n</w:t>
            </w:r>
            <w:r>
              <w:rPr>
                <w:spacing w:val="-4"/>
                <w:sz w:val="16"/>
              </w:rPr>
              <w:t> </w:t>
            </w:r>
            <w:r>
              <w:rPr>
                <w:sz w:val="16"/>
              </w:rPr>
              <w:t>=</w:t>
            </w:r>
            <w:r>
              <w:rPr>
                <w:spacing w:val="-3"/>
                <w:sz w:val="16"/>
              </w:rPr>
              <w:t> </w:t>
            </w:r>
            <w:r>
              <w:rPr>
                <w:spacing w:val="-5"/>
                <w:sz w:val="16"/>
              </w:rPr>
              <w:t>25)</w:t>
            </w:r>
          </w:p>
        </w:tc>
        <w:tc>
          <w:tcPr>
            <w:tcW w:w="1103" w:type="dxa"/>
            <w:tcBorders>
              <w:top w:val="single" w:sz="4" w:space="0" w:color="000000"/>
              <w:bottom w:val="single" w:sz="4" w:space="0" w:color="000000"/>
            </w:tcBorders>
          </w:tcPr>
          <w:p>
            <w:pPr>
              <w:pStyle w:val="TableParagraph"/>
              <w:spacing w:before="30"/>
              <w:rPr>
                <w:sz w:val="16"/>
              </w:rPr>
            </w:pPr>
            <w:r>
              <w:rPr>
                <w:sz w:val="16"/>
              </w:rPr>
              <w:t>Male</w:t>
            </w:r>
            <w:r>
              <w:rPr>
                <w:spacing w:val="-2"/>
                <w:sz w:val="16"/>
              </w:rPr>
              <w:t> </w:t>
            </w:r>
            <w:r>
              <w:rPr>
                <w:sz w:val="16"/>
              </w:rPr>
              <w:t>(n</w:t>
            </w:r>
            <w:r>
              <w:rPr>
                <w:spacing w:val="-3"/>
                <w:sz w:val="16"/>
              </w:rPr>
              <w:t> </w:t>
            </w:r>
            <w:r>
              <w:rPr>
                <w:sz w:val="16"/>
              </w:rPr>
              <w:t>=</w:t>
            </w:r>
            <w:r>
              <w:rPr>
                <w:spacing w:val="-3"/>
                <w:sz w:val="16"/>
              </w:rPr>
              <w:t> </w:t>
            </w:r>
            <w:r>
              <w:rPr>
                <w:spacing w:val="-5"/>
                <w:sz w:val="16"/>
              </w:rPr>
              <w:t>25)</w:t>
            </w:r>
          </w:p>
        </w:tc>
      </w:tr>
      <w:tr>
        <w:trPr>
          <w:trHeight w:val="249" w:hRule="atLeast"/>
        </w:trPr>
        <w:tc>
          <w:tcPr>
            <w:tcW w:w="1101" w:type="dxa"/>
            <w:tcBorders>
              <w:top w:val="single" w:sz="4" w:space="0" w:color="000000"/>
            </w:tcBorders>
          </w:tcPr>
          <w:p>
            <w:pPr>
              <w:pStyle w:val="TableParagraph"/>
              <w:spacing w:before="30"/>
              <w:ind w:left="115"/>
              <w:rPr>
                <w:sz w:val="16"/>
              </w:rPr>
            </w:pPr>
            <w:r>
              <w:rPr>
                <w:spacing w:val="-2"/>
                <w:sz w:val="16"/>
              </w:rPr>
              <w:t>ICV***</w:t>
            </w:r>
          </w:p>
        </w:tc>
        <w:tc>
          <w:tcPr>
            <w:tcW w:w="863" w:type="dxa"/>
            <w:tcBorders>
              <w:top w:val="single" w:sz="4" w:space="0" w:color="000000"/>
            </w:tcBorders>
          </w:tcPr>
          <w:p>
            <w:pPr>
              <w:pStyle w:val="TableParagraph"/>
              <w:spacing w:before="30"/>
              <w:ind w:left="267"/>
              <w:rPr>
                <w:sz w:val="16"/>
              </w:rPr>
            </w:pPr>
            <w:r>
              <w:rPr>
                <w:spacing w:val="-4"/>
                <w:sz w:val="16"/>
              </w:rPr>
              <w:t>Mean</w:t>
            </w:r>
          </w:p>
        </w:tc>
        <w:tc>
          <w:tcPr>
            <w:tcW w:w="1252" w:type="dxa"/>
            <w:tcBorders>
              <w:top w:val="single" w:sz="4" w:space="0" w:color="000000"/>
            </w:tcBorders>
          </w:tcPr>
          <w:p>
            <w:pPr>
              <w:pStyle w:val="TableParagraph"/>
              <w:spacing w:before="30"/>
              <w:ind w:left="109"/>
              <w:rPr>
                <w:sz w:val="16"/>
              </w:rPr>
            </w:pPr>
            <w:r>
              <w:rPr>
                <w:spacing w:val="-2"/>
                <w:sz w:val="16"/>
              </w:rPr>
              <w:t>1326±138</w:t>
            </w:r>
          </w:p>
        </w:tc>
        <w:tc>
          <w:tcPr>
            <w:tcW w:w="1244" w:type="dxa"/>
            <w:tcBorders>
              <w:top w:val="single" w:sz="4" w:space="0" w:color="000000"/>
            </w:tcBorders>
          </w:tcPr>
          <w:p>
            <w:pPr>
              <w:pStyle w:val="TableParagraph"/>
              <w:spacing w:before="30"/>
              <w:ind w:left="110"/>
              <w:rPr>
                <w:sz w:val="16"/>
              </w:rPr>
            </w:pPr>
            <w:r>
              <w:rPr>
                <w:spacing w:val="-2"/>
                <w:sz w:val="16"/>
              </w:rPr>
              <w:t>1233±91</w:t>
            </w:r>
          </w:p>
        </w:tc>
        <w:tc>
          <w:tcPr>
            <w:tcW w:w="1103" w:type="dxa"/>
            <w:tcBorders>
              <w:top w:val="single" w:sz="4" w:space="0" w:color="000000"/>
            </w:tcBorders>
          </w:tcPr>
          <w:p>
            <w:pPr>
              <w:pStyle w:val="TableParagraph"/>
              <w:spacing w:before="30"/>
              <w:ind w:left="110"/>
              <w:rPr>
                <w:sz w:val="16"/>
              </w:rPr>
            </w:pPr>
            <w:r>
              <w:rPr>
                <w:spacing w:val="-2"/>
                <w:sz w:val="16"/>
              </w:rPr>
              <w:t>1419±112</w:t>
            </w:r>
          </w:p>
        </w:tc>
      </w:tr>
      <w:tr>
        <w:trPr>
          <w:trHeight w:val="240" w:hRule="atLeast"/>
        </w:trPr>
        <w:tc>
          <w:tcPr>
            <w:tcW w:w="1101" w:type="dxa"/>
          </w:tcPr>
          <w:p>
            <w:pPr>
              <w:pStyle w:val="TableParagraph"/>
              <w:spacing w:before="0"/>
              <w:ind w:left="0"/>
              <w:rPr>
                <w:sz w:val="16"/>
              </w:rPr>
            </w:pPr>
          </w:p>
        </w:tc>
        <w:tc>
          <w:tcPr>
            <w:tcW w:w="863" w:type="dxa"/>
          </w:tcPr>
          <w:p>
            <w:pPr>
              <w:pStyle w:val="TableParagraph"/>
              <w:ind w:left="266"/>
              <w:rPr>
                <w:sz w:val="16"/>
              </w:rPr>
            </w:pPr>
            <w:r>
              <w:rPr>
                <w:spacing w:val="-2"/>
                <w:sz w:val="16"/>
              </w:rPr>
              <w:t>Median</w:t>
            </w:r>
          </w:p>
        </w:tc>
        <w:tc>
          <w:tcPr>
            <w:tcW w:w="1252" w:type="dxa"/>
          </w:tcPr>
          <w:p>
            <w:pPr>
              <w:pStyle w:val="TableParagraph"/>
              <w:ind w:left="109"/>
              <w:rPr>
                <w:sz w:val="16"/>
              </w:rPr>
            </w:pPr>
            <w:r>
              <w:rPr>
                <w:spacing w:val="-4"/>
                <w:sz w:val="16"/>
              </w:rPr>
              <w:t>1322</w:t>
            </w:r>
          </w:p>
        </w:tc>
        <w:tc>
          <w:tcPr>
            <w:tcW w:w="1244" w:type="dxa"/>
          </w:tcPr>
          <w:p>
            <w:pPr>
              <w:pStyle w:val="TableParagraph"/>
              <w:ind w:left="110"/>
              <w:rPr>
                <w:sz w:val="16"/>
              </w:rPr>
            </w:pPr>
            <w:r>
              <w:rPr>
                <w:spacing w:val="-4"/>
                <w:sz w:val="16"/>
              </w:rPr>
              <w:t>1228</w:t>
            </w:r>
          </w:p>
        </w:tc>
        <w:tc>
          <w:tcPr>
            <w:tcW w:w="1103" w:type="dxa"/>
          </w:tcPr>
          <w:p>
            <w:pPr>
              <w:pStyle w:val="TableParagraph"/>
              <w:ind w:left="110"/>
              <w:rPr>
                <w:sz w:val="16"/>
              </w:rPr>
            </w:pPr>
            <w:r>
              <w:rPr>
                <w:spacing w:val="-4"/>
                <w:sz w:val="16"/>
              </w:rPr>
              <w:t>1391</w:t>
            </w:r>
          </w:p>
        </w:tc>
      </w:tr>
      <w:tr>
        <w:trPr>
          <w:trHeight w:val="231" w:hRule="atLeast"/>
        </w:trPr>
        <w:tc>
          <w:tcPr>
            <w:tcW w:w="1101" w:type="dxa"/>
            <w:tcBorders>
              <w:bottom w:val="single" w:sz="4" w:space="0" w:color="000000"/>
            </w:tcBorders>
          </w:tcPr>
          <w:p>
            <w:pPr>
              <w:pStyle w:val="TableParagraph"/>
              <w:spacing w:before="0"/>
              <w:ind w:left="0"/>
              <w:rPr>
                <w:sz w:val="16"/>
              </w:rPr>
            </w:pPr>
          </w:p>
        </w:tc>
        <w:tc>
          <w:tcPr>
            <w:tcW w:w="863" w:type="dxa"/>
            <w:tcBorders>
              <w:bottom w:val="single" w:sz="4" w:space="0" w:color="000000"/>
            </w:tcBorders>
          </w:tcPr>
          <w:p>
            <w:pPr>
              <w:pStyle w:val="TableParagraph"/>
              <w:ind w:left="266"/>
              <w:rPr>
                <w:sz w:val="16"/>
              </w:rPr>
            </w:pPr>
            <w:r>
              <w:rPr>
                <w:spacing w:val="-2"/>
                <w:sz w:val="16"/>
              </w:rPr>
              <w:t>Range</w:t>
            </w:r>
          </w:p>
        </w:tc>
        <w:tc>
          <w:tcPr>
            <w:tcW w:w="1252" w:type="dxa"/>
            <w:tcBorders>
              <w:bottom w:val="single" w:sz="4" w:space="0" w:color="000000"/>
            </w:tcBorders>
          </w:tcPr>
          <w:p>
            <w:pPr>
              <w:pStyle w:val="TableParagraph"/>
              <w:ind w:left="109"/>
              <w:rPr>
                <w:sz w:val="16"/>
              </w:rPr>
            </w:pPr>
            <w:r>
              <w:rPr>
                <w:spacing w:val="-2"/>
                <w:sz w:val="16"/>
              </w:rPr>
              <w:t>1040-</w:t>
            </w:r>
            <w:r>
              <w:rPr>
                <w:spacing w:val="-4"/>
                <w:sz w:val="16"/>
              </w:rPr>
              <w:t>1716</w:t>
            </w:r>
          </w:p>
        </w:tc>
        <w:tc>
          <w:tcPr>
            <w:tcW w:w="1244" w:type="dxa"/>
            <w:tcBorders>
              <w:bottom w:val="single" w:sz="4" w:space="0" w:color="000000"/>
            </w:tcBorders>
          </w:tcPr>
          <w:p>
            <w:pPr>
              <w:pStyle w:val="TableParagraph"/>
              <w:ind w:left="110"/>
              <w:rPr>
                <w:sz w:val="16"/>
              </w:rPr>
            </w:pPr>
            <w:r>
              <w:rPr>
                <w:spacing w:val="-2"/>
                <w:sz w:val="16"/>
              </w:rPr>
              <w:t>1040-</w:t>
            </w:r>
            <w:r>
              <w:rPr>
                <w:spacing w:val="-4"/>
                <w:sz w:val="16"/>
              </w:rPr>
              <w:t>1382</w:t>
            </w:r>
          </w:p>
        </w:tc>
        <w:tc>
          <w:tcPr>
            <w:tcW w:w="1103" w:type="dxa"/>
            <w:tcBorders>
              <w:bottom w:val="single" w:sz="4" w:space="0" w:color="000000"/>
            </w:tcBorders>
          </w:tcPr>
          <w:p>
            <w:pPr>
              <w:pStyle w:val="TableParagraph"/>
              <w:ind w:left="110"/>
              <w:rPr>
                <w:sz w:val="16"/>
              </w:rPr>
            </w:pPr>
            <w:r>
              <w:rPr>
                <w:spacing w:val="-2"/>
                <w:sz w:val="16"/>
              </w:rPr>
              <w:t>1264-</w:t>
            </w:r>
            <w:r>
              <w:rPr>
                <w:spacing w:val="-4"/>
                <w:sz w:val="16"/>
              </w:rPr>
              <w:t>1716</w:t>
            </w:r>
          </w:p>
        </w:tc>
      </w:tr>
    </w:tbl>
    <w:p>
      <w:pPr>
        <w:spacing w:after="0"/>
        <w:rPr>
          <w:sz w:val="16"/>
        </w:rPr>
        <w:sectPr>
          <w:pgSz w:w="10890" w:h="14860"/>
          <w:pgMar w:header="713" w:footer="0" w:top="900" w:bottom="280" w:left="520" w:right="540"/>
        </w:sectPr>
      </w:pPr>
    </w:p>
    <w:p>
      <w:pPr>
        <w:pStyle w:val="BodyText"/>
        <w:spacing w:before="125"/>
      </w:pPr>
    </w:p>
    <w:tbl>
      <w:tblPr>
        <w:tblW w:w="0" w:type="auto"/>
        <w:jc w:val="left"/>
        <w:tblInd w:w="2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059"/>
        <w:gridCol w:w="1230"/>
        <w:gridCol w:w="1307"/>
      </w:tblGrid>
      <w:tr>
        <w:trPr>
          <w:trHeight w:val="250" w:hRule="atLeast"/>
        </w:trPr>
        <w:tc>
          <w:tcPr>
            <w:tcW w:w="1958" w:type="dxa"/>
            <w:tcBorders>
              <w:top w:val="single" w:sz="4" w:space="0" w:color="000000"/>
            </w:tcBorders>
          </w:tcPr>
          <w:p>
            <w:pPr>
              <w:pStyle w:val="TableParagraph"/>
              <w:tabs>
                <w:tab w:pos="1362" w:val="left" w:leader="none"/>
              </w:tabs>
              <w:spacing w:before="31"/>
              <w:ind w:left="107"/>
              <w:rPr>
                <w:sz w:val="16"/>
              </w:rPr>
            </w:pPr>
            <w:r>
              <w:rPr>
                <w:sz w:val="16"/>
              </w:rPr>
              <w:t>STS</w:t>
            </w:r>
            <w:r>
              <w:rPr>
                <w:spacing w:val="-3"/>
                <w:sz w:val="16"/>
              </w:rPr>
              <w:t> </w:t>
            </w:r>
            <w:r>
              <w:rPr>
                <w:spacing w:val="-2"/>
                <w:sz w:val="16"/>
              </w:rPr>
              <w:t>volume***</w:t>
            </w:r>
            <w:r>
              <w:rPr>
                <w:sz w:val="16"/>
              </w:rPr>
              <w:tab/>
            </w:r>
            <w:r>
              <w:rPr>
                <w:spacing w:val="-4"/>
                <w:sz w:val="16"/>
              </w:rPr>
              <w:t>Mean</w:t>
            </w:r>
          </w:p>
        </w:tc>
        <w:tc>
          <w:tcPr>
            <w:tcW w:w="1059" w:type="dxa"/>
            <w:tcBorders>
              <w:top w:val="single" w:sz="4" w:space="0" w:color="000000"/>
            </w:tcBorders>
          </w:tcPr>
          <w:p>
            <w:pPr>
              <w:pStyle w:val="TableParagraph"/>
              <w:spacing w:before="31"/>
              <w:ind w:left="110"/>
              <w:rPr>
                <w:sz w:val="16"/>
              </w:rPr>
            </w:pPr>
            <w:r>
              <w:rPr>
                <w:spacing w:val="-2"/>
                <w:sz w:val="16"/>
              </w:rPr>
              <w:t>1154±119</w:t>
            </w:r>
          </w:p>
        </w:tc>
        <w:tc>
          <w:tcPr>
            <w:tcW w:w="1230" w:type="dxa"/>
            <w:tcBorders>
              <w:top w:val="single" w:sz="4" w:space="0" w:color="000000"/>
            </w:tcBorders>
          </w:tcPr>
          <w:p>
            <w:pPr>
              <w:pStyle w:val="TableParagraph"/>
              <w:spacing w:before="31"/>
              <w:ind w:left="303"/>
              <w:rPr>
                <w:sz w:val="16"/>
              </w:rPr>
            </w:pPr>
            <w:r>
              <w:rPr>
                <w:spacing w:val="-2"/>
                <w:sz w:val="16"/>
              </w:rPr>
              <w:t>1077±81</w:t>
            </w:r>
          </w:p>
        </w:tc>
        <w:tc>
          <w:tcPr>
            <w:tcW w:w="1307" w:type="dxa"/>
            <w:tcBorders>
              <w:top w:val="single" w:sz="4" w:space="0" w:color="000000"/>
            </w:tcBorders>
          </w:tcPr>
          <w:p>
            <w:pPr>
              <w:pStyle w:val="TableParagraph"/>
              <w:spacing w:before="31"/>
              <w:ind w:left="316"/>
              <w:rPr>
                <w:sz w:val="16"/>
              </w:rPr>
            </w:pPr>
            <w:r>
              <w:rPr>
                <w:spacing w:val="-2"/>
                <w:sz w:val="16"/>
              </w:rPr>
              <w:t>1232±100</w:t>
            </w:r>
          </w:p>
        </w:tc>
      </w:tr>
      <w:tr>
        <w:trPr>
          <w:trHeight w:val="240" w:hRule="atLeast"/>
        </w:trPr>
        <w:tc>
          <w:tcPr>
            <w:tcW w:w="1958" w:type="dxa"/>
          </w:tcPr>
          <w:p>
            <w:pPr>
              <w:pStyle w:val="TableParagraph"/>
              <w:ind w:left="0" w:right="105"/>
              <w:jc w:val="right"/>
              <w:rPr>
                <w:sz w:val="16"/>
              </w:rPr>
            </w:pPr>
            <w:r>
              <w:rPr>
                <w:spacing w:val="-2"/>
                <w:sz w:val="16"/>
              </w:rPr>
              <w:t>Median</w:t>
            </w:r>
          </w:p>
        </w:tc>
        <w:tc>
          <w:tcPr>
            <w:tcW w:w="1059" w:type="dxa"/>
          </w:tcPr>
          <w:p>
            <w:pPr>
              <w:pStyle w:val="TableParagraph"/>
              <w:rPr>
                <w:sz w:val="16"/>
              </w:rPr>
            </w:pPr>
            <w:r>
              <w:rPr>
                <w:spacing w:val="-4"/>
                <w:sz w:val="16"/>
              </w:rPr>
              <w:t>1147</w:t>
            </w:r>
          </w:p>
        </w:tc>
        <w:tc>
          <w:tcPr>
            <w:tcW w:w="1230" w:type="dxa"/>
          </w:tcPr>
          <w:p>
            <w:pPr>
              <w:pStyle w:val="TableParagraph"/>
              <w:ind w:left="301"/>
              <w:rPr>
                <w:sz w:val="16"/>
              </w:rPr>
            </w:pPr>
            <w:r>
              <w:rPr>
                <w:spacing w:val="-4"/>
                <w:sz w:val="16"/>
              </w:rPr>
              <w:t>1074</w:t>
            </w:r>
          </w:p>
        </w:tc>
        <w:tc>
          <w:tcPr>
            <w:tcW w:w="1307" w:type="dxa"/>
          </w:tcPr>
          <w:p>
            <w:pPr>
              <w:pStyle w:val="TableParagraph"/>
              <w:ind w:left="316"/>
              <w:rPr>
                <w:sz w:val="16"/>
              </w:rPr>
            </w:pPr>
            <w:r>
              <w:rPr>
                <w:spacing w:val="-4"/>
                <w:sz w:val="16"/>
              </w:rPr>
              <w:t>1219</w:t>
            </w:r>
          </w:p>
        </w:tc>
      </w:tr>
      <w:tr>
        <w:trPr>
          <w:trHeight w:val="229" w:hRule="atLeast"/>
        </w:trPr>
        <w:tc>
          <w:tcPr>
            <w:tcW w:w="1958" w:type="dxa"/>
            <w:tcBorders>
              <w:bottom w:val="single" w:sz="4" w:space="0" w:color="000000"/>
            </w:tcBorders>
          </w:tcPr>
          <w:p>
            <w:pPr>
              <w:pStyle w:val="TableParagraph"/>
              <w:ind w:left="0" w:right="184"/>
              <w:jc w:val="right"/>
              <w:rPr>
                <w:sz w:val="16"/>
              </w:rPr>
            </w:pPr>
            <w:r>
              <w:rPr>
                <w:spacing w:val="-2"/>
                <w:sz w:val="16"/>
              </w:rPr>
              <w:t>Range</w:t>
            </w:r>
          </w:p>
        </w:tc>
        <w:tc>
          <w:tcPr>
            <w:tcW w:w="1059" w:type="dxa"/>
            <w:tcBorders>
              <w:bottom w:val="single" w:sz="4" w:space="0" w:color="000000"/>
            </w:tcBorders>
          </w:tcPr>
          <w:p>
            <w:pPr>
              <w:pStyle w:val="TableParagraph"/>
              <w:rPr>
                <w:sz w:val="16"/>
              </w:rPr>
            </w:pPr>
            <w:r>
              <w:rPr>
                <w:spacing w:val="-2"/>
                <w:sz w:val="16"/>
              </w:rPr>
              <w:t>915-</w:t>
            </w:r>
            <w:r>
              <w:rPr>
                <w:spacing w:val="-4"/>
                <w:sz w:val="16"/>
              </w:rPr>
              <w:t>1480</w:t>
            </w:r>
          </w:p>
        </w:tc>
        <w:tc>
          <w:tcPr>
            <w:tcW w:w="1230" w:type="dxa"/>
            <w:tcBorders>
              <w:bottom w:val="single" w:sz="4" w:space="0" w:color="000000"/>
            </w:tcBorders>
          </w:tcPr>
          <w:p>
            <w:pPr>
              <w:pStyle w:val="TableParagraph"/>
              <w:ind w:left="302"/>
              <w:rPr>
                <w:sz w:val="16"/>
              </w:rPr>
            </w:pPr>
            <w:r>
              <w:rPr>
                <w:spacing w:val="-2"/>
                <w:sz w:val="16"/>
              </w:rPr>
              <w:t>915-</w:t>
            </w:r>
            <w:r>
              <w:rPr>
                <w:spacing w:val="-4"/>
                <w:sz w:val="16"/>
              </w:rPr>
              <w:t>1230</w:t>
            </w:r>
          </w:p>
        </w:tc>
        <w:tc>
          <w:tcPr>
            <w:tcW w:w="1307" w:type="dxa"/>
            <w:tcBorders>
              <w:bottom w:val="single" w:sz="4" w:space="0" w:color="000000"/>
            </w:tcBorders>
          </w:tcPr>
          <w:p>
            <w:pPr>
              <w:pStyle w:val="TableParagraph"/>
              <w:ind w:left="316"/>
              <w:rPr>
                <w:sz w:val="16"/>
              </w:rPr>
            </w:pPr>
            <w:r>
              <w:rPr>
                <w:spacing w:val="-2"/>
                <w:sz w:val="16"/>
              </w:rPr>
              <w:t>1096-</w:t>
            </w:r>
            <w:r>
              <w:rPr>
                <w:spacing w:val="-4"/>
                <w:sz w:val="16"/>
              </w:rPr>
              <w:t>1480</w:t>
            </w:r>
          </w:p>
        </w:tc>
      </w:tr>
      <w:tr>
        <w:trPr>
          <w:trHeight w:val="249" w:hRule="atLeast"/>
        </w:trPr>
        <w:tc>
          <w:tcPr>
            <w:tcW w:w="1958" w:type="dxa"/>
            <w:tcBorders>
              <w:top w:val="single" w:sz="4" w:space="0" w:color="000000"/>
            </w:tcBorders>
          </w:tcPr>
          <w:p>
            <w:pPr>
              <w:pStyle w:val="TableParagraph"/>
              <w:tabs>
                <w:tab w:pos="1361" w:val="left" w:leader="none"/>
              </w:tabs>
              <w:spacing w:before="30"/>
              <w:rPr>
                <w:sz w:val="16"/>
              </w:rPr>
            </w:pPr>
            <w:r>
              <w:rPr>
                <w:sz w:val="16"/>
              </w:rPr>
              <w:t>ITS</w:t>
            </w:r>
            <w:r>
              <w:rPr>
                <w:spacing w:val="-4"/>
                <w:sz w:val="16"/>
              </w:rPr>
              <w:t> </w:t>
            </w:r>
            <w:r>
              <w:rPr>
                <w:spacing w:val="-2"/>
                <w:sz w:val="16"/>
              </w:rPr>
              <w:t>volume***</w:t>
            </w:r>
            <w:r>
              <w:rPr>
                <w:sz w:val="16"/>
              </w:rPr>
              <w:tab/>
            </w:r>
            <w:r>
              <w:rPr>
                <w:spacing w:val="-4"/>
                <w:sz w:val="16"/>
              </w:rPr>
              <w:t>Mean</w:t>
            </w:r>
          </w:p>
        </w:tc>
        <w:tc>
          <w:tcPr>
            <w:tcW w:w="1059" w:type="dxa"/>
            <w:tcBorders>
              <w:top w:val="single" w:sz="4" w:space="0" w:color="000000"/>
            </w:tcBorders>
          </w:tcPr>
          <w:p>
            <w:pPr>
              <w:pStyle w:val="TableParagraph"/>
              <w:spacing w:before="30"/>
              <w:ind w:left="109"/>
              <w:rPr>
                <w:sz w:val="16"/>
              </w:rPr>
            </w:pPr>
            <w:r>
              <w:rPr>
                <w:spacing w:val="-2"/>
                <w:sz w:val="16"/>
              </w:rPr>
              <w:t>171±23</w:t>
            </w:r>
          </w:p>
        </w:tc>
        <w:tc>
          <w:tcPr>
            <w:tcW w:w="1230" w:type="dxa"/>
            <w:tcBorders>
              <w:top w:val="single" w:sz="4" w:space="0" w:color="000000"/>
            </w:tcBorders>
          </w:tcPr>
          <w:p>
            <w:pPr>
              <w:pStyle w:val="TableParagraph"/>
              <w:spacing w:before="30"/>
              <w:ind w:left="302"/>
              <w:rPr>
                <w:sz w:val="16"/>
              </w:rPr>
            </w:pPr>
            <w:r>
              <w:rPr>
                <w:spacing w:val="-2"/>
                <w:sz w:val="16"/>
              </w:rPr>
              <w:t>156±16</w:t>
            </w:r>
          </w:p>
        </w:tc>
        <w:tc>
          <w:tcPr>
            <w:tcW w:w="1307" w:type="dxa"/>
            <w:tcBorders>
              <w:top w:val="single" w:sz="4" w:space="0" w:color="000000"/>
            </w:tcBorders>
          </w:tcPr>
          <w:p>
            <w:pPr>
              <w:pStyle w:val="TableParagraph"/>
              <w:spacing w:before="30"/>
              <w:ind w:left="315"/>
              <w:rPr>
                <w:sz w:val="16"/>
              </w:rPr>
            </w:pPr>
            <w:r>
              <w:rPr>
                <w:spacing w:val="-2"/>
                <w:sz w:val="16"/>
              </w:rPr>
              <w:t>187±18</w:t>
            </w:r>
          </w:p>
        </w:tc>
      </w:tr>
      <w:tr>
        <w:trPr>
          <w:trHeight w:val="239" w:hRule="atLeast"/>
        </w:trPr>
        <w:tc>
          <w:tcPr>
            <w:tcW w:w="1958" w:type="dxa"/>
          </w:tcPr>
          <w:p>
            <w:pPr>
              <w:pStyle w:val="TableParagraph"/>
              <w:ind w:left="0" w:right="105"/>
              <w:jc w:val="right"/>
              <w:rPr>
                <w:sz w:val="16"/>
              </w:rPr>
            </w:pPr>
            <w:r>
              <w:rPr>
                <w:spacing w:val="-2"/>
                <w:sz w:val="16"/>
              </w:rPr>
              <w:t>Median</w:t>
            </w:r>
          </w:p>
        </w:tc>
        <w:tc>
          <w:tcPr>
            <w:tcW w:w="1059" w:type="dxa"/>
          </w:tcPr>
          <w:p>
            <w:pPr>
              <w:pStyle w:val="TableParagraph"/>
              <w:rPr>
                <w:sz w:val="16"/>
              </w:rPr>
            </w:pPr>
            <w:r>
              <w:rPr>
                <w:spacing w:val="-5"/>
                <w:sz w:val="16"/>
              </w:rPr>
              <w:t>172</w:t>
            </w:r>
          </w:p>
        </w:tc>
        <w:tc>
          <w:tcPr>
            <w:tcW w:w="1230" w:type="dxa"/>
          </w:tcPr>
          <w:p>
            <w:pPr>
              <w:pStyle w:val="TableParagraph"/>
              <w:ind w:left="301"/>
              <w:rPr>
                <w:sz w:val="16"/>
              </w:rPr>
            </w:pPr>
            <w:r>
              <w:rPr>
                <w:spacing w:val="-5"/>
                <w:sz w:val="16"/>
              </w:rPr>
              <w:t>153</w:t>
            </w:r>
          </w:p>
        </w:tc>
        <w:tc>
          <w:tcPr>
            <w:tcW w:w="1307" w:type="dxa"/>
          </w:tcPr>
          <w:p>
            <w:pPr>
              <w:pStyle w:val="TableParagraph"/>
              <w:ind w:left="315"/>
              <w:rPr>
                <w:sz w:val="16"/>
              </w:rPr>
            </w:pPr>
            <w:r>
              <w:rPr>
                <w:spacing w:val="-5"/>
                <w:sz w:val="16"/>
              </w:rPr>
              <w:t>181</w:t>
            </w:r>
          </w:p>
        </w:tc>
      </w:tr>
      <w:tr>
        <w:trPr>
          <w:trHeight w:val="229" w:hRule="atLeast"/>
        </w:trPr>
        <w:tc>
          <w:tcPr>
            <w:tcW w:w="1958" w:type="dxa"/>
            <w:tcBorders>
              <w:bottom w:val="single" w:sz="4" w:space="0" w:color="000000"/>
            </w:tcBorders>
          </w:tcPr>
          <w:p>
            <w:pPr>
              <w:pStyle w:val="TableParagraph"/>
              <w:ind w:left="0" w:right="184"/>
              <w:jc w:val="right"/>
              <w:rPr>
                <w:sz w:val="16"/>
              </w:rPr>
            </w:pPr>
            <w:r>
              <w:rPr>
                <w:spacing w:val="-2"/>
                <w:sz w:val="16"/>
              </w:rPr>
              <w:t>Range</w:t>
            </w:r>
          </w:p>
        </w:tc>
        <w:tc>
          <w:tcPr>
            <w:tcW w:w="1059" w:type="dxa"/>
            <w:tcBorders>
              <w:bottom w:val="single" w:sz="4" w:space="0" w:color="000000"/>
            </w:tcBorders>
          </w:tcPr>
          <w:p>
            <w:pPr>
              <w:pStyle w:val="TableParagraph"/>
              <w:rPr>
                <w:sz w:val="16"/>
              </w:rPr>
            </w:pPr>
            <w:r>
              <w:rPr>
                <w:spacing w:val="-2"/>
                <w:sz w:val="16"/>
              </w:rPr>
              <w:t>125-</w:t>
            </w:r>
            <w:r>
              <w:rPr>
                <w:spacing w:val="-5"/>
                <w:sz w:val="16"/>
              </w:rPr>
              <w:t>236</w:t>
            </w:r>
          </w:p>
        </w:tc>
        <w:tc>
          <w:tcPr>
            <w:tcW w:w="1230" w:type="dxa"/>
            <w:tcBorders>
              <w:bottom w:val="single" w:sz="4" w:space="0" w:color="000000"/>
            </w:tcBorders>
          </w:tcPr>
          <w:p>
            <w:pPr>
              <w:pStyle w:val="TableParagraph"/>
              <w:ind w:left="301"/>
              <w:rPr>
                <w:sz w:val="16"/>
              </w:rPr>
            </w:pPr>
            <w:r>
              <w:rPr>
                <w:spacing w:val="-2"/>
                <w:sz w:val="16"/>
              </w:rPr>
              <w:t>125-</w:t>
            </w:r>
            <w:r>
              <w:rPr>
                <w:spacing w:val="-5"/>
                <w:sz w:val="16"/>
              </w:rPr>
              <w:t>189</w:t>
            </w:r>
          </w:p>
        </w:tc>
        <w:tc>
          <w:tcPr>
            <w:tcW w:w="1307" w:type="dxa"/>
            <w:tcBorders>
              <w:bottom w:val="single" w:sz="4" w:space="0" w:color="000000"/>
            </w:tcBorders>
          </w:tcPr>
          <w:p>
            <w:pPr>
              <w:pStyle w:val="TableParagraph"/>
              <w:ind w:left="316"/>
              <w:rPr>
                <w:sz w:val="16"/>
              </w:rPr>
            </w:pPr>
            <w:r>
              <w:rPr>
                <w:spacing w:val="-2"/>
                <w:sz w:val="16"/>
              </w:rPr>
              <w:t>168-</w:t>
            </w:r>
            <w:r>
              <w:rPr>
                <w:spacing w:val="-5"/>
                <w:sz w:val="16"/>
              </w:rPr>
              <w:t>236</w:t>
            </w:r>
          </w:p>
        </w:tc>
      </w:tr>
    </w:tbl>
    <w:p>
      <w:pPr>
        <w:spacing w:before="30"/>
        <w:ind w:left="2157" w:right="0" w:firstLine="0"/>
        <w:jc w:val="left"/>
        <w:rPr>
          <w:sz w:val="16"/>
        </w:rPr>
      </w:pPr>
      <w:r>
        <w:rPr>
          <w:sz w:val="16"/>
        </w:rPr>
        <w:t>SD:</w:t>
      </w:r>
      <w:r>
        <w:rPr>
          <w:spacing w:val="-5"/>
          <w:sz w:val="16"/>
        </w:rPr>
        <w:t> </w:t>
      </w:r>
      <w:r>
        <w:rPr>
          <w:sz w:val="16"/>
        </w:rPr>
        <w:t>standard</w:t>
      </w:r>
      <w:r>
        <w:rPr>
          <w:spacing w:val="-4"/>
          <w:sz w:val="16"/>
        </w:rPr>
        <w:t> </w:t>
      </w:r>
      <w:r>
        <w:rPr>
          <w:sz w:val="16"/>
        </w:rPr>
        <w:t>deviation;</w:t>
      </w:r>
      <w:r>
        <w:rPr>
          <w:spacing w:val="-4"/>
          <w:sz w:val="16"/>
        </w:rPr>
        <w:t> </w:t>
      </w:r>
      <w:r>
        <w:rPr>
          <w:sz w:val="16"/>
        </w:rPr>
        <w:t>***:</w:t>
      </w:r>
      <w:r>
        <w:rPr>
          <w:spacing w:val="-4"/>
          <w:sz w:val="16"/>
        </w:rPr>
        <w:t> </w:t>
      </w:r>
      <w:r>
        <w:rPr>
          <w:sz w:val="16"/>
        </w:rPr>
        <w:t>p</w:t>
      </w:r>
      <w:r>
        <w:rPr>
          <w:spacing w:val="-4"/>
          <w:sz w:val="16"/>
        </w:rPr>
        <w:t> </w:t>
      </w:r>
      <w:r>
        <w:rPr>
          <w:sz w:val="16"/>
        </w:rPr>
        <w:t>&lt;</w:t>
      </w:r>
      <w:r>
        <w:rPr>
          <w:spacing w:val="-4"/>
          <w:sz w:val="16"/>
        </w:rPr>
        <w:t> </w:t>
      </w:r>
      <w:r>
        <w:rPr>
          <w:spacing w:val="-2"/>
          <w:sz w:val="16"/>
        </w:rPr>
        <w:t>0.001</w:t>
      </w:r>
    </w:p>
    <w:p>
      <w:pPr>
        <w:pStyle w:val="BodyText"/>
        <w:spacing w:before="40"/>
      </w:pPr>
    </w:p>
    <w:p>
      <w:pPr>
        <w:pStyle w:val="BodyText"/>
        <w:spacing w:line="249" w:lineRule="auto"/>
        <w:ind w:left="405" w:right="566" w:firstLine="237"/>
        <w:jc w:val="both"/>
      </w:pPr>
      <w:r>
        <w:rPr/>
        <w:t>Measurement results of outer and inner dimensions of the STS are listed in Table 2. The length of the STS in these 50 patients ranged from 138.7 to 175.8 mm with a mean of 153.7 ± 8.0 mm, while the width of the STS ranged from 116.7 to 150.9 mm with a mean of 136.1 ± 7.3 mm. The ratio between the length and the width</w:t>
      </w:r>
      <w:r>
        <w:rPr>
          <w:spacing w:val="15"/>
        </w:rPr>
        <w:t> </w:t>
      </w:r>
      <w:r>
        <w:rPr/>
        <w:t>of</w:t>
      </w:r>
      <w:r>
        <w:rPr>
          <w:spacing w:val="15"/>
        </w:rPr>
        <w:t> </w:t>
      </w:r>
      <w:r>
        <w:rPr/>
        <w:t>the</w:t>
      </w:r>
      <w:r>
        <w:rPr>
          <w:spacing w:val="15"/>
        </w:rPr>
        <w:t> </w:t>
      </w:r>
      <w:r>
        <w:rPr/>
        <w:t>STS</w:t>
      </w:r>
      <w:r>
        <w:rPr>
          <w:spacing w:val="15"/>
        </w:rPr>
        <w:t> </w:t>
      </w:r>
      <w:r>
        <w:rPr/>
        <w:t>ranged</w:t>
      </w:r>
      <w:r>
        <w:rPr>
          <w:spacing w:val="15"/>
        </w:rPr>
        <w:t> </w:t>
      </w:r>
      <w:r>
        <w:rPr/>
        <w:t>from</w:t>
      </w:r>
      <w:r>
        <w:rPr>
          <w:spacing w:val="12"/>
        </w:rPr>
        <w:t> </w:t>
      </w:r>
      <w:r>
        <w:rPr/>
        <w:t>0.95</w:t>
      </w:r>
      <w:r>
        <w:rPr>
          <w:spacing w:val="15"/>
        </w:rPr>
        <w:t> </w:t>
      </w:r>
      <w:r>
        <w:rPr/>
        <w:t>to</w:t>
      </w:r>
      <w:r>
        <w:rPr>
          <w:spacing w:val="14"/>
        </w:rPr>
        <w:t> </w:t>
      </w:r>
      <w:r>
        <w:rPr/>
        <w:t>1.36</w:t>
      </w:r>
      <w:r>
        <w:rPr>
          <w:spacing w:val="15"/>
        </w:rPr>
        <w:t> </w:t>
      </w:r>
      <w:r>
        <w:rPr/>
        <w:t>with</w:t>
      </w:r>
      <w:r>
        <w:rPr>
          <w:spacing w:val="15"/>
        </w:rPr>
        <w:t> </w:t>
      </w:r>
      <w:r>
        <w:rPr/>
        <w:t>a</w:t>
      </w:r>
      <w:r>
        <w:rPr>
          <w:spacing w:val="14"/>
        </w:rPr>
        <w:t> </w:t>
      </w:r>
      <w:r>
        <w:rPr/>
        <w:t>mean</w:t>
      </w:r>
      <w:r>
        <w:rPr>
          <w:spacing w:val="15"/>
        </w:rPr>
        <w:t> </w:t>
      </w:r>
      <w:r>
        <w:rPr/>
        <w:t>of</w:t>
      </w:r>
      <w:r>
        <w:rPr>
          <w:spacing w:val="14"/>
        </w:rPr>
        <w:t> </w:t>
      </w:r>
      <w:r>
        <w:rPr/>
        <w:t>1.13</w:t>
      </w:r>
      <w:r>
        <w:rPr>
          <w:spacing w:val="13"/>
        </w:rPr>
        <w:t> </w:t>
      </w:r>
      <w:r>
        <w:rPr/>
        <w:t>±</w:t>
      </w:r>
      <w:r>
        <w:rPr>
          <w:spacing w:val="11"/>
        </w:rPr>
        <w:t> </w:t>
      </w:r>
      <w:r>
        <w:rPr/>
        <w:t>0.09.</w:t>
      </w:r>
      <w:r>
        <w:rPr>
          <w:spacing w:val="14"/>
        </w:rPr>
        <w:t> </w:t>
      </w:r>
      <w:r>
        <w:rPr/>
        <w:t>The</w:t>
      </w:r>
      <w:r>
        <w:rPr>
          <w:spacing w:val="13"/>
        </w:rPr>
        <w:t> </w:t>
      </w:r>
      <w:r>
        <w:rPr/>
        <w:t>height</w:t>
      </w:r>
      <w:r>
        <w:rPr>
          <w:spacing w:val="13"/>
        </w:rPr>
        <w:t> </w:t>
      </w:r>
      <w:r>
        <w:rPr/>
        <w:t>of</w:t>
      </w:r>
      <w:r>
        <w:rPr>
          <w:spacing w:val="14"/>
        </w:rPr>
        <w:t> </w:t>
      </w:r>
      <w:r>
        <w:rPr/>
        <w:t>the</w:t>
      </w:r>
      <w:r>
        <w:rPr>
          <w:spacing w:val="15"/>
        </w:rPr>
        <w:t> </w:t>
      </w:r>
      <w:r>
        <w:rPr/>
        <w:t>STS</w:t>
      </w:r>
      <w:r>
        <w:rPr>
          <w:spacing w:val="14"/>
        </w:rPr>
        <w:t> </w:t>
      </w:r>
      <w:r>
        <w:rPr/>
        <w:t>ranged</w:t>
      </w:r>
      <w:r>
        <w:rPr>
          <w:spacing w:val="13"/>
        </w:rPr>
        <w:t> </w:t>
      </w:r>
      <w:r>
        <w:rPr>
          <w:spacing w:val="-4"/>
        </w:rPr>
        <w:t>from</w:t>
      </w:r>
    </w:p>
    <w:p>
      <w:pPr>
        <w:pStyle w:val="BodyText"/>
        <w:spacing w:line="249" w:lineRule="auto" w:before="4"/>
        <w:ind w:left="405" w:right="568"/>
        <w:jc w:val="both"/>
      </w:pPr>
      <w:r>
        <w:rPr/>
        <w:t>75.0 to 100.0 mm with a mean of 90.3 ± 4.5 mm. All outer dimensions of the STS were larger in males (p = 0.010 for the length, p = 0.001 for the width, and p = 0.002 for the height). The length/width ratio did not differ between males and females (p=0.904).</w:t>
      </w:r>
    </w:p>
    <w:p>
      <w:pPr>
        <w:pStyle w:val="BodyText"/>
        <w:spacing w:line="249" w:lineRule="auto" w:before="3"/>
        <w:ind w:left="405" w:right="571" w:firstLine="237"/>
        <w:jc w:val="both"/>
      </w:pPr>
      <w:r>
        <w:rPr/>
        <w:t>The length of the brainstem in these 50 patients ranged from 24.9 to 36.1 mm with a mean of 30.9 ± 2.5 mm, while the</w:t>
      </w:r>
      <w:r>
        <w:rPr>
          <w:spacing w:val="-1"/>
        </w:rPr>
        <w:t> </w:t>
      </w:r>
      <w:r>
        <w:rPr/>
        <w:t>width</w:t>
      </w:r>
      <w:r>
        <w:rPr>
          <w:spacing w:val="-1"/>
        </w:rPr>
        <w:t> </w:t>
      </w:r>
      <w:r>
        <w:rPr/>
        <w:t>of the</w:t>
      </w:r>
      <w:r>
        <w:rPr>
          <w:spacing w:val="-1"/>
        </w:rPr>
        <w:t> </w:t>
      </w:r>
      <w:r>
        <w:rPr/>
        <w:t>brainstem</w:t>
      </w:r>
      <w:r>
        <w:rPr>
          <w:spacing w:val="-1"/>
        </w:rPr>
        <w:t> </w:t>
      </w:r>
      <w:r>
        <w:rPr/>
        <w:t>ranged from</w:t>
      </w:r>
      <w:r>
        <w:rPr>
          <w:spacing w:val="-1"/>
        </w:rPr>
        <w:t> </w:t>
      </w:r>
      <w:r>
        <w:rPr/>
        <w:t>30.3 to 48.3 mm</w:t>
      </w:r>
      <w:r>
        <w:rPr>
          <w:spacing w:val="-1"/>
        </w:rPr>
        <w:t> </w:t>
      </w:r>
      <w:r>
        <w:rPr/>
        <w:t>with a</w:t>
      </w:r>
      <w:r>
        <w:rPr>
          <w:spacing w:val="-1"/>
        </w:rPr>
        <w:t> </w:t>
      </w:r>
      <w:r>
        <w:rPr/>
        <w:t>mean of 37.9 ±</w:t>
      </w:r>
      <w:r>
        <w:rPr>
          <w:spacing w:val="-2"/>
        </w:rPr>
        <w:t> </w:t>
      </w:r>
      <w:r>
        <w:rPr/>
        <w:t>4.7 mm. Compared to females, the length of the brainstem was larger in males, but the difference in brainstem width was only marginally significant (p = 0.054). The length of the SFS ranged from 67.8 to 103.9 mm with a mean of 85.8</w:t>
      </w:r>
    </w:p>
    <w:p>
      <w:pPr>
        <w:pStyle w:val="BodyText"/>
        <w:spacing w:line="249" w:lineRule="auto" w:before="3"/>
        <w:ind w:left="405" w:right="568"/>
        <w:jc w:val="both"/>
      </w:pPr>
      <w:r>
        <w:rPr/>
        <w:t>± 7.0 mm, while the height of the SFS ranged from 35.0 to 65.0 mm with a mean of 52.1 ± 5.7 mm. Males have larger SFS heights and lengths, but only the former showed significant difference (p = 0.006).</w:t>
      </w:r>
    </w:p>
    <w:p>
      <w:pPr>
        <w:pStyle w:val="BodyText"/>
        <w:spacing w:before="12"/>
      </w:pPr>
    </w:p>
    <w:p>
      <w:pPr>
        <w:pStyle w:val="ListParagraph"/>
        <w:numPr>
          <w:ilvl w:val="1"/>
          <w:numId w:val="1"/>
        </w:numPr>
        <w:tabs>
          <w:tab w:pos="758" w:val="left" w:leader="none"/>
        </w:tabs>
        <w:spacing w:line="240" w:lineRule="auto" w:before="0" w:after="0"/>
        <w:ind w:left="758" w:right="0" w:hanging="353"/>
        <w:jc w:val="both"/>
        <w:rPr>
          <w:i/>
          <w:sz w:val="20"/>
        </w:rPr>
      </w:pPr>
      <w:r>
        <w:rPr>
          <w:i/>
          <w:sz w:val="20"/>
        </w:rPr>
        <w:t>Model</w:t>
      </w:r>
      <w:r>
        <w:rPr>
          <w:i/>
          <w:spacing w:val="-3"/>
          <w:sz w:val="20"/>
        </w:rPr>
        <w:t> </w:t>
      </w:r>
      <w:r>
        <w:rPr>
          <w:i/>
          <w:spacing w:val="-2"/>
          <w:sz w:val="20"/>
        </w:rPr>
        <w:t>Specification</w:t>
      </w:r>
    </w:p>
    <w:p>
      <w:pPr>
        <w:pStyle w:val="BodyText"/>
        <w:spacing w:before="20"/>
        <w:rPr>
          <w:i/>
        </w:rPr>
      </w:pPr>
    </w:p>
    <w:p>
      <w:pPr>
        <w:pStyle w:val="BodyText"/>
        <w:spacing w:line="249" w:lineRule="auto"/>
        <w:ind w:left="405" w:right="570" w:firstLine="237"/>
        <w:jc w:val="both"/>
      </w:pPr>
      <w:r>
        <w:rPr/>
        <w:t>Based on craniometric data from last section, we constructed a simple model of the STS. The model assumes the shape of the upper half of a sphere with a diameter of 160 mm. The volume of this STS model is 1072 mL, which is 6.7% smaller than the average V_STS but is very close to that of females, 1077 mL. Both the length and the width of this model are 160 mm. The length of the model is 3.9% larger than that of craniometry, while the width of the model is 17.6% larger. The height of the model, 80 mm, is 11% smaller than the average height of the STS obtained from craniometry.</w:t>
      </w:r>
    </w:p>
    <w:p>
      <w:pPr>
        <w:pStyle w:val="BodyText"/>
        <w:spacing w:line="249" w:lineRule="auto" w:before="5"/>
        <w:ind w:left="405" w:right="572" w:firstLine="237"/>
        <w:jc w:val="both"/>
      </w:pPr>
      <w:r>
        <w:rPr/>
        <w:t>The outer surface of this model simulates the convexity surfaces of the cerebral hemispheres. On the other hand, the irregular basal surface of the cerebrum, including the orbital roof, the sphenoid ridge, the middle cranial fossa floor and the tentorial surface, is simplified and represented by a flat equatorial plane in this model. A 40 mm circle is removed from the center of the basal plane to simulate the midbrain occupying the </w:t>
      </w:r>
      <w:r>
        <w:rPr>
          <w:spacing w:val="-4"/>
        </w:rPr>
        <w:t>TI.</w:t>
      </w:r>
    </w:p>
    <w:p>
      <w:pPr>
        <w:spacing w:line="261" w:lineRule="auto" w:before="208"/>
        <w:ind w:left="405" w:right="384" w:firstLine="0"/>
        <w:jc w:val="left"/>
        <w:rPr>
          <w:sz w:val="16"/>
        </w:rPr>
      </w:pPr>
      <w:r>
        <w:rPr>
          <w:sz w:val="16"/>
        </w:rPr>
        <w:t>Table</w:t>
      </w:r>
      <w:r>
        <w:rPr>
          <w:spacing w:val="-2"/>
          <w:sz w:val="16"/>
        </w:rPr>
        <w:t> </w:t>
      </w:r>
      <w:r>
        <w:rPr>
          <w:sz w:val="16"/>
        </w:rPr>
        <w:t>2.</w:t>
      </w:r>
      <w:r>
        <w:rPr>
          <w:spacing w:val="-2"/>
          <w:sz w:val="16"/>
        </w:rPr>
        <w:t> </w:t>
      </w:r>
      <w:r>
        <w:rPr>
          <w:sz w:val="16"/>
        </w:rPr>
        <w:t>Outer</w:t>
      </w:r>
      <w:r>
        <w:rPr>
          <w:spacing w:val="-2"/>
          <w:sz w:val="16"/>
        </w:rPr>
        <w:t> </w:t>
      </w:r>
      <w:r>
        <w:rPr>
          <w:sz w:val="16"/>
        </w:rPr>
        <w:t>and inner</w:t>
      </w:r>
      <w:r>
        <w:rPr>
          <w:spacing w:val="-2"/>
          <w:sz w:val="16"/>
        </w:rPr>
        <w:t> </w:t>
      </w:r>
      <w:r>
        <w:rPr>
          <w:sz w:val="16"/>
        </w:rPr>
        <w:t>dimensions</w:t>
      </w:r>
      <w:r>
        <w:rPr>
          <w:spacing w:val="-2"/>
          <w:sz w:val="16"/>
        </w:rPr>
        <w:t> </w:t>
      </w:r>
      <w:r>
        <w:rPr>
          <w:sz w:val="16"/>
        </w:rPr>
        <w:t>of</w:t>
      </w:r>
      <w:r>
        <w:rPr>
          <w:spacing w:val="-2"/>
          <w:sz w:val="16"/>
        </w:rPr>
        <w:t> </w:t>
      </w:r>
      <w:r>
        <w:rPr>
          <w:sz w:val="16"/>
        </w:rPr>
        <w:t>the</w:t>
      </w:r>
      <w:r>
        <w:rPr>
          <w:spacing w:val="-2"/>
          <w:sz w:val="16"/>
        </w:rPr>
        <w:t> </w:t>
      </w:r>
      <w:r>
        <w:rPr>
          <w:sz w:val="16"/>
        </w:rPr>
        <w:t>STS.</w:t>
      </w:r>
      <w:r>
        <w:rPr>
          <w:spacing w:val="-2"/>
          <w:sz w:val="16"/>
        </w:rPr>
        <w:t> </w:t>
      </w:r>
      <w:r>
        <w:rPr>
          <w:sz w:val="16"/>
        </w:rPr>
        <w:t>The</w:t>
      </w:r>
      <w:r>
        <w:rPr>
          <w:spacing w:val="-1"/>
          <w:sz w:val="16"/>
        </w:rPr>
        <w:t> </w:t>
      </w:r>
      <w:r>
        <w:rPr>
          <w:sz w:val="16"/>
        </w:rPr>
        <w:t>significance</w:t>
      </w:r>
      <w:r>
        <w:rPr>
          <w:spacing w:val="-2"/>
          <w:sz w:val="16"/>
        </w:rPr>
        <w:t> </w:t>
      </w:r>
      <w:r>
        <w:rPr>
          <w:sz w:val="16"/>
        </w:rPr>
        <w:t>of</w:t>
      </w:r>
      <w:r>
        <w:rPr>
          <w:spacing w:val="-2"/>
          <w:sz w:val="16"/>
        </w:rPr>
        <w:t> </w:t>
      </w:r>
      <w:r>
        <w:rPr>
          <w:sz w:val="16"/>
        </w:rPr>
        <w:t>the</w:t>
      </w:r>
      <w:r>
        <w:rPr>
          <w:spacing w:val="-2"/>
          <w:sz w:val="16"/>
        </w:rPr>
        <w:t> </w:t>
      </w:r>
      <w:r>
        <w:rPr>
          <w:sz w:val="16"/>
        </w:rPr>
        <w:t>differences</w:t>
      </w:r>
      <w:r>
        <w:rPr>
          <w:spacing w:val="-2"/>
          <w:sz w:val="16"/>
        </w:rPr>
        <w:t> </w:t>
      </w:r>
      <w:r>
        <w:rPr>
          <w:sz w:val="16"/>
        </w:rPr>
        <w:t>between</w:t>
      </w:r>
      <w:r>
        <w:rPr>
          <w:spacing w:val="-2"/>
          <w:sz w:val="16"/>
        </w:rPr>
        <w:t> </w:t>
      </w:r>
      <w:r>
        <w:rPr>
          <w:sz w:val="16"/>
        </w:rPr>
        <w:t>females</w:t>
      </w:r>
      <w:r>
        <w:rPr>
          <w:spacing w:val="-2"/>
          <w:sz w:val="16"/>
        </w:rPr>
        <w:t> </w:t>
      </w:r>
      <w:r>
        <w:rPr>
          <w:sz w:val="16"/>
        </w:rPr>
        <w:t>and males are</w:t>
      </w:r>
      <w:r>
        <w:rPr>
          <w:spacing w:val="-2"/>
          <w:sz w:val="16"/>
        </w:rPr>
        <w:t> </w:t>
      </w:r>
      <w:r>
        <w:rPr>
          <w:sz w:val="16"/>
        </w:rPr>
        <w:t>given</w:t>
      </w:r>
      <w:r>
        <w:rPr>
          <w:spacing w:val="-2"/>
          <w:sz w:val="16"/>
        </w:rPr>
        <w:t> </w:t>
      </w:r>
      <w:r>
        <w:rPr>
          <w:sz w:val="16"/>
        </w:rPr>
        <w:t>after</w:t>
      </w:r>
      <w:r>
        <w:rPr>
          <w:spacing w:val="-1"/>
          <w:sz w:val="16"/>
        </w:rPr>
        <w:t> </w:t>
      </w:r>
      <w:r>
        <w:rPr>
          <w:sz w:val="16"/>
        </w:rPr>
        <w:t>each</w:t>
      </w:r>
      <w:r>
        <w:rPr>
          <w:spacing w:val="40"/>
          <w:sz w:val="16"/>
        </w:rPr>
        <w:t> </w:t>
      </w:r>
      <w:r>
        <w:rPr>
          <w:spacing w:val="-2"/>
          <w:sz w:val="16"/>
        </w:rPr>
        <w:t>parameter.</w:t>
      </w:r>
    </w:p>
    <w:p>
      <w:pPr>
        <w:pStyle w:val="BodyText"/>
        <w:spacing w:before="3"/>
      </w:pPr>
    </w:p>
    <w:tbl>
      <w:tblPr>
        <w:tblW w:w="0" w:type="auto"/>
        <w:jc w:val="left"/>
        <w:tblInd w:w="1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3"/>
        <w:gridCol w:w="905"/>
        <w:gridCol w:w="1252"/>
        <w:gridCol w:w="1244"/>
        <w:gridCol w:w="1103"/>
      </w:tblGrid>
      <w:tr>
        <w:trPr>
          <w:trHeight w:val="240" w:hRule="atLeast"/>
        </w:trPr>
        <w:tc>
          <w:tcPr>
            <w:tcW w:w="1293" w:type="dxa"/>
            <w:tcBorders>
              <w:top w:val="single" w:sz="4" w:space="0" w:color="000000"/>
              <w:bottom w:val="single" w:sz="4" w:space="0" w:color="000000"/>
            </w:tcBorders>
          </w:tcPr>
          <w:p>
            <w:pPr>
              <w:pStyle w:val="TableParagraph"/>
              <w:spacing w:before="31"/>
              <w:rPr>
                <w:sz w:val="16"/>
              </w:rPr>
            </w:pPr>
            <w:r>
              <w:rPr>
                <w:spacing w:val="-2"/>
                <w:sz w:val="16"/>
              </w:rPr>
              <w:t>Pamameter</w:t>
            </w:r>
          </w:p>
        </w:tc>
        <w:tc>
          <w:tcPr>
            <w:tcW w:w="905" w:type="dxa"/>
            <w:tcBorders>
              <w:top w:val="single" w:sz="4" w:space="0" w:color="000000"/>
              <w:bottom w:val="single" w:sz="4" w:space="0" w:color="000000"/>
            </w:tcBorders>
          </w:tcPr>
          <w:p>
            <w:pPr>
              <w:pStyle w:val="TableParagraph"/>
              <w:spacing w:before="0"/>
              <w:ind w:left="0"/>
              <w:rPr>
                <w:sz w:val="16"/>
              </w:rPr>
            </w:pPr>
          </w:p>
        </w:tc>
        <w:tc>
          <w:tcPr>
            <w:tcW w:w="1252" w:type="dxa"/>
            <w:tcBorders>
              <w:top w:val="single" w:sz="4" w:space="0" w:color="000000"/>
              <w:bottom w:val="single" w:sz="4" w:space="0" w:color="000000"/>
            </w:tcBorders>
          </w:tcPr>
          <w:p>
            <w:pPr>
              <w:pStyle w:val="TableParagraph"/>
              <w:spacing w:before="31"/>
              <w:ind w:left="106"/>
              <w:rPr>
                <w:sz w:val="16"/>
              </w:rPr>
            </w:pPr>
            <w:r>
              <w:rPr>
                <w:sz w:val="16"/>
              </w:rPr>
              <w:t>Overall</w:t>
            </w:r>
            <w:r>
              <w:rPr>
                <w:spacing w:val="-3"/>
                <w:sz w:val="16"/>
              </w:rPr>
              <w:t> </w:t>
            </w:r>
            <w:r>
              <w:rPr>
                <w:sz w:val="16"/>
              </w:rPr>
              <w:t>(n</w:t>
            </w:r>
            <w:r>
              <w:rPr>
                <w:spacing w:val="-3"/>
                <w:sz w:val="16"/>
              </w:rPr>
              <w:t> </w:t>
            </w:r>
            <w:r>
              <w:rPr>
                <w:sz w:val="16"/>
              </w:rPr>
              <w:t>=</w:t>
            </w:r>
            <w:r>
              <w:rPr>
                <w:spacing w:val="-4"/>
                <w:sz w:val="16"/>
              </w:rPr>
              <w:t> </w:t>
            </w:r>
            <w:r>
              <w:rPr>
                <w:spacing w:val="-5"/>
                <w:sz w:val="16"/>
              </w:rPr>
              <w:t>50)</w:t>
            </w:r>
          </w:p>
        </w:tc>
        <w:tc>
          <w:tcPr>
            <w:tcW w:w="1244" w:type="dxa"/>
            <w:tcBorders>
              <w:top w:val="single" w:sz="4" w:space="0" w:color="000000"/>
              <w:bottom w:val="single" w:sz="4" w:space="0" w:color="000000"/>
            </w:tcBorders>
          </w:tcPr>
          <w:p>
            <w:pPr>
              <w:pStyle w:val="TableParagraph"/>
              <w:spacing w:before="31"/>
              <w:ind w:left="107"/>
              <w:rPr>
                <w:sz w:val="16"/>
              </w:rPr>
            </w:pPr>
            <w:r>
              <w:rPr>
                <w:sz w:val="16"/>
              </w:rPr>
              <w:t>Female</w:t>
            </w:r>
            <w:r>
              <w:rPr>
                <w:spacing w:val="-3"/>
                <w:sz w:val="16"/>
              </w:rPr>
              <w:t> </w:t>
            </w:r>
            <w:r>
              <w:rPr>
                <w:sz w:val="16"/>
              </w:rPr>
              <w:t>(n</w:t>
            </w:r>
            <w:r>
              <w:rPr>
                <w:spacing w:val="-4"/>
                <w:sz w:val="16"/>
              </w:rPr>
              <w:t> </w:t>
            </w:r>
            <w:r>
              <w:rPr>
                <w:sz w:val="16"/>
              </w:rPr>
              <w:t>=</w:t>
            </w:r>
            <w:r>
              <w:rPr>
                <w:spacing w:val="-3"/>
                <w:sz w:val="16"/>
              </w:rPr>
              <w:t> </w:t>
            </w:r>
            <w:r>
              <w:rPr>
                <w:spacing w:val="-5"/>
                <w:sz w:val="16"/>
              </w:rPr>
              <w:t>25)</w:t>
            </w:r>
          </w:p>
        </w:tc>
        <w:tc>
          <w:tcPr>
            <w:tcW w:w="1103" w:type="dxa"/>
            <w:tcBorders>
              <w:top w:val="single" w:sz="4" w:space="0" w:color="000000"/>
              <w:bottom w:val="single" w:sz="4" w:space="0" w:color="000000"/>
            </w:tcBorders>
          </w:tcPr>
          <w:p>
            <w:pPr>
              <w:pStyle w:val="TableParagraph"/>
              <w:spacing w:before="31"/>
              <w:ind w:left="107"/>
              <w:rPr>
                <w:sz w:val="16"/>
              </w:rPr>
            </w:pPr>
            <w:r>
              <w:rPr>
                <w:sz w:val="16"/>
              </w:rPr>
              <w:t>Male</w:t>
            </w:r>
            <w:r>
              <w:rPr>
                <w:spacing w:val="-2"/>
                <w:sz w:val="16"/>
              </w:rPr>
              <w:t> </w:t>
            </w:r>
            <w:r>
              <w:rPr>
                <w:sz w:val="16"/>
              </w:rPr>
              <w:t>(n</w:t>
            </w:r>
            <w:r>
              <w:rPr>
                <w:spacing w:val="-3"/>
                <w:sz w:val="16"/>
              </w:rPr>
              <w:t> </w:t>
            </w:r>
            <w:r>
              <w:rPr>
                <w:sz w:val="16"/>
              </w:rPr>
              <w:t>=</w:t>
            </w:r>
            <w:r>
              <w:rPr>
                <w:spacing w:val="-3"/>
                <w:sz w:val="16"/>
              </w:rPr>
              <w:t> </w:t>
            </w:r>
            <w:r>
              <w:rPr>
                <w:spacing w:val="-5"/>
                <w:sz w:val="16"/>
              </w:rPr>
              <w:t>25)</w:t>
            </w:r>
          </w:p>
        </w:tc>
      </w:tr>
      <w:tr>
        <w:trPr>
          <w:trHeight w:val="249" w:hRule="atLeast"/>
        </w:trPr>
        <w:tc>
          <w:tcPr>
            <w:tcW w:w="1293" w:type="dxa"/>
            <w:tcBorders>
              <w:top w:val="single" w:sz="4" w:space="0" w:color="000000"/>
            </w:tcBorders>
          </w:tcPr>
          <w:p>
            <w:pPr>
              <w:pStyle w:val="TableParagraph"/>
              <w:spacing w:before="30"/>
              <w:rPr>
                <w:sz w:val="16"/>
              </w:rPr>
            </w:pPr>
            <w:r>
              <w:rPr>
                <w:sz w:val="16"/>
              </w:rPr>
              <w:t>STS</w:t>
            </w:r>
            <w:r>
              <w:rPr>
                <w:spacing w:val="-4"/>
                <w:sz w:val="16"/>
              </w:rPr>
              <w:t> </w:t>
            </w:r>
            <w:r>
              <w:rPr>
                <w:spacing w:val="-2"/>
                <w:sz w:val="16"/>
              </w:rPr>
              <w:t>length*</w:t>
            </w:r>
          </w:p>
        </w:tc>
        <w:tc>
          <w:tcPr>
            <w:tcW w:w="905" w:type="dxa"/>
            <w:tcBorders>
              <w:top w:val="single" w:sz="4" w:space="0" w:color="000000"/>
            </w:tcBorders>
          </w:tcPr>
          <w:p>
            <w:pPr>
              <w:pStyle w:val="TableParagraph"/>
              <w:spacing w:before="30"/>
              <w:ind w:left="308"/>
              <w:rPr>
                <w:sz w:val="16"/>
              </w:rPr>
            </w:pPr>
            <w:r>
              <w:rPr>
                <w:spacing w:val="-4"/>
                <w:sz w:val="16"/>
              </w:rPr>
              <w:t>Mean</w:t>
            </w:r>
          </w:p>
        </w:tc>
        <w:tc>
          <w:tcPr>
            <w:tcW w:w="1252" w:type="dxa"/>
            <w:tcBorders>
              <w:top w:val="single" w:sz="4" w:space="0" w:color="000000"/>
            </w:tcBorders>
          </w:tcPr>
          <w:p>
            <w:pPr>
              <w:pStyle w:val="TableParagraph"/>
              <w:spacing w:before="30"/>
              <w:ind w:left="109"/>
              <w:rPr>
                <w:sz w:val="16"/>
              </w:rPr>
            </w:pPr>
            <w:r>
              <w:rPr>
                <w:spacing w:val="-2"/>
                <w:sz w:val="16"/>
              </w:rPr>
              <w:t>153.7±8.0</w:t>
            </w:r>
          </w:p>
        </w:tc>
        <w:tc>
          <w:tcPr>
            <w:tcW w:w="1244" w:type="dxa"/>
            <w:tcBorders>
              <w:top w:val="single" w:sz="4" w:space="0" w:color="000000"/>
            </w:tcBorders>
          </w:tcPr>
          <w:p>
            <w:pPr>
              <w:pStyle w:val="TableParagraph"/>
              <w:spacing w:before="30"/>
              <w:ind w:left="109"/>
              <w:rPr>
                <w:sz w:val="16"/>
              </w:rPr>
            </w:pPr>
            <w:r>
              <w:rPr>
                <w:spacing w:val="-2"/>
                <w:sz w:val="16"/>
              </w:rPr>
              <w:t>150.4±7.0</w:t>
            </w:r>
          </w:p>
        </w:tc>
        <w:tc>
          <w:tcPr>
            <w:tcW w:w="1103" w:type="dxa"/>
            <w:tcBorders>
              <w:top w:val="single" w:sz="4" w:space="0" w:color="000000"/>
            </w:tcBorders>
          </w:tcPr>
          <w:p>
            <w:pPr>
              <w:pStyle w:val="TableParagraph"/>
              <w:spacing w:before="30"/>
              <w:ind w:left="109"/>
              <w:rPr>
                <w:sz w:val="16"/>
              </w:rPr>
            </w:pPr>
            <w:r>
              <w:rPr>
                <w:spacing w:val="-2"/>
                <w:sz w:val="16"/>
              </w:rPr>
              <w:t>157.0±7.6</w:t>
            </w:r>
          </w:p>
        </w:tc>
      </w:tr>
      <w:tr>
        <w:trPr>
          <w:trHeight w:val="240" w:hRule="atLeast"/>
        </w:trPr>
        <w:tc>
          <w:tcPr>
            <w:tcW w:w="1293" w:type="dxa"/>
          </w:tcPr>
          <w:p>
            <w:pPr>
              <w:pStyle w:val="TableParagraph"/>
              <w:spacing w:before="0"/>
              <w:ind w:left="0"/>
              <w:rPr>
                <w:sz w:val="16"/>
              </w:rPr>
            </w:pPr>
          </w:p>
        </w:tc>
        <w:tc>
          <w:tcPr>
            <w:tcW w:w="905" w:type="dxa"/>
          </w:tcPr>
          <w:p>
            <w:pPr>
              <w:pStyle w:val="TableParagraph"/>
              <w:ind w:left="307"/>
              <w:rPr>
                <w:sz w:val="16"/>
              </w:rPr>
            </w:pPr>
            <w:r>
              <w:rPr>
                <w:spacing w:val="-2"/>
                <w:sz w:val="16"/>
              </w:rPr>
              <w:t>Median</w:t>
            </w:r>
          </w:p>
        </w:tc>
        <w:tc>
          <w:tcPr>
            <w:tcW w:w="1252" w:type="dxa"/>
          </w:tcPr>
          <w:p>
            <w:pPr>
              <w:pStyle w:val="TableParagraph"/>
              <w:rPr>
                <w:sz w:val="16"/>
              </w:rPr>
            </w:pPr>
            <w:r>
              <w:rPr>
                <w:spacing w:val="-2"/>
                <w:sz w:val="16"/>
              </w:rPr>
              <w:t>152.1</w:t>
            </w:r>
          </w:p>
        </w:tc>
        <w:tc>
          <w:tcPr>
            <w:tcW w:w="1244" w:type="dxa"/>
          </w:tcPr>
          <w:p>
            <w:pPr>
              <w:pStyle w:val="TableParagraph"/>
              <w:rPr>
                <w:sz w:val="16"/>
              </w:rPr>
            </w:pPr>
            <w:r>
              <w:rPr>
                <w:spacing w:val="-2"/>
                <w:sz w:val="16"/>
              </w:rPr>
              <w:t>148.4</w:t>
            </w:r>
          </w:p>
        </w:tc>
        <w:tc>
          <w:tcPr>
            <w:tcW w:w="1103" w:type="dxa"/>
          </w:tcPr>
          <w:p>
            <w:pPr>
              <w:pStyle w:val="TableParagraph"/>
              <w:ind w:left="109"/>
              <w:rPr>
                <w:sz w:val="16"/>
              </w:rPr>
            </w:pPr>
            <w:r>
              <w:rPr>
                <w:spacing w:val="-2"/>
                <w:sz w:val="16"/>
              </w:rPr>
              <w:t>156.7</w:t>
            </w:r>
          </w:p>
        </w:tc>
      </w:tr>
      <w:tr>
        <w:trPr>
          <w:trHeight w:val="229" w:hRule="atLeast"/>
        </w:trPr>
        <w:tc>
          <w:tcPr>
            <w:tcW w:w="1293" w:type="dxa"/>
            <w:tcBorders>
              <w:bottom w:val="single" w:sz="4" w:space="0" w:color="000000"/>
            </w:tcBorders>
          </w:tcPr>
          <w:p>
            <w:pPr>
              <w:pStyle w:val="TableParagraph"/>
              <w:spacing w:before="0"/>
              <w:ind w:left="0"/>
              <w:rPr>
                <w:sz w:val="16"/>
              </w:rPr>
            </w:pPr>
          </w:p>
        </w:tc>
        <w:tc>
          <w:tcPr>
            <w:tcW w:w="905" w:type="dxa"/>
            <w:tcBorders>
              <w:bottom w:val="single" w:sz="4" w:space="0" w:color="000000"/>
            </w:tcBorders>
          </w:tcPr>
          <w:p>
            <w:pPr>
              <w:pStyle w:val="TableParagraph"/>
              <w:ind w:left="307"/>
              <w:rPr>
                <w:sz w:val="16"/>
              </w:rPr>
            </w:pPr>
            <w:r>
              <w:rPr>
                <w:spacing w:val="-2"/>
                <w:sz w:val="16"/>
              </w:rPr>
              <w:t>Range</w:t>
            </w:r>
          </w:p>
        </w:tc>
        <w:tc>
          <w:tcPr>
            <w:tcW w:w="1252" w:type="dxa"/>
            <w:tcBorders>
              <w:bottom w:val="single" w:sz="4" w:space="0" w:color="000000"/>
            </w:tcBorders>
          </w:tcPr>
          <w:p>
            <w:pPr>
              <w:pStyle w:val="TableParagraph"/>
              <w:rPr>
                <w:sz w:val="16"/>
              </w:rPr>
            </w:pPr>
            <w:r>
              <w:rPr>
                <w:spacing w:val="-2"/>
                <w:sz w:val="16"/>
              </w:rPr>
              <w:t>138.7-175.8</w:t>
            </w:r>
          </w:p>
        </w:tc>
        <w:tc>
          <w:tcPr>
            <w:tcW w:w="1244" w:type="dxa"/>
            <w:tcBorders>
              <w:bottom w:val="single" w:sz="4" w:space="0" w:color="000000"/>
            </w:tcBorders>
          </w:tcPr>
          <w:p>
            <w:pPr>
              <w:pStyle w:val="TableParagraph"/>
              <w:ind w:left="109"/>
              <w:rPr>
                <w:sz w:val="16"/>
              </w:rPr>
            </w:pPr>
            <w:r>
              <w:rPr>
                <w:spacing w:val="-2"/>
                <w:sz w:val="16"/>
              </w:rPr>
              <w:t>138.7-165.0</w:t>
            </w:r>
          </w:p>
        </w:tc>
        <w:tc>
          <w:tcPr>
            <w:tcW w:w="1103" w:type="dxa"/>
            <w:tcBorders>
              <w:bottom w:val="single" w:sz="4" w:space="0" w:color="000000"/>
            </w:tcBorders>
          </w:tcPr>
          <w:p>
            <w:pPr>
              <w:pStyle w:val="TableParagraph"/>
              <w:ind w:left="109"/>
              <w:rPr>
                <w:sz w:val="16"/>
              </w:rPr>
            </w:pPr>
            <w:r>
              <w:rPr>
                <w:sz w:val="16"/>
              </w:rPr>
              <w:t>145.5</w:t>
            </w:r>
            <w:r>
              <w:rPr>
                <w:spacing w:val="-7"/>
                <w:sz w:val="16"/>
              </w:rPr>
              <w:t> </w:t>
            </w:r>
            <w:r>
              <w:rPr>
                <w:sz w:val="16"/>
              </w:rPr>
              <w:t>-</w:t>
            </w:r>
            <w:r>
              <w:rPr>
                <w:spacing w:val="-2"/>
                <w:sz w:val="16"/>
              </w:rPr>
              <w:t>175.8</w:t>
            </w:r>
          </w:p>
        </w:tc>
      </w:tr>
      <w:tr>
        <w:trPr>
          <w:trHeight w:val="249" w:hRule="atLeast"/>
        </w:trPr>
        <w:tc>
          <w:tcPr>
            <w:tcW w:w="1293" w:type="dxa"/>
            <w:tcBorders>
              <w:top w:val="single" w:sz="4" w:space="0" w:color="000000"/>
            </w:tcBorders>
          </w:tcPr>
          <w:p>
            <w:pPr>
              <w:pStyle w:val="TableParagraph"/>
              <w:spacing w:before="30"/>
              <w:ind w:left="107"/>
              <w:rPr>
                <w:sz w:val="16"/>
              </w:rPr>
            </w:pPr>
            <w:r>
              <w:rPr>
                <w:sz w:val="16"/>
              </w:rPr>
              <w:t>STS</w:t>
            </w:r>
            <w:r>
              <w:rPr>
                <w:spacing w:val="-4"/>
                <w:sz w:val="16"/>
              </w:rPr>
              <w:t> </w:t>
            </w:r>
            <w:r>
              <w:rPr>
                <w:spacing w:val="-2"/>
                <w:sz w:val="16"/>
              </w:rPr>
              <w:t>width**</w:t>
            </w:r>
          </w:p>
        </w:tc>
        <w:tc>
          <w:tcPr>
            <w:tcW w:w="905" w:type="dxa"/>
            <w:tcBorders>
              <w:top w:val="single" w:sz="4" w:space="0" w:color="000000"/>
            </w:tcBorders>
          </w:tcPr>
          <w:p>
            <w:pPr>
              <w:pStyle w:val="TableParagraph"/>
              <w:spacing w:before="30"/>
              <w:ind w:left="308"/>
              <w:rPr>
                <w:sz w:val="16"/>
              </w:rPr>
            </w:pPr>
            <w:r>
              <w:rPr>
                <w:spacing w:val="-4"/>
                <w:sz w:val="16"/>
              </w:rPr>
              <w:t>Mean</w:t>
            </w:r>
          </w:p>
        </w:tc>
        <w:tc>
          <w:tcPr>
            <w:tcW w:w="1252" w:type="dxa"/>
            <w:tcBorders>
              <w:top w:val="single" w:sz="4" w:space="0" w:color="000000"/>
            </w:tcBorders>
          </w:tcPr>
          <w:p>
            <w:pPr>
              <w:pStyle w:val="TableParagraph"/>
              <w:spacing w:before="30"/>
              <w:ind w:left="109"/>
              <w:rPr>
                <w:sz w:val="16"/>
              </w:rPr>
            </w:pPr>
            <w:r>
              <w:rPr>
                <w:spacing w:val="-2"/>
                <w:sz w:val="16"/>
              </w:rPr>
              <w:t>136.1±7.3</w:t>
            </w:r>
          </w:p>
        </w:tc>
        <w:tc>
          <w:tcPr>
            <w:tcW w:w="1244" w:type="dxa"/>
            <w:tcBorders>
              <w:top w:val="single" w:sz="4" w:space="0" w:color="000000"/>
            </w:tcBorders>
          </w:tcPr>
          <w:p>
            <w:pPr>
              <w:pStyle w:val="TableParagraph"/>
              <w:spacing w:before="30"/>
              <w:ind w:left="109"/>
              <w:rPr>
                <w:sz w:val="16"/>
              </w:rPr>
            </w:pPr>
            <w:r>
              <w:rPr>
                <w:spacing w:val="-2"/>
                <w:sz w:val="16"/>
              </w:rPr>
              <w:t>133.3±7.0</w:t>
            </w:r>
          </w:p>
        </w:tc>
        <w:tc>
          <w:tcPr>
            <w:tcW w:w="1103" w:type="dxa"/>
            <w:tcBorders>
              <w:top w:val="single" w:sz="4" w:space="0" w:color="000000"/>
            </w:tcBorders>
          </w:tcPr>
          <w:p>
            <w:pPr>
              <w:pStyle w:val="TableParagraph"/>
              <w:spacing w:before="30"/>
              <w:ind w:left="109"/>
              <w:rPr>
                <w:sz w:val="16"/>
              </w:rPr>
            </w:pPr>
            <w:r>
              <w:rPr>
                <w:spacing w:val="-2"/>
                <w:sz w:val="16"/>
              </w:rPr>
              <w:t>138.9±6.6</w:t>
            </w:r>
          </w:p>
        </w:tc>
      </w:tr>
      <w:tr>
        <w:trPr>
          <w:trHeight w:val="239" w:hRule="atLeast"/>
        </w:trPr>
        <w:tc>
          <w:tcPr>
            <w:tcW w:w="1293" w:type="dxa"/>
          </w:tcPr>
          <w:p>
            <w:pPr>
              <w:pStyle w:val="TableParagraph"/>
              <w:spacing w:before="0"/>
              <w:ind w:left="0"/>
              <w:rPr>
                <w:sz w:val="16"/>
              </w:rPr>
            </w:pPr>
          </w:p>
        </w:tc>
        <w:tc>
          <w:tcPr>
            <w:tcW w:w="905" w:type="dxa"/>
          </w:tcPr>
          <w:p>
            <w:pPr>
              <w:pStyle w:val="TableParagraph"/>
              <w:ind w:left="307"/>
              <w:rPr>
                <w:sz w:val="16"/>
              </w:rPr>
            </w:pPr>
            <w:r>
              <w:rPr>
                <w:spacing w:val="-2"/>
                <w:sz w:val="16"/>
              </w:rPr>
              <w:t>Median</w:t>
            </w:r>
          </w:p>
        </w:tc>
        <w:tc>
          <w:tcPr>
            <w:tcW w:w="1252" w:type="dxa"/>
          </w:tcPr>
          <w:p>
            <w:pPr>
              <w:pStyle w:val="TableParagraph"/>
              <w:rPr>
                <w:sz w:val="16"/>
              </w:rPr>
            </w:pPr>
            <w:r>
              <w:rPr>
                <w:spacing w:val="-2"/>
                <w:sz w:val="16"/>
              </w:rPr>
              <w:t>135.7</w:t>
            </w:r>
          </w:p>
        </w:tc>
        <w:tc>
          <w:tcPr>
            <w:tcW w:w="1244" w:type="dxa"/>
          </w:tcPr>
          <w:p>
            <w:pPr>
              <w:pStyle w:val="TableParagraph"/>
              <w:rPr>
                <w:sz w:val="16"/>
              </w:rPr>
            </w:pPr>
            <w:r>
              <w:rPr>
                <w:spacing w:val="-2"/>
                <w:sz w:val="16"/>
              </w:rPr>
              <w:t>134.8</w:t>
            </w:r>
          </w:p>
        </w:tc>
        <w:tc>
          <w:tcPr>
            <w:tcW w:w="1103" w:type="dxa"/>
          </w:tcPr>
          <w:p>
            <w:pPr>
              <w:pStyle w:val="TableParagraph"/>
              <w:ind w:left="109"/>
              <w:rPr>
                <w:sz w:val="16"/>
              </w:rPr>
            </w:pPr>
            <w:r>
              <w:rPr>
                <w:spacing w:val="-2"/>
                <w:sz w:val="16"/>
              </w:rPr>
              <w:t>137.7</w:t>
            </w:r>
          </w:p>
        </w:tc>
      </w:tr>
      <w:tr>
        <w:trPr>
          <w:trHeight w:val="229" w:hRule="atLeast"/>
        </w:trPr>
        <w:tc>
          <w:tcPr>
            <w:tcW w:w="1293" w:type="dxa"/>
            <w:tcBorders>
              <w:bottom w:val="single" w:sz="4" w:space="0" w:color="000000"/>
            </w:tcBorders>
          </w:tcPr>
          <w:p>
            <w:pPr>
              <w:pStyle w:val="TableParagraph"/>
              <w:spacing w:before="0"/>
              <w:ind w:left="0"/>
              <w:rPr>
                <w:sz w:val="16"/>
              </w:rPr>
            </w:pPr>
          </w:p>
        </w:tc>
        <w:tc>
          <w:tcPr>
            <w:tcW w:w="905" w:type="dxa"/>
            <w:tcBorders>
              <w:bottom w:val="single" w:sz="4" w:space="0" w:color="000000"/>
            </w:tcBorders>
          </w:tcPr>
          <w:p>
            <w:pPr>
              <w:pStyle w:val="TableParagraph"/>
              <w:ind w:left="307"/>
              <w:rPr>
                <w:sz w:val="16"/>
              </w:rPr>
            </w:pPr>
            <w:r>
              <w:rPr>
                <w:spacing w:val="-2"/>
                <w:sz w:val="16"/>
              </w:rPr>
              <w:t>Range</w:t>
            </w:r>
          </w:p>
        </w:tc>
        <w:tc>
          <w:tcPr>
            <w:tcW w:w="1252" w:type="dxa"/>
            <w:tcBorders>
              <w:bottom w:val="single" w:sz="4" w:space="0" w:color="000000"/>
            </w:tcBorders>
          </w:tcPr>
          <w:p>
            <w:pPr>
              <w:pStyle w:val="TableParagraph"/>
              <w:rPr>
                <w:sz w:val="16"/>
              </w:rPr>
            </w:pPr>
            <w:r>
              <w:rPr>
                <w:spacing w:val="-2"/>
                <w:sz w:val="16"/>
              </w:rPr>
              <w:t>116.7-150.9</w:t>
            </w:r>
          </w:p>
        </w:tc>
        <w:tc>
          <w:tcPr>
            <w:tcW w:w="1244" w:type="dxa"/>
            <w:tcBorders>
              <w:bottom w:val="single" w:sz="4" w:space="0" w:color="000000"/>
            </w:tcBorders>
          </w:tcPr>
          <w:p>
            <w:pPr>
              <w:pStyle w:val="TableParagraph"/>
              <w:ind w:left="109"/>
              <w:rPr>
                <w:sz w:val="16"/>
              </w:rPr>
            </w:pPr>
            <w:r>
              <w:rPr>
                <w:spacing w:val="-2"/>
                <w:sz w:val="16"/>
              </w:rPr>
              <w:t>116.7-146.0</w:t>
            </w:r>
          </w:p>
        </w:tc>
        <w:tc>
          <w:tcPr>
            <w:tcW w:w="1103" w:type="dxa"/>
            <w:tcBorders>
              <w:bottom w:val="single" w:sz="4" w:space="0" w:color="000000"/>
            </w:tcBorders>
          </w:tcPr>
          <w:p>
            <w:pPr>
              <w:pStyle w:val="TableParagraph"/>
              <w:ind w:left="109"/>
              <w:rPr>
                <w:sz w:val="16"/>
              </w:rPr>
            </w:pPr>
            <w:r>
              <w:rPr>
                <w:spacing w:val="-2"/>
                <w:sz w:val="16"/>
              </w:rPr>
              <w:t>125.5-150.9</w:t>
            </w:r>
          </w:p>
        </w:tc>
      </w:tr>
      <w:tr>
        <w:trPr>
          <w:trHeight w:val="220" w:hRule="atLeast"/>
        </w:trPr>
        <w:tc>
          <w:tcPr>
            <w:tcW w:w="1293" w:type="dxa"/>
            <w:tcBorders>
              <w:top w:val="single" w:sz="4" w:space="0" w:color="000000"/>
            </w:tcBorders>
          </w:tcPr>
          <w:p>
            <w:pPr>
              <w:pStyle w:val="TableParagraph"/>
              <w:spacing w:line="169" w:lineRule="exact" w:before="31"/>
              <w:ind w:left="107"/>
              <w:rPr>
                <w:sz w:val="16"/>
              </w:rPr>
            </w:pPr>
            <w:r>
              <w:rPr>
                <w:sz w:val="16"/>
              </w:rPr>
              <w:t>STS</w:t>
            </w:r>
            <w:r>
              <w:rPr>
                <w:spacing w:val="-4"/>
                <w:sz w:val="16"/>
              </w:rPr>
              <w:t> </w:t>
            </w:r>
            <w:r>
              <w:rPr>
                <w:spacing w:val="-2"/>
                <w:sz w:val="16"/>
              </w:rPr>
              <w:t>height**</w:t>
            </w:r>
          </w:p>
        </w:tc>
        <w:tc>
          <w:tcPr>
            <w:tcW w:w="905" w:type="dxa"/>
            <w:tcBorders>
              <w:top w:val="single" w:sz="4" w:space="0" w:color="000000"/>
            </w:tcBorders>
          </w:tcPr>
          <w:p>
            <w:pPr>
              <w:pStyle w:val="TableParagraph"/>
              <w:spacing w:line="169" w:lineRule="exact" w:before="31"/>
              <w:ind w:left="308"/>
              <w:rPr>
                <w:sz w:val="16"/>
              </w:rPr>
            </w:pPr>
            <w:r>
              <w:rPr>
                <w:spacing w:val="-4"/>
                <w:sz w:val="16"/>
              </w:rPr>
              <w:t>Mean</w:t>
            </w:r>
          </w:p>
        </w:tc>
        <w:tc>
          <w:tcPr>
            <w:tcW w:w="1252" w:type="dxa"/>
            <w:tcBorders>
              <w:top w:val="single" w:sz="4" w:space="0" w:color="000000"/>
            </w:tcBorders>
          </w:tcPr>
          <w:p>
            <w:pPr>
              <w:pStyle w:val="TableParagraph"/>
              <w:spacing w:line="169" w:lineRule="exact" w:before="31"/>
              <w:ind w:left="109"/>
              <w:rPr>
                <w:sz w:val="16"/>
              </w:rPr>
            </w:pPr>
            <w:r>
              <w:rPr>
                <w:spacing w:val="-2"/>
                <w:sz w:val="16"/>
              </w:rPr>
              <w:t>90.3±4.5</w:t>
            </w:r>
          </w:p>
        </w:tc>
        <w:tc>
          <w:tcPr>
            <w:tcW w:w="1244" w:type="dxa"/>
            <w:tcBorders>
              <w:top w:val="single" w:sz="4" w:space="0" w:color="000000"/>
            </w:tcBorders>
          </w:tcPr>
          <w:p>
            <w:pPr>
              <w:pStyle w:val="TableParagraph"/>
              <w:spacing w:line="169" w:lineRule="exact" w:before="31"/>
              <w:ind w:left="109"/>
              <w:rPr>
                <w:sz w:val="16"/>
              </w:rPr>
            </w:pPr>
            <w:r>
              <w:rPr>
                <w:spacing w:val="-2"/>
                <w:sz w:val="16"/>
              </w:rPr>
              <w:t>88.6±4.5</w:t>
            </w:r>
          </w:p>
        </w:tc>
        <w:tc>
          <w:tcPr>
            <w:tcW w:w="1103" w:type="dxa"/>
            <w:tcBorders>
              <w:top w:val="single" w:sz="4" w:space="0" w:color="000000"/>
            </w:tcBorders>
          </w:tcPr>
          <w:p>
            <w:pPr>
              <w:pStyle w:val="TableParagraph"/>
              <w:spacing w:line="169" w:lineRule="exact" w:before="31"/>
              <w:ind w:left="109"/>
              <w:rPr>
                <w:sz w:val="16"/>
              </w:rPr>
            </w:pPr>
            <w:r>
              <w:rPr>
                <w:spacing w:val="-2"/>
                <w:sz w:val="16"/>
              </w:rPr>
              <w:t>92.0±3.8</w:t>
            </w:r>
          </w:p>
        </w:tc>
      </w:tr>
    </w:tbl>
    <w:p>
      <w:pPr>
        <w:spacing w:after="0" w:line="169" w:lineRule="exact"/>
        <w:rPr>
          <w:sz w:val="16"/>
        </w:rPr>
        <w:sectPr>
          <w:pgSz w:w="10890" w:h="14860"/>
          <w:pgMar w:header="713" w:footer="0" w:top="900" w:bottom="280" w:left="520" w:right="540"/>
        </w:sectPr>
      </w:pPr>
    </w:p>
    <w:p>
      <w:pPr>
        <w:pStyle w:val="BodyText"/>
        <w:spacing w:before="115"/>
      </w:pPr>
    </w:p>
    <w:tbl>
      <w:tblPr>
        <w:tblW w:w="0" w:type="auto"/>
        <w:jc w:val="left"/>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2"/>
        <w:gridCol w:w="706"/>
        <w:gridCol w:w="1082"/>
        <w:gridCol w:w="1249"/>
        <w:gridCol w:w="1270"/>
      </w:tblGrid>
      <w:tr>
        <w:trPr>
          <w:trHeight w:val="210" w:hRule="atLeast"/>
        </w:trPr>
        <w:tc>
          <w:tcPr>
            <w:tcW w:w="1492" w:type="dxa"/>
          </w:tcPr>
          <w:p>
            <w:pPr>
              <w:pStyle w:val="TableParagraph"/>
              <w:spacing w:before="0"/>
              <w:ind w:left="0"/>
              <w:rPr>
                <w:sz w:val="14"/>
              </w:rPr>
            </w:pPr>
          </w:p>
        </w:tc>
        <w:tc>
          <w:tcPr>
            <w:tcW w:w="706" w:type="dxa"/>
          </w:tcPr>
          <w:p>
            <w:pPr>
              <w:pStyle w:val="TableParagraph"/>
              <w:spacing w:line="175" w:lineRule="exact" w:before="0"/>
              <w:ind w:left="76" w:right="75"/>
              <w:jc w:val="center"/>
              <w:rPr>
                <w:sz w:val="16"/>
              </w:rPr>
            </w:pPr>
            <w:r>
              <w:rPr>
                <w:spacing w:val="-2"/>
                <w:sz w:val="16"/>
              </w:rPr>
              <w:t>Median</w:t>
            </w:r>
          </w:p>
        </w:tc>
        <w:tc>
          <w:tcPr>
            <w:tcW w:w="1082" w:type="dxa"/>
          </w:tcPr>
          <w:p>
            <w:pPr>
              <w:pStyle w:val="TableParagraph"/>
              <w:spacing w:line="175" w:lineRule="exact" w:before="0"/>
              <w:rPr>
                <w:sz w:val="16"/>
              </w:rPr>
            </w:pPr>
            <w:r>
              <w:rPr>
                <w:spacing w:val="-4"/>
                <w:sz w:val="16"/>
              </w:rPr>
              <w:t>90.0</w:t>
            </w:r>
          </w:p>
        </w:tc>
        <w:tc>
          <w:tcPr>
            <w:tcW w:w="1249" w:type="dxa"/>
          </w:tcPr>
          <w:p>
            <w:pPr>
              <w:pStyle w:val="TableParagraph"/>
              <w:spacing w:line="175" w:lineRule="exact" w:before="0"/>
              <w:ind w:left="278"/>
              <w:rPr>
                <w:sz w:val="16"/>
              </w:rPr>
            </w:pPr>
            <w:r>
              <w:rPr>
                <w:spacing w:val="-4"/>
                <w:sz w:val="16"/>
              </w:rPr>
              <w:t>90.0</w:t>
            </w:r>
          </w:p>
        </w:tc>
        <w:tc>
          <w:tcPr>
            <w:tcW w:w="1270" w:type="dxa"/>
          </w:tcPr>
          <w:p>
            <w:pPr>
              <w:pStyle w:val="TableParagraph"/>
              <w:spacing w:line="175" w:lineRule="exact" w:before="0"/>
              <w:ind w:left="274"/>
              <w:rPr>
                <w:sz w:val="16"/>
              </w:rPr>
            </w:pPr>
            <w:r>
              <w:rPr>
                <w:spacing w:val="-4"/>
                <w:sz w:val="16"/>
              </w:rPr>
              <w:t>90.0</w:t>
            </w:r>
          </w:p>
        </w:tc>
      </w:tr>
      <w:tr>
        <w:trPr>
          <w:trHeight w:val="229" w:hRule="atLeast"/>
        </w:trPr>
        <w:tc>
          <w:tcPr>
            <w:tcW w:w="1492" w:type="dxa"/>
            <w:tcBorders>
              <w:bottom w:val="single" w:sz="4" w:space="0" w:color="000000"/>
            </w:tcBorders>
          </w:tcPr>
          <w:p>
            <w:pPr>
              <w:pStyle w:val="TableParagraph"/>
              <w:spacing w:before="0"/>
              <w:ind w:left="0"/>
              <w:rPr>
                <w:sz w:val="16"/>
              </w:rPr>
            </w:pPr>
          </w:p>
        </w:tc>
        <w:tc>
          <w:tcPr>
            <w:tcW w:w="706" w:type="dxa"/>
            <w:tcBorders>
              <w:bottom w:val="single" w:sz="4" w:space="0" w:color="000000"/>
            </w:tcBorders>
          </w:tcPr>
          <w:p>
            <w:pPr>
              <w:pStyle w:val="TableParagraph"/>
              <w:ind w:left="1" w:right="76"/>
              <w:jc w:val="center"/>
              <w:rPr>
                <w:sz w:val="16"/>
              </w:rPr>
            </w:pPr>
            <w:r>
              <w:rPr>
                <w:spacing w:val="-2"/>
                <w:sz w:val="16"/>
              </w:rPr>
              <w:t>Range</w:t>
            </w:r>
          </w:p>
        </w:tc>
        <w:tc>
          <w:tcPr>
            <w:tcW w:w="1082" w:type="dxa"/>
            <w:tcBorders>
              <w:bottom w:val="single" w:sz="4" w:space="0" w:color="000000"/>
            </w:tcBorders>
          </w:tcPr>
          <w:p>
            <w:pPr>
              <w:pStyle w:val="TableParagraph"/>
              <w:rPr>
                <w:sz w:val="16"/>
              </w:rPr>
            </w:pPr>
            <w:r>
              <w:rPr>
                <w:spacing w:val="-2"/>
                <w:sz w:val="16"/>
              </w:rPr>
              <w:t>75.0-100.0</w:t>
            </w:r>
          </w:p>
        </w:tc>
        <w:tc>
          <w:tcPr>
            <w:tcW w:w="1249" w:type="dxa"/>
            <w:tcBorders>
              <w:bottom w:val="single" w:sz="4" w:space="0" w:color="000000"/>
            </w:tcBorders>
          </w:tcPr>
          <w:p>
            <w:pPr>
              <w:pStyle w:val="TableParagraph"/>
              <w:ind w:left="279"/>
              <w:rPr>
                <w:sz w:val="16"/>
              </w:rPr>
            </w:pPr>
            <w:r>
              <w:rPr>
                <w:spacing w:val="-2"/>
                <w:sz w:val="16"/>
              </w:rPr>
              <w:t>75.0-</w:t>
            </w:r>
            <w:r>
              <w:rPr>
                <w:spacing w:val="-4"/>
                <w:sz w:val="16"/>
              </w:rPr>
              <w:t>95.0</w:t>
            </w:r>
          </w:p>
        </w:tc>
        <w:tc>
          <w:tcPr>
            <w:tcW w:w="1270" w:type="dxa"/>
            <w:tcBorders>
              <w:bottom w:val="single" w:sz="4" w:space="0" w:color="000000"/>
            </w:tcBorders>
          </w:tcPr>
          <w:p>
            <w:pPr>
              <w:pStyle w:val="TableParagraph"/>
              <w:ind w:left="274"/>
              <w:rPr>
                <w:sz w:val="16"/>
              </w:rPr>
            </w:pPr>
            <w:r>
              <w:rPr>
                <w:spacing w:val="-2"/>
                <w:sz w:val="16"/>
              </w:rPr>
              <w:t>85.0-100.0</w:t>
            </w:r>
          </w:p>
        </w:tc>
      </w:tr>
      <w:tr>
        <w:trPr>
          <w:trHeight w:val="250" w:hRule="atLeast"/>
        </w:trPr>
        <w:tc>
          <w:tcPr>
            <w:tcW w:w="1492" w:type="dxa"/>
            <w:tcBorders>
              <w:top w:val="single" w:sz="4" w:space="0" w:color="000000"/>
            </w:tcBorders>
          </w:tcPr>
          <w:p>
            <w:pPr>
              <w:pStyle w:val="TableParagraph"/>
              <w:spacing w:before="31"/>
              <w:rPr>
                <w:sz w:val="16"/>
              </w:rPr>
            </w:pPr>
            <w:r>
              <w:rPr>
                <w:sz w:val="16"/>
              </w:rPr>
              <w:t>Midbrain</w:t>
            </w:r>
            <w:r>
              <w:rPr>
                <w:spacing w:val="-7"/>
                <w:sz w:val="16"/>
              </w:rPr>
              <w:t> </w:t>
            </w:r>
            <w:r>
              <w:rPr>
                <w:spacing w:val="-2"/>
                <w:sz w:val="16"/>
              </w:rPr>
              <w:t>length***</w:t>
            </w:r>
          </w:p>
        </w:tc>
        <w:tc>
          <w:tcPr>
            <w:tcW w:w="706" w:type="dxa"/>
            <w:tcBorders>
              <w:top w:val="single" w:sz="4" w:space="0" w:color="000000"/>
            </w:tcBorders>
          </w:tcPr>
          <w:p>
            <w:pPr>
              <w:pStyle w:val="TableParagraph"/>
              <w:spacing w:before="31"/>
              <w:ind w:left="5" w:right="124"/>
              <w:jc w:val="center"/>
              <w:rPr>
                <w:sz w:val="16"/>
              </w:rPr>
            </w:pPr>
            <w:r>
              <w:rPr>
                <w:spacing w:val="-4"/>
                <w:sz w:val="16"/>
              </w:rPr>
              <w:t>Mean</w:t>
            </w:r>
          </w:p>
        </w:tc>
        <w:tc>
          <w:tcPr>
            <w:tcW w:w="1082" w:type="dxa"/>
            <w:tcBorders>
              <w:top w:val="single" w:sz="4" w:space="0" w:color="000000"/>
            </w:tcBorders>
          </w:tcPr>
          <w:p>
            <w:pPr>
              <w:pStyle w:val="TableParagraph"/>
              <w:spacing w:before="31"/>
              <w:ind w:left="109"/>
              <w:rPr>
                <w:sz w:val="16"/>
              </w:rPr>
            </w:pPr>
            <w:r>
              <w:rPr>
                <w:spacing w:val="-2"/>
                <w:sz w:val="16"/>
              </w:rPr>
              <w:t>30.9±2.5</w:t>
            </w:r>
          </w:p>
        </w:tc>
        <w:tc>
          <w:tcPr>
            <w:tcW w:w="1249" w:type="dxa"/>
            <w:tcBorders>
              <w:top w:val="single" w:sz="4" w:space="0" w:color="000000"/>
            </w:tcBorders>
          </w:tcPr>
          <w:p>
            <w:pPr>
              <w:pStyle w:val="TableParagraph"/>
              <w:spacing w:before="31"/>
              <w:ind w:left="280"/>
              <w:rPr>
                <w:sz w:val="16"/>
              </w:rPr>
            </w:pPr>
            <w:r>
              <w:rPr>
                <w:spacing w:val="-2"/>
                <w:sz w:val="16"/>
              </w:rPr>
              <w:t>29.6±2.3</w:t>
            </w:r>
          </w:p>
        </w:tc>
        <w:tc>
          <w:tcPr>
            <w:tcW w:w="1270" w:type="dxa"/>
            <w:tcBorders>
              <w:top w:val="single" w:sz="4" w:space="0" w:color="000000"/>
            </w:tcBorders>
          </w:tcPr>
          <w:p>
            <w:pPr>
              <w:pStyle w:val="TableParagraph"/>
              <w:spacing w:before="31"/>
              <w:ind w:left="275"/>
              <w:rPr>
                <w:sz w:val="16"/>
              </w:rPr>
            </w:pPr>
            <w:r>
              <w:rPr>
                <w:spacing w:val="-2"/>
                <w:sz w:val="16"/>
              </w:rPr>
              <w:t>32.1±2.1</w:t>
            </w:r>
          </w:p>
        </w:tc>
      </w:tr>
      <w:tr>
        <w:trPr>
          <w:trHeight w:val="240" w:hRule="atLeast"/>
        </w:trPr>
        <w:tc>
          <w:tcPr>
            <w:tcW w:w="1492" w:type="dxa"/>
          </w:tcPr>
          <w:p>
            <w:pPr>
              <w:pStyle w:val="TableParagraph"/>
              <w:spacing w:before="0"/>
              <w:ind w:left="0"/>
              <w:rPr>
                <w:sz w:val="16"/>
              </w:rPr>
            </w:pPr>
          </w:p>
        </w:tc>
        <w:tc>
          <w:tcPr>
            <w:tcW w:w="706" w:type="dxa"/>
          </w:tcPr>
          <w:p>
            <w:pPr>
              <w:pStyle w:val="TableParagraph"/>
              <w:ind w:left="75" w:right="75"/>
              <w:jc w:val="center"/>
              <w:rPr>
                <w:sz w:val="16"/>
              </w:rPr>
            </w:pPr>
            <w:r>
              <w:rPr>
                <w:spacing w:val="-2"/>
                <w:sz w:val="16"/>
              </w:rPr>
              <w:t>Median</w:t>
            </w:r>
          </w:p>
        </w:tc>
        <w:tc>
          <w:tcPr>
            <w:tcW w:w="1082" w:type="dxa"/>
          </w:tcPr>
          <w:p>
            <w:pPr>
              <w:pStyle w:val="TableParagraph"/>
              <w:rPr>
                <w:sz w:val="16"/>
              </w:rPr>
            </w:pPr>
            <w:r>
              <w:rPr>
                <w:spacing w:val="-4"/>
                <w:sz w:val="16"/>
              </w:rPr>
              <w:t>30.7</w:t>
            </w:r>
          </w:p>
        </w:tc>
        <w:tc>
          <w:tcPr>
            <w:tcW w:w="1249" w:type="dxa"/>
          </w:tcPr>
          <w:p>
            <w:pPr>
              <w:pStyle w:val="TableParagraph"/>
              <w:ind w:left="278"/>
              <w:rPr>
                <w:sz w:val="16"/>
              </w:rPr>
            </w:pPr>
            <w:r>
              <w:rPr>
                <w:spacing w:val="-4"/>
                <w:sz w:val="16"/>
              </w:rPr>
              <w:t>30.3</w:t>
            </w:r>
          </w:p>
        </w:tc>
        <w:tc>
          <w:tcPr>
            <w:tcW w:w="1270" w:type="dxa"/>
          </w:tcPr>
          <w:p>
            <w:pPr>
              <w:pStyle w:val="TableParagraph"/>
              <w:ind w:left="274"/>
              <w:rPr>
                <w:sz w:val="16"/>
              </w:rPr>
            </w:pPr>
            <w:r>
              <w:rPr>
                <w:spacing w:val="-4"/>
                <w:sz w:val="16"/>
              </w:rPr>
              <w:t>32.2</w:t>
            </w:r>
          </w:p>
        </w:tc>
      </w:tr>
      <w:tr>
        <w:trPr>
          <w:trHeight w:val="229" w:hRule="atLeast"/>
        </w:trPr>
        <w:tc>
          <w:tcPr>
            <w:tcW w:w="1492" w:type="dxa"/>
            <w:tcBorders>
              <w:bottom w:val="single" w:sz="4" w:space="0" w:color="000000"/>
            </w:tcBorders>
          </w:tcPr>
          <w:p>
            <w:pPr>
              <w:pStyle w:val="TableParagraph"/>
              <w:spacing w:before="0"/>
              <w:ind w:left="0"/>
              <w:rPr>
                <w:sz w:val="16"/>
              </w:rPr>
            </w:pPr>
          </w:p>
        </w:tc>
        <w:tc>
          <w:tcPr>
            <w:tcW w:w="706" w:type="dxa"/>
            <w:tcBorders>
              <w:bottom w:val="single" w:sz="4" w:space="0" w:color="000000"/>
            </w:tcBorders>
          </w:tcPr>
          <w:p>
            <w:pPr>
              <w:pStyle w:val="TableParagraph"/>
              <w:ind w:left="1" w:right="76"/>
              <w:jc w:val="center"/>
              <w:rPr>
                <w:sz w:val="16"/>
              </w:rPr>
            </w:pPr>
            <w:r>
              <w:rPr>
                <w:spacing w:val="-2"/>
                <w:sz w:val="16"/>
              </w:rPr>
              <w:t>Range</w:t>
            </w:r>
          </w:p>
        </w:tc>
        <w:tc>
          <w:tcPr>
            <w:tcW w:w="1082" w:type="dxa"/>
            <w:tcBorders>
              <w:bottom w:val="single" w:sz="4" w:space="0" w:color="000000"/>
            </w:tcBorders>
          </w:tcPr>
          <w:p>
            <w:pPr>
              <w:pStyle w:val="TableParagraph"/>
              <w:rPr>
                <w:sz w:val="16"/>
              </w:rPr>
            </w:pPr>
            <w:r>
              <w:rPr>
                <w:spacing w:val="-2"/>
                <w:sz w:val="16"/>
              </w:rPr>
              <w:t>24.9-</w:t>
            </w:r>
            <w:r>
              <w:rPr>
                <w:spacing w:val="-4"/>
                <w:sz w:val="16"/>
              </w:rPr>
              <w:t>36.1</w:t>
            </w:r>
          </w:p>
        </w:tc>
        <w:tc>
          <w:tcPr>
            <w:tcW w:w="1249" w:type="dxa"/>
            <w:tcBorders>
              <w:bottom w:val="single" w:sz="4" w:space="0" w:color="000000"/>
            </w:tcBorders>
          </w:tcPr>
          <w:p>
            <w:pPr>
              <w:pStyle w:val="TableParagraph"/>
              <w:ind w:left="279"/>
              <w:rPr>
                <w:sz w:val="16"/>
              </w:rPr>
            </w:pPr>
            <w:r>
              <w:rPr>
                <w:spacing w:val="-2"/>
                <w:sz w:val="16"/>
              </w:rPr>
              <w:t>24.9-</w:t>
            </w:r>
            <w:r>
              <w:rPr>
                <w:spacing w:val="-4"/>
                <w:sz w:val="16"/>
              </w:rPr>
              <w:t>33.7</w:t>
            </w:r>
          </w:p>
        </w:tc>
        <w:tc>
          <w:tcPr>
            <w:tcW w:w="1270" w:type="dxa"/>
            <w:tcBorders>
              <w:bottom w:val="single" w:sz="4" w:space="0" w:color="000000"/>
            </w:tcBorders>
          </w:tcPr>
          <w:p>
            <w:pPr>
              <w:pStyle w:val="TableParagraph"/>
              <w:ind w:left="274"/>
              <w:rPr>
                <w:sz w:val="16"/>
              </w:rPr>
            </w:pPr>
            <w:r>
              <w:rPr>
                <w:spacing w:val="-2"/>
                <w:sz w:val="16"/>
              </w:rPr>
              <w:t>28.3-</w:t>
            </w:r>
            <w:r>
              <w:rPr>
                <w:spacing w:val="-4"/>
                <w:sz w:val="16"/>
              </w:rPr>
              <w:t>36.1</w:t>
            </w:r>
          </w:p>
        </w:tc>
      </w:tr>
      <w:tr>
        <w:trPr>
          <w:trHeight w:val="249" w:hRule="atLeast"/>
        </w:trPr>
        <w:tc>
          <w:tcPr>
            <w:tcW w:w="1492" w:type="dxa"/>
            <w:tcBorders>
              <w:top w:val="single" w:sz="4" w:space="0" w:color="000000"/>
            </w:tcBorders>
          </w:tcPr>
          <w:p>
            <w:pPr>
              <w:pStyle w:val="TableParagraph"/>
              <w:spacing w:before="30"/>
              <w:rPr>
                <w:sz w:val="16"/>
              </w:rPr>
            </w:pPr>
            <w:r>
              <w:rPr>
                <w:sz w:val="16"/>
              </w:rPr>
              <w:t>Midbrain</w:t>
            </w:r>
            <w:r>
              <w:rPr>
                <w:spacing w:val="-7"/>
                <w:sz w:val="16"/>
              </w:rPr>
              <w:t> </w:t>
            </w:r>
            <w:r>
              <w:rPr>
                <w:spacing w:val="-2"/>
                <w:sz w:val="16"/>
              </w:rPr>
              <w:t>width</w:t>
            </w:r>
          </w:p>
        </w:tc>
        <w:tc>
          <w:tcPr>
            <w:tcW w:w="706" w:type="dxa"/>
            <w:tcBorders>
              <w:top w:val="single" w:sz="4" w:space="0" w:color="000000"/>
            </w:tcBorders>
          </w:tcPr>
          <w:p>
            <w:pPr>
              <w:pStyle w:val="TableParagraph"/>
              <w:spacing w:before="30"/>
              <w:ind w:left="6" w:right="124"/>
              <w:jc w:val="center"/>
              <w:rPr>
                <w:sz w:val="16"/>
              </w:rPr>
            </w:pPr>
            <w:r>
              <w:rPr>
                <w:spacing w:val="-4"/>
                <w:sz w:val="16"/>
              </w:rPr>
              <w:t>Mean</w:t>
            </w:r>
          </w:p>
        </w:tc>
        <w:tc>
          <w:tcPr>
            <w:tcW w:w="1082" w:type="dxa"/>
            <w:tcBorders>
              <w:top w:val="single" w:sz="4" w:space="0" w:color="000000"/>
            </w:tcBorders>
          </w:tcPr>
          <w:p>
            <w:pPr>
              <w:pStyle w:val="TableParagraph"/>
              <w:spacing w:before="30"/>
              <w:ind w:left="110"/>
              <w:rPr>
                <w:sz w:val="16"/>
              </w:rPr>
            </w:pPr>
            <w:r>
              <w:rPr>
                <w:spacing w:val="-2"/>
                <w:sz w:val="16"/>
              </w:rPr>
              <w:t>37.9±4.7</w:t>
            </w:r>
          </w:p>
        </w:tc>
        <w:tc>
          <w:tcPr>
            <w:tcW w:w="1249" w:type="dxa"/>
            <w:tcBorders>
              <w:top w:val="single" w:sz="4" w:space="0" w:color="000000"/>
            </w:tcBorders>
          </w:tcPr>
          <w:p>
            <w:pPr>
              <w:pStyle w:val="TableParagraph"/>
              <w:spacing w:before="30"/>
              <w:ind w:left="280"/>
              <w:rPr>
                <w:sz w:val="16"/>
              </w:rPr>
            </w:pPr>
            <w:r>
              <w:rPr>
                <w:spacing w:val="-2"/>
                <w:sz w:val="16"/>
              </w:rPr>
              <w:t>36.7±4.7</w:t>
            </w:r>
          </w:p>
        </w:tc>
        <w:tc>
          <w:tcPr>
            <w:tcW w:w="1270" w:type="dxa"/>
            <w:tcBorders>
              <w:top w:val="single" w:sz="4" w:space="0" w:color="000000"/>
            </w:tcBorders>
          </w:tcPr>
          <w:p>
            <w:pPr>
              <w:pStyle w:val="TableParagraph"/>
              <w:spacing w:before="30"/>
              <w:ind w:left="275"/>
              <w:rPr>
                <w:sz w:val="16"/>
              </w:rPr>
            </w:pPr>
            <w:r>
              <w:rPr>
                <w:spacing w:val="-2"/>
                <w:sz w:val="16"/>
              </w:rPr>
              <w:t>39.0±4.4</w:t>
            </w:r>
          </w:p>
        </w:tc>
      </w:tr>
      <w:tr>
        <w:trPr>
          <w:trHeight w:val="239" w:hRule="atLeast"/>
        </w:trPr>
        <w:tc>
          <w:tcPr>
            <w:tcW w:w="1492" w:type="dxa"/>
          </w:tcPr>
          <w:p>
            <w:pPr>
              <w:pStyle w:val="TableParagraph"/>
              <w:spacing w:before="0"/>
              <w:ind w:left="0"/>
              <w:rPr>
                <w:sz w:val="16"/>
              </w:rPr>
            </w:pPr>
          </w:p>
        </w:tc>
        <w:tc>
          <w:tcPr>
            <w:tcW w:w="706" w:type="dxa"/>
          </w:tcPr>
          <w:p>
            <w:pPr>
              <w:pStyle w:val="TableParagraph"/>
              <w:ind w:left="75" w:right="75"/>
              <w:jc w:val="center"/>
              <w:rPr>
                <w:sz w:val="16"/>
              </w:rPr>
            </w:pPr>
            <w:r>
              <w:rPr>
                <w:spacing w:val="-2"/>
                <w:sz w:val="16"/>
              </w:rPr>
              <w:t>Median</w:t>
            </w:r>
          </w:p>
        </w:tc>
        <w:tc>
          <w:tcPr>
            <w:tcW w:w="1082" w:type="dxa"/>
          </w:tcPr>
          <w:p>
            <w:pPr>
              <w:pStyle w:val="TableParagraph"/>
              <w:rPr>
                <w:sz w:val="16"/>
              </w:rPr>
            </w:pPr>
            <w:r>
              <w:rPr>
                <w:spacing w:val="-4"/>
                <w:sz w:val="16"/>
              </w:rPr>
              <w:t>36.8</w:t>
            </w:r>
          </w:p>
        </w:tc>
        <w:tc>
          <w:tcPr>
            <w:tcW w:w="1249" w:type="dxa"/>
          </w:tcPr>
          <w:p>
            <w:pPr>
              <w:pStyle w:val="TableParagraph"/>
              <w:ind w:left="278"/>
              <w:rPr>
                <w:sz w:val="16"/>
              </w:rPr>
            </w:pPr>
            <w:r>
              <w:rPr>
                <w:spacing w:val="-4"/>
                <w:sz w:val="16"/>
              </w:rPr>
              <w:t>35.1</w:t>
            </w:r>
          </w:p>
        </w:tc>
        <w:tc>
          <w:tcPr>
            <w:tcW w:w="1270" w:type="dxa"/>
          </w:tcPr>
          <w:p>
            <w:pPr>
              <w:pStyle w:val="TableParagraph"/>
              <w:ind w:left="274"/>
              <w:rPr>
                <w:sz w:val="16"/>
              </w:rPr>
            </w:pPr>
            <w:r>
              <w:rPr>
                <w:spacing w:val="-4"/>
                <w:sz w:val="16"/>
              </w:rPr>
              <w:t>39.0</w:t>
            </w:r>
          </w:p>
        </w:tc>
      </w:tr>
      <w:tr>
        <w:trPr>
          <w:trHeight w:val="229" w:hRule="atLeast"/>
        </w:trPr>
        <w:tc>
          <w:tcPr>
            <w:tcW w:w="1492" w:type="dxa"/>
            <w:tcBorders>
              <w:bottom w:val="single" w:sz="4" w:space="0" w:color="000000"/>
            </w:tcBorders>
          </w:tcPr>
          <w:p>
            <w:pPr>
              <w:pStyle w:val="TableParagraph"/>
              <w:spacing w:before="0"/>
              <w:ind w:left="0"/>
              <w:rPr>
                <w:sz w:val="16"/>
              </w:rPr>
            </w:pPr>
          </w:p>
        </w:tc>
        <w:tc>
          <w:tcPr>
            <w:tcW w:w="706" w:type="dxa"/>
            <w:tcBorders>
              <w:bottom w:val="single" w:sz="4" w:space="0" w:color="000000"/>
            </w:tcBorders>
          </w:tcPr>
          <w:p>
            <w:pPr>
              <w:pStyle w:val="TableParagraph"/>
              <w:ind w:left="1" w:right="76"/>
              <w:jc w:val="center"/>
              <w:rPr>
                <w:sz w:val="16"/>
              </w:rPr>
            </w:pPr>
            <w:r>
              <w:rPr>
                <w:spacing w:val="-2"/>
                <w:sz w:val="16"/>
              </w:rPr>
              <w:t>Range</w:t>
            </w:r>
          </w:p>
        </w:tc>
        <w:tc>
          <w:tcPr>
            <w:tcW w:w="1082" w:type="dxa"/>
            <w:tcBorders>
              <w:bottom w:val="single" w:sz="4" w:space="0" w:color="000000"/>
            </w:tcBorders>
          </w:tcPr>
          <w:p>
            <w:pPr>
              <w:pStyle w:val="TableParagraph"/>
              <w:rPr>
                <w:sz w:val="16"/>
              </w:rPr>
            </w:pPr>
            <w:r>
              <w:rPr>
                <w:spacing w:val="-2"/>
                <w:sz w:val="16"/>
              </w:rPr>
              <w:t>30.3-</w:t>
            </w:r>
            <w:r>
              <w:rPr>
                <w:spacing w:val="-4"/>
                <w:sz w:val="16"/>
              </w:rPr>
              <w:t>48.3</w:t>
            </w:r>
          </w:p>
        </w:tc>
        <w:tc>
          <w:tcPr>
            <w:tcW w:w="1249" w:type="dxa"/>
            <w:tcBorders>
              <w:bottom w:val="single" w:sz="4" w:space="0" w:color="000000"/>
            </w:tcBorders>
          </w:tcPr>
          <w:p>
            <w:pPr>
              <w:pStyle w:val="TableParagraph"/>
              <w:ind w:left="279"/>
              <w:rPr>
                <w:sz w:val="16"/>
              </w:rPr>
            </w:pPr>
            <w:r>
              <w:rPr>
                <w:spacing w:val="-2"/>
                <w:sz w:val="16"/>
              </w:rPr>
              <w:t>30.3-</w:t>
            </w:r>
            <w:r>
              <w:rPr>
                <w:spacing w:val="-4"/>
                <w:sz w:val="16"/>
              </w:rPr>
              <w:t>46.8</w:t>
            </w:r>
          </w:p>
        </w:tc>
        <w:tc>
          <w:tcPr>
            <w:tcW w:w="1270" w:type="dxa"/>
            <w:tcBorders>
              <w:bottom w:val="single" w:sz="4" w:space="0" w:color="000000"/>
            </w:tcBorders>
          </w:tcPr>
          <w:p>
            <w:pPr>
              <w:pStyle w:val="TableParagraph"/>
              <w:ind w:left="274"/>
              <w:rPr>
                <w:sz w:val="16"/>
              </w:rPr>
            </w:pPr>
            <w:r>
              <w:rPr>
                <w:spacing w:val="-2"/>
                <w:sz w:val="16"/>
              </w:rPr>
              <w:t>33.2-</w:t>
            </w:r>
            <w:r>
              <w:rPr>
                <w:spacing w:val="-4"/>
                <w:sz w:val="16"/>
              </w:rPr>
              <w:t>48.3</w:t>
            </w:r>
          </w:p>
        </w:tc>
      </w:tr>
      <w:tr>
        <w:trPr>
          <w:trHeight w:val="249" w:hRule="atLeast"/>
        </w:trPr>
        <w:tc>
          <w:tcPr>
            <w:tcW w:w="1492" w:type="dxa"/>
            <w:tcBorders>
              <w:top w:val="single" w:sz="4" w:space="0" w:color="000000"/>
            </w:tcBorders>
          </w:tcPr>
          <w:p>
            <w:pPr>
              <w:pStyle w:val="TableParagraph"/>
              <w:spacing w:before="30"/>
              <w:rPr>
                <w:sz w:val="16"/>
              </w:rPr>
            </w:pPr>
            <w:r>
              <w:rPr>
                <w:sz w:val="16"/>
              </w:rPr>
              <w:t>SFS</w:t>
            </w:r>
            <w:r>
              <w:rPr>
                <w:spacing w:val="-4"/>
                <w:sz w:val="16"/>
              </w:rPr>
              <w:t> </w:t>
            </w:r>
            <w:r>
              <w:rPr>
                <w:spacing w:val="-2"/>
                <w:sz w:val="16"/>
              </w:rPr>
              <w:t>length</w:t>
            </w:r>
          </w:p>
        </w:tc>
        <w:tc>
          <w:tcPr>
            <w:tcW w:w="706" w:type="dxa"/>
            <w:tcBorders>
              <w:top w:val="single" w:sz="4" w:space="0" w:color="000000"/>
            </w:tcBorders>
          </w:tcPr>
          <w:p>
            <w:pPr>
              <w:pStyle w:val="TableParagraph"/>
              <w:spacing w:before="30"/>
              <w:ind w:left="1" w:right="125"/>
              <w:jc w:val="center"/>
              <w:rPr>
                <w:sz w:val="16"/>
              </w:rPr>
            </w:pPr>
            <w:r>
              <w:rPr>
                <w:spacing w:val="-4"/>
                <w:sz w:val="16"/>
              </w:rPr>
              <w:t>Mean</w:t>
            </w:r>
          </w:p>
        </w:tc>
        <w:tc>
          <w:tcPr>
            <w:tcW w:w="1082" w:type="dxa"/>
            <w:tcBorders>
              <w:top w:val="single" w:sz="4" w:space="0" w:color="000000"/>
            </w:tcBorders>
          </w:tcPr>
          <w:p>
            <w:pPr>
              <w:pStyle w:val="TableParagraph"/>
              <w:spacing w:before="30"/>
              <w:ind w:left="106"/>
              <w:rPr>
                <w:sz w:val="16"/>
              </w:rPr>
            </w:pPr>
            <w:r>
              <w:rPr>
                <w:spacing w:val="-2"/>
                <w:sz w:val="16"/>
              </w:rPr>
              <w:t>85.8±7.0</w:t>
            </w:r>
          </w:p>
        </w:tc>
        <w:tc>
          <w:tcPr>
            <w:tcW w:w="1249" w:type="dxa"/>
            <w:tcBorders>
              <w:top w:val="single" w:sz="4" w:space="0" w:color="000000"/>
            </w:tcBorders>
          </w:tcPr>
          <w:p>
            <w:pPr>
              <w:pStyle w:val="TableParagraph"/>
              <w:spacing w:before="30"/>
              <w:ind w:left="277"/>
              <w:rPr>
                <w:sz w:val="16"/>
              </w:rPr>
            </w:pPr>
            <w:r>
              <w:rPr>
                <w:spacing w:val="-2"/>
                <w:sz w:val="16"/>
              </w:rPr>
              <w:t>84.0±7.4</w:t>
            </w:r>
          </w:p>
        </w:tc>
        <w:tc>
          <w:tcPr>
            <w:tcW w:w="1270" w:type="dxa"/>
            <w:tcBorders>
              <w:top w:val="single" w:sz="4" w:space="0" w:color="000000"/>
            </w:tcBorders>
          </w:tcPr>
          <w:p>
            <w:pPr>
              <w:pStyle w:val="TableParagraph"/>
              <w:spacing w:before="30"/>
              <w:ind w:left="272"/>
              <w:rPr>
                <w:sz w:val="16"/>
              </w:rPr>
            </w:pPr>
            <w:r>
              <w:rPr>
                <w:spacing w:val="-2"/>
                <w:sz w:val="16"/>
              </w:rPr>
              <w:t>87.7±6.2</w:t>
            </w:r>
          </w:p>
        </w:tc>
      </w:tr>
      <w:tr>
        <w:trPr>
          <w:trHeight w:val="239" w:hRule="atLeast"/>
        </w:trPr>
        <w:tc>
          <w:tcPr>
            <w:tcW w:w="1492" w:type="dxa"/>
          </w:tcPr>
          <w:p>
            <w:pPr>
              <w:pStyle w:val="TableParagraph"/>
              <w:spacing w:before="0"/>
              <w:ind w:left="0"/>
              <w:rPr>
                <w:sz w:val="16"/>
              </w:rPr>
            </w:pPr>
          </w:p>
        </w:tc>
        <w:tc>
          <w:tcPr>
            <w:tcW w:w="706" w:type="dxa"/>
          </w:tcPr>
          <w:p>
            <w:pPr>
              <w:pStyle w:val="TableParagraph"/>
              <w:ind w:left="75" w:right="75"/>
              <w:jc w:val="center"/>
              <w:rPr>
                <w:sz w:val="16"/>
              </w:rPr>
            </w:pPr>
            <w:r>
              <w:rPr>
                <w:spacing w:val="-2"/>
                <w:sz w:val="16"/>
              </w:rPr>
              <w:t>Median</w:t>
            </w:r>
          </w:p>
        </w:tc>
        <w:tc>
          <w:tcPr>
            <w:tcW w:w="1082" w:type="dxa"/>
          </w:tcPr>
          <w:p>
            <w:pPr>
              <w:pStyle w:val="TableParagraph"/>
              <w:rPr>
                <w:sz w:val="16"/>
              </w:rPr>
            </w:pPr>
            <w:r>
              <w:rPr>
                <w:spacing w:val="-4"/>
                <w:sz w:val="16"/>
              </w:rPr>
              <w:t>87.4</w:t>
            </w:r>
          </w:p>
        </w:tc>
        <w:tc>
          <w:tcPr>
            <w:tcW w:w="1249" w:type="dxa"/>
          </w:tcPr>
          <w:p>
            <w:pPr>
              <w:pStyle w:val="TableParagraph"/>
              <w:ind w:left="278"/>
              <w:rPr>
                <w:sz w:val="16"/>
              </w:rPr>
            </w:pPr>
            <w:r>
              <w:rPr>
                <w:spacing w:val="-4"/>
                <w:sz w:val="16"/>
              </w:rPr>
              <w:t>84.9</w:t>
            </w:r>
          </w:p>
        </w:tc>
        <w:tc>
          <w:tcPr>
            <w:tcW w:w="1270" w:type="dxa"/>
          </w:tcPr>
          <w:p>
            <w:pPr>
              <w:pStyle w:val="TableParagraph"/>
              <w:ind w:left="274"/>
              <w:rPr>
                <w:sz w:val="16"/>
              </w:rPr>
            </w:pPr>
            <w:r>
              <w:rPr>
                <w:spacing w:val="-4"/>
                <w:sz w:val="16"/>
              </w:rPr>
              <w:t>88.8</w:t>
            </w:r>
          </w:p>
        </w:tc>
      </w:tr>
      <w:tr>
        <w:trPr>
          <w:trHeight w:val="229" w:hRule="atLeast"/>
        </w:trPr>
        <w:tc>
          <w:tcPr>
            <w:tcW w:w="1492" w:type="dxa"/>
            <w:tcBorders>
              <w:bottom w:val="single" w:sz="4" w:space="0" w:color="000000"/>
            </w:tcBorders>
          </w:tcPr>
          <w:p>
            <w:pPr>
              <w:pStyle w:val="TableParagraph"/>
              <w:spacing w:before="0"/>
              <w:ind w:left="0"/>
              <w:rPr>
                <w:sz w:val="16"/>
              </w:rPr>
            </w:pPr>
          </w:p>
        </w:tc>
        <w:tc>
          <w:tcPr>
            <w:tcW w:w="706" w:type="dxa"/>
            <w:tcBorders>
              <w:bottom w:val="single" w:sz="4" w:space="0" w:color="000000"/>
            </w:tcBorders>
          </w:tcPr>
          <w:p>
            <w:pPr>
              <w:pStyle w:val="TableParagraph"/>
              <w:ind w:left="1" w:right="76"/>
              <w:jc w:val="center"/>
              <w:rPr>
                <w:sz w:val="16"/>
              </w:rPr>
            </w:pPr>
            <w:r>
              <w:rPr>
                <w:spacing w:val="-2"/>
                <w:sz w:val="16"/>
              </w:rPr>
              <w:t>Range</w:t>
            </w:r>
          </w:p>
        </w:tc>
        <w:tc>
          <w:tcPr>
            <w:tcW w:w="1082" w:type="dxa"/>
            <w:tcBorders>
              <w:bottom w:val="single" w:sz="4" w:space="0" w:color="000000"/>
            </w:tcBorders>
          </w:tcPr>
          <w:p>
            <w:pPr>
              <w:pStyle w:val="TableParagraph"/>
              <w:rPr>
                <w:sz w:val="16"/>
              </w:rPr>
            </w:pPr>
            <w:r>
              <w:rPr>
                <w:spacing w:val="-2"/>
                <w:sz w:val="16"/>
              </w:rPr>
              <w:t>67.8-103.9</w:t>
            </w:r>
          </w:p>
        </w:tc>
        <w:tc>
          <w:tcPr>
            <w:tcW w:w="1249" w:type="dxa"/>
            <w:tcBorders>
              <w:bottom w:val="single" w:sz="4" w:space="0" w:color="000000"/>
            </w:tcBorders>
          </w:tcPr>
          <w:p>
            <w:pPr>
              <w:pStyle w:val="TableParagraph"/>
              <w:ind w:left="279"/>
              <w:rPr>
                <w:sz w:val="16"/>
              </w:rPr>
            </w:pPr>
            <w:r>
              <w:rPr>
                <w:spacing w:val="-2"/>
                <w:sz w:val="16"/>
              </w:rPr>
              <w:t>67.8-103.9</w:t>
            </w:r>
          </w:p>
        </w:tc>
        <w:tc>
          <w:tcPr>
            <w:tcW w:w="1270" w:type="dxa"/>
            <w:tcBorders>
              <w:bottom w:val="single" w:sz="4" w:space="0" w:color="000000"/>
            </w:tcBorders>
          </w:tcPr>
          <w:p>
            <w:pPr>
              <w:pStyle w:val="TableParagraph"/>
              <w:ind w:left="274"/>
              <w:rPr>
                <w:sz w:val="16"/>
              </w:rPr>
            </w:pPr>
            <w:r>
              <w:rPr>
                <w:spacing w:val="-2"/>
                <w:sz w:val="16"/>
              </w:rPr>
              <w:t>74.7-</w:t>
            </w:r>
            <w:r>
              <w:rPr>
                <w:spacing w:val="-4"/>
                <w:sz w:val="16"/>
              </w:rPr>
              <w:t>97.6</w:t>
            </w:r>
          </w:p>
        </w:tc>
      </w:tr>
      <w:tr>
        <w:trPr>
          <w:trHeight w:val="250" w:hRule="atLeast"/>
        </w:trPr>
        <w:tc>
          <w:tcPr>
            <w:tcW w:w="1492" w:type="dxa"/>
            <w:tcBorders>
              <w:top w:val="single" w:sz="4" w:space="0" w:color="000000"/>
            </w:tcBorders>
          </w:tcPr>
          <w:p>
            <w:pPr>
              <w:pStyle w:val="TableParagraph"/>
              <w:spacing w:before="31"/>
              <w:ind w:left="107"/>
              <w:rPr>
                <w:sz w:val="16"/>
              </w:rPr>
            </w:pPr>
            <w:r>
              <w:rPr>
                <w:sz w:val="16"/>
              </w:rPr>
              <w:t>SFS</w:t>
            </w:r>
            <w:r>
              <w:rPr>
                <w:spacing w:val="-4"/>
                <w:sz w:val="16"/>
              </w:rPr>
              <w:t> </w:t>
            </w:r>
            <w:r>
              <w:rPr>
                <w:spacing w:val="-2"/>
                <w:sz w:val="16"/>
              </w:rPr>
              <w:t>height**</w:t>
            </w:r>
          </w:p>
        </w:tc>
        <w:tc>
          <w:tcPr>
            <w:tcW w:w="706" w:type="dxa"/>
            <w:tcBorders>
              <w:top w:val="single" w:sz="4" w:space="0" w:color="000000"/>
            </w:tcBorders>
          </w:tcPr>
          <w:p>
            <w:pPr>
              <w:pStyle w:val="TableParagraph"/>
              <w:spacing w:before="31"/>
              <w:ind w:left="1" w:right="125"/>
              <w:jc w:val="center"/>
              <w:rPr>
                <w:sz w:val="16"/>
              </w:rPr>
            </w:pPr>
            <w:r>
              <w:rPr>
                <w:spacing w:val="-4"/>
                <w:sz w:val="16"/>
              </w:rPr>
              <w:t>Mean</w:t>
            </w:r>
          </w:p>
        </w:tc>
        <w:tc>
          <w:tcPr>
            <w:tcW w:w="1082" w:type="dxa"/>
            <w:tcBorders>
              <w:top w:val="single" w:sz="4" w:space="0" w:color="000000"/>
            </w:tcBorders>
          </w:tcPr>
          <w:p>
            <w:pPr>
              <w:pStyle w:val="TableParagraph"/>
              <w:spacing w:before="31"/>
              <w:ind w:left="106"/>
              <w:rPr>
                <w:sz w:val="16"/>
              </w:rPr>
            </w:pPr>
            <w:r>
              <w:rPr>
                <w:spacing w:val="-2"/>
                <w:sz w:val="16"/>
              </w:rPr>
              <w:t>52.1±5.7</w:t>
            </w:r>
          </w:p>
        </w:tc>
        <w:tc>
          <w:tcPr>
            <w:tcW w:w="1249" w:type="dxa"/>
            <w:tcBorders>
              <w:top w:val="single" w:sz="4" w:space="0" w:color="000000"/>
            </w:tcBorders>
          </w:tcPr>
          <w:p>
            <w:pPr>
              <w:pStyle w:val="TableParagraph"/>
              <w:spacing w:before="31"/>
              <w:ind w:left="277"/>
              <w:rPr>
                <w:sz w:val="16"/>
              </w:rPr>
            </w:pPr>
            <w:r>
              <w:rPr>
                <w:spacing w:val="-2"/>
                <w:sz w:val="16"/>
              </w:rPr>
              <w:t>50.4±6.1</w:t>
            </w:r>
          </w:p>
        </w:tc>
        <w:tc>
          <w:tcPr>
            <w:tcW w:w="1270" w:type="dxa"/>
            <w:tcBorders>
              <w:top w:val="single" w:sz="4" w:space="0" w:color="000000"/>
            </w:tcBorders>
          </w:tcPr>
          <w:p>
            <w:pPr>
              <w:pStyle w:val="TableParagraph"/>
              <w:spacing w:before="31"/>
              <w:ind w:left="271"/>
              <w:rPr>
                <w:sz w:val="16"/>
              </w:rPr>
            </w:pPr>
            <w:r>
              <w:rPr>
                <w:spacing w:val="-2"/>
                <w:sz w:val="16"/>
              </w:rPr>
              <w:t>53.8±4.8</w:t>
            </w:r>
          </w:p>
        </w:tc>
      </w:tr>
      <w:tr>
        <w:trPr>
          <w:trHeight w:val="240" w:hRule="atLeast"/>
        </w:trPr>
        <w:tc>
          <w:tcPr>
            <w:tcW w:w="1492" w:type="dxa"/>
          </w:tcPr>
          <w:p>
            <w:pPr>
              <w:pStyle w:val="TableParagraph"/>
              <w:spacing w:before="0"/>
              <w:ind w:left="0"/>
              <w:rPr>
                <w:sz w:val="16"/>
              </w:rPr>
            </w:pPr>
          </w:p>
        </w:tc>
        <w:tc>
          <w:tcPr>
            <w:tcW w:w="706" w:type="dxa"/>
          </w:tcPr>
          <w:p>
            <w:pPr>
              <w:pStyle w:val="TableParagraph"/>
              <w:ind w:left="75" w:right="75"/>
              <w:jc w:val="center"/>
              <w:rPr>
                <w:sz w:val="16"/>
              </w:rPr>
            </w:pPr>
            <w:r>
              <w:rPr>
                <w:spacing w:val="-2"/>
                <w:sz w:val="16"/>
              </w:rPr>
              <w:t>Median</w:t>
            </w:r>
          </w:p>
        </w:tc>
        <w:tc>
          <w:tcPr>
            <w:tcW w:w="1082" w:type="dxa"/>
          </w:tcPr>
          <w:p>
            <w:pPr>
              <w:pStyle w:val="TableParagraph"/>
              <w:rPr>
                <w:sz w:val="16"/>
              </w:rPr>
            </w:pPr>
            <w:r>
              <w:rPr>
                <w:spacing w:val="-4"/>
                <w:sz w:val="16"/>
              </w:rPr>
              <w:t>55.0</w:t>
            </w:r>
          </w:p>
        </w:tc>
        <w:tc>
          <w:tcPr>
            <w:tcW w:w="1249" w:type="dxa"/>
          </w:tcPr>
          <w:p>
            <w:pPr>
              <w:pStyle w:val="TableParagraph"/>
              <w:ind w:left="278"/>
              <w:rPr>
                <w:sz w:val="16"/>
              </w:rPr>
            </w:pPr>
            <w:r>
              <w:rPr>
                <w:spacing w:val="-4"/>
                <w:sz w:val="16"/>
              </w:rPr>
              <w:t>50.0</w:t>
            </w:r>
          </w:p>
        </w:tc>
        <w:tc>
          <w:tcPr>
            <w:tcW w:w="1270" w:type="dxa"/>
          </w:tcPr>
          <w:p>
            <w:pPr>
              <w:pStyle w:val="TableParagraph"/>
              <w:ind w:left="274"/>
              <w:rPr>
                <w:sz w:val="16"/>
              </w:rPr>
            </w:pPr>
            <w:r>
              <w:rPr>
                <w:spacing w:val="-4"/>
                <w:sz w:val="16"/>
              </w:rPr>
              <w:t>55.0</w:t>
            </w:r>
          </w:p>
        </w:tc>
      </w:tr>
      <w:tr>
        <w:trPr>
          <w:trHeight w:val="229" w:hRule="atLeast"/>
        </w:trPr>
        <w:tc>
          <w:tcPr>
            <w:tcW w:w="1492" w:type="dxa"/>
            <w:tcBorders>
              <w:bottom w:val="single" w:sz="4" w:space="0" w:color="000000"/>
            </w:tcBorders>
          </w:tcPr>
          <w:p>
            <w:pPr>
              <w:pStyle w:val="TableParagraph"/>
              <w:spacing w:before="0"/>
              <w:ind w:left="0"/>
              <w:rPr>
                <w:sz w:val="16"/>
              </w:rPr>
            </w:pPr>
          </w:p>
        </w:tc>
        <w:tc>
          <w:tcPr>
            <w:tcW w:w="706" w:type="dxa"/>
            <w:tcBorders>
              <w:bottom w:val="single" w:sz="4" w:space="0" w:color="000000"/>
            </w:tcBorders>
          </w:tcPr>
          <w:p>
            <w:pPr>
              <w:pStyle w:val="TableParagraph"/>
              <w:ind w:left="1" w:right="76"/>
              <w:jc w:val="center"/>
              <w:rPr>
                <w:sz w:val="16"/>
              </w:rPr>
            </w:pPr>
            <w:r>
              <w:rPr>
                <w:spacing w:val="-2"/>
                <w:sz w:val="16"/>
              </w:rPr>
              <w:t>Range</w:t>
            </w:r>
          </w:p>
        </w:tc>
        <w:tc>
          <w:tcPr>
            <w:tcW w:w="1082" w:type="dxa"/>
            <w:tcBorders>
              <w:bottom w:val="single" w:sz="4" w:space="0" w:color="000000"/>
            </w:tcBorders>
          </w:tcPr>
          <w:p>
            <w:pPr>
              <w:pStyle w:val="TableParagraph"/>
              <w:rPr>
                <w:sz w:val="16"/>
              </w:rPr>
            </w:pPr>
            <w:r>
              <w:rPr>
                <w:spacing w:val="-2"/>
                <w:sz w:val="16"/>
              </w:rPr>
              <w:t>35.0-</w:t>
            </w:r>
            <w:r>
              <w:rPr>
                <w:spacing w:val="-4"/>
                <w:sz w:val="16"/>
              </w:rPr>
              <w:t>65.0</w:t>
            </w:r>
          </w:p>
        </w:tc>
        <w:tc>
          <w:tcPr>
            <w:tcW w:w="1249" w:type="dxa"/>
            <w:tcBorders>
              <w:bottom w:val="single" w:sz="4" w:space="0" w:color="000000"/>
            </w:tcBorders>
          </w:tcPr>
          <w:p>
            <w:pPr>
              <w:pStyle w:val="TableParagraph"/>
              <w:ind w:left="279"/>
              <w:rPr>
                <w:sz w:val="16"/>
              </w:rPr>
            </w:pPr>
            <w:r>
              <w:rPr>
                <w:spacing w:val="-2"/>
                <w:sz w:val="16"/>
              </w:rPr>
              <w:t>35.0-</w:t>
            </w:r>
            <w:r>
              <w:rPr>
                <w:spacing w:val="-4"/>
                <w:sz w:val="16"/>
              </w:rPr>
              <w:t>60.0</w:t>
            </w:r>
          </w:p>
        </w:tc>
        <w:tc>
          <w:tcPr>
            <w:tcW w:w="1270" w:type="dxa"/>
            <w:tcBorders>
              <w:bottom w:val="single" w:sz="4" w:space="0" w:color="000000"/>
            </w:tcBorders>
          </w:tcPr>
          <w:p>
            <w:pPr>
              <w:pStyle w:val="TableParagraph"/>
              <w:ind w:left="274"/>
              <w:rPr>
                <w:sz w:val="16"/>
              </w:rPr>
            </w:pPr>
            <w:r>
              <w:rPr>
                <w:spacing w:val="-2"/>
                <w:sz w:val="16"/>
              </w:rPr>
              <w:t>45.0-</w:t>
            </w:r>
            <w:r>
              <w:rPr>
                <w:spacing w:val="-4"/>
                <w:sz w:val="16"/>
              </w:rPr>
              <w:t>65.0</w:t>
            </w:r>
          </w:p>
        </w:tc>
      </w:tr>
    </w:tbl>
    <w:p>
      <w:pPr>
        <w:spacing w:before="40"/>
        <w:ind w:left="2111" w:right="0" w:firstLine="0"/>
        <w:jc w:val="left"/>
        <w:rPr>
          <w:sz w:val="16"/>
        </w:rPr>
      </w:pPr>
      <w:r>
        <w:rPr>
          <w:sz w:val="16"/>
        </w:rPr>
        <w:t>SD:</w:t>
      </w:r>
      <w:r>
        <w:rPr>
          <w:spacing w:val="-4"/>
          <w:sz w:val="16"/>
        </w:rPr>
        <w:t> </w:t>
      </w:r>
      <w:r>
        <w:rPr>
          <w:sz w:val="16"/>
        </w:rPr>
        <w:t>standard</w:t>
      </w:r>
      <w:r>
        <w:rPr>
          <w:spacing w:val="-3"/>
          <w:sz w:val="16"/>
        </w:rPr>
        <w:t> </w:t>
      </w:r>
      <w:r>
        <w:rPr>
          <w:sz w:val="16"/>
        </w:rPr>
        <w:t>deviation;</w:t>
      </w:r>
      <w:r>
        <w:rPr>
          <w:spacing w:val="-3"/>
          <w:sz w:val="16"/>
        </w:rPr>
        <w:t> </w:t>
      </w:r>
      <w:r>
        <w:rPr>
          <w:sz w:val="16"/>
        </w:rPr>
        <w:t>*:</w:t>
      </w:r>
      <w:r>
        <w:rPr>
          <w:spacing w:val="-4"/>
          <w:sz w:val="16"/>
        </w:rPr>
        <w:t> </w:t>
      </w:r>
      <w:r>
        <w:rPr>
          <w:sz w:val="16"/>
        </w:rPr>
        <w:t>p</w:t>
      </w:r>
      <w:r>
        <w:rPr>
          <w:spacing w:val="-3"/>
          <w:sz w:val="16"/>
        </w:rPr>
        <w:t> </w:t>
      </w:r>
      <w:r>
        <w:rPr>
          <w:sz w:val="16"/>
        </w:rPr>
        <w:t>&lt;</w:t>
      </w:r>
      <w:r>
        <w:rPr>
          <w:spacing w:val="-3"/>
          <w:sz w:val="16"/>
        </w:rPr>
        <w:t> </w:t>
      </w:r>
      <w:r>
        <w:rPr>
          <w:sz w:val="16"/>
        </w:rPr>
        <w:t>0.05;</w:t>
      </w:r>
      <w:r>
        <w:rPr>
          <w:spacing w:val="-4"/>
          <w:sz w:val="16"/>
        </w:rPr>
        <w:t> </w:t>
      </w:r>
      <w:r>
        <w:rPr>
          <w:sz w:val="16"/>
        </w:rPr>
        <w:t>**:</w:t>
      </w:r>
      <w:r>
        <w:rPr>
          <w:spacing w:val="-3"/>
          <w:sz w:val="16"/>
        </w:rPr>
        <w:t> </w:t>
      </w:r>
      <w:r>
        <w:rPr>
          <w:sz w:val="16"/>
        </w:rPr>
        <w:t>p</w:t>
      </w:r>
      <w:r>
        <w:rPr>
          <w:spacing w:val="-3"/>
          <w:sz w:val="16"/>
        </w:rPr>
        <w:t> </w:t>
      </w:r>
      <w:r>
        <w:rPr>
          <w:sz w:val="16"/>
        </w:rPr>
        <w:t>&lt;</w:t>
      </w:r>
      <w:r>
        <w:rPr>
          <w:spacing w:val="-3"/>
          <w:sz w:val="16"/>
        </w:rPr>
        <w:t> </w:t>
      </w:r>
      <w:r>
        <w:rPr>
          <w:sz w:val="16"/>
        </w:rPr>
        <w:t>0.01;</w:t>
      </w:r>
      <w:r>
        <w:rPr>
          <w:spacing w:val="-4"/>
          <w:sz w:val="16"/>
        </w:rPr>
        <w:t> </w:t>
      </w:r>
      <w:r>
        <w:rPr>
          <w:sz w:val="16"/>
        </w:rPr>
        <w:t>***:</w:t>
      </w:r>
      <w:r>
        <w:rPr>
          <w:spacing w:val="-3"/>
          <w:sz w:val="16"/>
        </w:rPr>
        <w:t> </w:t>
      </w:r>
      <w:r>
        <w:rPr>
          <w:sz w:val="16"/>
        </w:rPr>
        <w:t>p</w:t>
      </w:r>
      <w:r>
        <w:rPr>
          <w:spacing w:val="-3"/>
          <w:sz w:val="16"/>
        </w:rPr>
        <w:t> </w:t>
      </w:r>
      <w:r>
        <w:rPr>
          <w:sz w:val="16"/>
        </w:rPr>
        <w:t>&lt;</w:t>
      </w:r>
      <w:r>
        <w:rPr>
          <w:spacing w:val="-4"/>
          <w:sz w:val="16"/>
        </w:rPr>
        <w:t> </w:t>
      </w:r>
      <w:r>
        <w:rPr>
          <w:spacing w:val="-2"/>
          <w:sz w:val="16"/>
        </w:rPr>
        <w:t>0.001</w:t>
      </w:r>
    </w:p>
    <w:p>
      <w:pPr>
        <w:pStyle w:val="BodyText"/>
        <w:spacing w:before="40"/>
      </w:pPr>
    </w:p>
    <w:p>
      <w:pPr>
        <w:pStyle w:val="BodyText"/>
        <w:spacing w:line="249" w:lineRule="auto" w:before="1"/>
        <w:ind w:left="479" w:right="493" w:firstLine="237"/>
        <w:jc w:val="both"/>
      </w:pPr>
      <w:r>
        <w:rPr/>
        <w:t>To model the</w:t>
      </w:r>
      <w:r>
        <w:rPr>
          <w:spacing w:val="-1"/>
        </w:rPr>
        <w:t> </w:t>
      </w:r>
      <w:r>
        <w:rPr/>
        <w:t>partially connected cerebral</w:t>
      </w:r>
      <w:r>
        <w:rPr>
          <w:spacing w:val="-1"/>
        </w:rPr>
        <w:t> </w:t>
      </w:r>
      <w:r>
        <w:rPr/>
        <w:t>hemispheres,</w:t>
      </w:r>
      <w:r>
        <w:rPr>
          <w:spacing w:val="-1"/>
        </w:rPr>
        <w:t> </w:t>
      </w:r>
      <w:r>
        <w:rPr/>
        <w:t>our model is</w:t>
      </w:r>
      <w:r>
        <w:rPr>
          <w:spacing w:val="-1"/>
        </w:rPr>
        <w:t> </w:t>
      </w:r>
      <w:r>
        <w:rPr/>
        <w:t>divided into two compartments by the iMSP. As a result, each cerebral “hemisphere”, which assumes the shape</w:t>
      </w:r>
      <w:r>
        <w:rPr>
          <w:spacing w:val="-1"/>
        </w:rPr>
        <w:t> </w:t>
      </w:r>
      <w:r>
        <w:rPr/>
        <w:t>of quarter sphere, has three surfaces: the convexity, the basal and the interhemispheric surfaces. The sickle-shaped falx cerebri is a strong arched process which descends vertically in the longitudinal fissure, or the iMSP [1]. It is narrow in front and broad behind. To model the falx, a semicircle 80 mm in diameter is removed from the iMSP to simulate the SFS.</w:t>
      </w:r>
      <w:r>
        <w:rPr>
          <w:spacing w:val="40"/>
        </w:rPr>
        <w:t> </w:t>
      </w:r>
      <w:r>
        <w:rPr/>
        <w:t>The center of this semicircle is located 20 mm anterior to the center of the basal plane. The posterior ends of SFS and the TI meet at the falcotentorial junction, which is adjacent to the posterior aspect of the midbrain.</w:t>
      </w:r>
    </w:p>
    <w:p>
      <w:pPr>
        <w:pStyle w:val="BodyText"/>
        <w:spacing w:line="249" w:lineRule="auto" w:before="5"/>
        <w:ind w:left="479" w:right="495" w:firstLine="237"/>
        <w:jc w:val="both"/>
      </w:pPr>
      <w:r>
        <w:rPr/>
        <w:t>We have implemented our model using ANSYS ED 10.0 (ANSYS, Inc., Canonsburg, PA) software environment. The cutaway view is shown in Fig. 1.</w:t>
      </w:r>
    </w:p>
    <w:p>
      <w:pPr>
        <w:pStyle w:val="BodyText"/>
        <w:spacing w:before="3"/>
        <w:rPr>
          <w:sz w:val="12"/>
        </w:rPr>
      </w:pPr>
      <w:r>
        <w:rPr/>
        <w:drawing>
          <wp:anchor distT="0" distB="0" distL="0" distR="0" allowOverlap="1" layoutInCell="1" locked="0" behindDoc="1" simplePos="0" relativeHeight="487591424">
            <wp:simplePos x="0" y="0"/>
            <wp:positionH relativeFrom="page">
              <wp:posOffset>1829671</wp:posOffset>
            </wp:positionH>
            <wp:positionV relativeFrom="paragraph">
              <wp:posOffset>105201</wp:posOffset>
            </wp:positionV>
            <wp:extent cx="3266978" cy="216693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266978" cy="2166937"/>
                    </a:xfrm>
                    <a:prstGeom prst="rect">
                      <a:avLst/>
                    </a:prstGeom>
                  </pic:spPr>
                </pic:pic>
              </a:graphicData>
            </a:graphic>
          </wp:anchor>
        </w:drawing>
      </w:r>
    </w:p>
    <w:p>
      <w:pPr>
        <w:pStyle w:val="BodyText"/>
        <w:spacing w:before="27"/>
      </w:pPr>
    </w:p>
    <w:p>
      <w:pPr>
        <w:spacing w:line="259" w:lineRule="auto" w:before="0"/>
        <w:ind w:left="479" w:right="384" w:firstLine="0"/>
        <w:jc w:val="left"/>
        <w:rPr>
          <w:sz w:val="16"/>
        </w:rPr>
      </w:pPr>
      <w:r>
        <w:rPr>
          <w:sz w:val="16"/>
        </w:rPr>
        <w:t>Fig.</w:t>
      </w:r>
      <w:r>
        <w:rPr>
          <w:spacing w:val="-2"/>
          <w:sz w:val="16"/>
        </w:rPr>
        <w:t> </w:t>
      </w:r>
      <w:r>
        <w:rPr>
          <w:sz w:val="16"/>
        </w:rPr>
        <w:t>1.</w:t>
      </w:r>
      <w:r>
        <w:rPr>
          <w:spacing w:val="-2"/>
          <w:sz w:val="16"/>
        </w:rPr>
        <w:t> </w:t>
      </w:r>
      <w:r>
        <w:rPr>
          <w:sz w:val="16"/>
        </w:rPr>
        <w:t>Cutaway</w:t>
      </w:r>
      <w:r>
        <w:rPr>
          <w:spacing w:val="-2"/>
          <w:sz w:val="16"/>
        </w:rPr>
        <w:t> </w:t>
      </w:r>
      <w:r>
        <w:rPr>
          <w:sz w:val="16"/>
        </w:rPr>
        <w:t>view</w:t>
      </w:r>
      <w:r>
        <w:rPr>
          <w:spacing w:val="-2"/>
          <w:sz w:val="16"/>
        </w:rPr>
        <w:t> </w:t>
      </w:r>
      <w:r>
        <w:rPr>
          <w:sz w:val="16"/>
        </w:rPr>
        <w:t>of</w:t>
      </w:r>
      <w:r>
        <w:rPr>
          <w:spacing w:val="-2"/>
          <w:sz w:val="16"/>
        </w:rPr>
        <w:t> </w:t>
      </w:r>
      <w:r>
        <w:rPr>
          <w:sz w:val="16"/>
        </w:rPr>
        <w:t>our</w:t>
      </w:r>
      <w:r>
        <w:rPr>
          <w:spacing w:val="-1"/>
          <w:sz w:val="16"/>
        </w:rPr>
        <w:t> </w:t>
      </w:r>
      <w:r>
        <w:rPr>
          <w:sz w:val="16"/>
        </w:rPr>
        <w:t>model</w:t>
      </w:r>
      <w:r>
        <w:rPr>
          <w:spacing w:val="-2"/>
          <w:sz w:val="16"/>
        </w:rPr>
        <w:t> </w:t>
      </w:r>
      <w:r>
        <w:rPr>
          <w:sz w:val="16"/>
        </w:rPr>
        <w:t>of</w:t>
      </w:r>
      <w:r>
        <w:rPr>
          <w:spacing w:val="-2"/>
          <w:sz w:val="16"/>
        </w:rPr>
        <w:t> </w:t>
      </w:r>
      <w:r>
        <w:rPr>
          <w:sz w:val="16"/>
        </w:rPr>
        <w:t>the</w:t>
      </w:r>
      <w:r>
        <w:rPr>
          <w:spacing w:val="-2"/>
          <w:sz w:val="16"/>
        </w:rPr>
        <w:t> </w:t>
      </w:r>
      <w:r>
        <w:rPr>
          <w:sz w:val="16"/>
        </w:rPr>
        <w:t>supratentorial</w:t>
      </w:r>
      <w:r>
        <w:rPr>
          <w:spacing w:val="-1"/>
          <w:sz w:val="16"/>
        </w:rPr>
        <w:t> </w:t>
      </w:r>
      <w:r>
        <w:rPr>
          <w:sz w:val="16"/>
        </w:rPr>
        <w:t>brain.</w:t>
      </w:r>
      <w:r>
        <w:rPr>
          <w:spacing w:val="-2"/>
          <w:sz w:val="16"/>
        </w:rPr>
        <w:t> </w:t>
      </w:r>
      <w:r>
        <w:rPr>
          <w:sz w:val="16"/>
        </w:rPr>
        <w:t>The</w:t>
      </w:r>
      <w:r>
        <w:rPr>
          <w:spacing w:val="-1"/>
          <w:sz w:val="16"/>
        </w:rPr>
        <w:t> </w:t>
      </w:r>
      <w:r>
        <w:rPr>
          <w:sz w:val="16"/>
        </w:rPr>
        <w:t>X,</w:t>
      </w:r>
      <w:r>
        <w:rPr>
          <w:spacing w:val="-2"/>
          <w:sz w:val="16"/>
        </w:rPr>
        <w:t> </w:t>
      </w:r>
      <w:r>
        <w:rPr>
          <w:sz w:val="16"/>
        </w:rPr>
        <w:t>Y,</w:t>
      </w:r>
      <w:r>
        <w:rPr>
          <w:spacing w:val="-2"/>
          <w:sz w:val="16"/>
        </w:rPr>
        <w:t> </w:t>
      </w:r>
      <w:r>
        <w:rPr>
          <w:sz w:val="16"/>
        </w:rPr>
        <w:t>and</w:t>
      </w:r>
      <w:r>
        <w:rPr>
          <w:spacing w:val="-2"/>
          <w:sz w:val="16"/>
        </w:rPr>
        <w:t> </w:t>
      </w:r>
      <w:r>
        <w:rPr>
          <w:sz w:val="16"/>
        </w:rPr>
        <w:t>Z</w:t>
      </w:r>
      <w:r>
        <w:rPr>
          <w:spacing w:val="-2"/>
          <w:sz w:val="16"/>
        </w:rPr>
        <w:t> </w:t>
      </w:r>
      <w:r>
        <w:rPr>
          <w:sz w:val="16"/>
        </w:rPr>
        <w:t>axes of</w:t>
      </w:r>
      <w:r>
        <w:rPr>
          <w:spacing w:val="-2"/>
          <w:sz w:val="16"/>
        </w:rPr>
        <w:t> </w:t>
      </w:r>
      <w:r>
        <w:rPr>
          <w:sz w:val="16"/>
        </w:rPr>
        <w:t>the</w:t>
      </w:r>
      <w:r>
        <w:rPr>
          <w:spacing w:val="-2"/>
          <w:sz w:val="16"/>
        </w:rPr>
        <w:t> </w:t>
      </w:r>
      <w:r>
        <w:rPr>
          <w:sz w:val="16"/>
        </w:rPr>
        <w:t>Cartesian</w:t>
      </w:r>
      <w:r>
        <w:rPr>
          <w:spacing w:val="-2"/>
          <w:sz w:val="16"/>
        </w:rPr>
        <w:t> </w:t>
      </w:r>
      <w:r>
        <w:rPr>
          <w:sz w:val="16"/>
        </w:rPr>
        <w:t>coordinate</w:t>
      </w:r>
      <w:r>
        <w:rPr>
          <w:spacing w:val="-2"/>
          <w:sz w:val="16"/>
        </w:rPr>
        <w:t> </w:t>
      </w:r>
      <w:r>
        <w:rPr>
          <w:sz w:val="16"/>
        </w:rPr>
        <w:t>system</w:t>
      </w:r>
      <w:r>
        <w:rPr>
          <w:spacing w:val="-4"/>
          <w:sz w:val="16"/>
        </w:rPr>
        <w:t> </w:t>
      </w:r>
      <w:r>
        <w:rPr>
          <w:sz w:val="16"/>
        </w:rPr>
        <w:t>refer</w:t>
      </w:r>
      <w:r>
        <w:rPr>
          <w:spacing w:val="-2"/>
          <w:sz w:val="16"/>
        </w:rPr>
        <w:t> </w:t>
      </w:r>
      <w:r>
        <w:rPr>
          <w:sz w:val="16"/>
        </w:rPr>
        <w:t>to</w:t>
      </w:r>
      <w:r>
        <w:rPr>
          <w:spacing w:val="-2"/>
          <w:sz w:val="16"/>
        </w:rPr>
        <w:t> </w:t>
      </w:r>
      <w:r>
        <w:rPr>
          <w:sz w:val="16"/>
        </w:rPr>
        <w:t>the</w:t>
      </w:r>
      <w:r>
        <w:rPr>
          <w:spacing w:val="-1"/>
          <w:sz w:val="16"/>
        </w:rPr>
        <w:t> </w:t>
      </w:r>
      <w:r>
        <w:rPr>
          <w:sz w:val="16"/>
        </w:rPr>
        <w:t>right-</w:t>
      </w:r>
      <w:r>
        <w:rPr>
          <w:spacing w:val="40"/>
          <w:sz w:val="16"/>
        </w:rPr>
        <w:t> </w:t>
      </w:r>
      <w:r>
        <w:rPr>
          <w:sz w:val="16"/>
        </w:rPr>
        <w:t>left, anterior-posterior, and cranial-caudal (superior-inferior) anatomical axes, respectively. The left anterior quarter of the hemispheric</w:t>
      </w:r>
      <w:r>
        <w:rPr>
          <w:spacing w:val="40"/>
          <w:sz w:val="16"/>
        </w:rPr>
        <w:t> </w:t>
      </w:r>
      <w:r>
        <w:rPr>
          <w:sz w:val="16"/>
        </w:rPr>
        <w:t>object (A14) is removed to show the non-convexity surfaces. The interhemispheric surface is composed of the falx cerebri (A8) and the</w:t>
      </w:r>
      <w:r>
        <w:rPr>
          <w:spacing w:val="40"/>
          <w:sz w:val="16"/>
        </w:rPr>
        <w:t> </w:t>
      </w:r>
      <w:r>
        <w:rPr>
          <w:sz w:val="16"/>
        </w:rPr>
        <w:t>subfalcine space (A6). The basal surface is composed of the immobile part (A16) and the tentorial incisura (A2 and A7).</w:t>
      </w:r>
    </w:p>
    <w:p>
      <w:pPr>
        <w:spacing w:after="0" w:line="259" w:lineRule="auto"/>
        <w:jc w:val="left"/>
        <w:rPr>
          <w:sz w:val="16"/>
        </w:rPr>
        <w:sectPr>
          <w:pgSz w:w="10890" w:h="14860"/>
          <w:pgMar w:header="713" w:footer="0" w:top="900" w:bottom="280" w:left="520" w:right="540"/>
        </w:sectPr>
      </w:pPr>
    </w:p>
    <w:p>
      <w:pPr>
        <w:pStyle w:val="BodyText"/>
        <w:spacing w:before="115"/>
      </w:pPr>
    </w:p>
    <w:p>
      <w:pPr>
        <w:pStyle w:val="Heading1"/>
        <w:numPr>
          <w:ilvl w:val="0"/>
          <w:numId w:val="1"/>
        </w:numPr>
        <w:tabs>
          <w:tab w:pos="640" w:val="left" w:leader="none"/>
        </w:tabs>
        <w:spacing w:line="240" w:lineRule="auto" w:before="0" w:after="0"/>
        <w:ind w:left="640" w:right="0" w:hanging="203"/>
        <w:jc w:val="left"/>
      </w:pPr>
      <w:r>
        <w:rPr>
          <w:spacing w:val="-2"/>
        </w:rPr>
        <w:t>Discussion</w:t>
      </w:r>
    </w:p>
    <w:p>
      <w:pPr>
        <w:pStyle w:val="BodyText"/>
        <w:spacing w:before="20"/>
        <w:rPr>
          <w:b/>
        </w:rPr>
      </w:pPr>
    </w:p>
    <w:p>
      <w:pPr>
        <w:pStyle w:val="ListParagraph"/>
        <w:numPr>
          <w:ilvl w:val="1"/>
          <w:numId w:val="1"/>
        </w:numPr>
        <w:tabs>
          <w:tab w:pos="788" w:val="left" w:leader="none"/>
        </w:tabs>
        <w:spacing w:line="240" w:lineRule="auto" w:before="0" w:after="0"/>
        <w:ind w:left="788" w:right="0" w:hanging="351"/>
        <w:jc w:val="left"/>
        <w:rPr>
          <w:i/>
          <w:sz w:val="20"/>
        </w:rPr>
      </w:pPr>
      <w:r>
        <w:rPr>
          <w:i/>
          <w:sz w:val="20"/>
        </w:rPr>
        <w:t>Volumetry</w:t>
      </w:r>
      <w:r>
        <w:rPr>
          <w:i/>
          <w:spacing w:val="-8"/>
          <w:sz w:val="20"/>
        </w:rPr>
        <w:t> </w:t>
      </w:r>
      <w:r>
        <w:rPr>
          <w:i/>
          <w:spacing w:val="-2"/>
          <w:sz w:val="20"/>
        </w:rPr>
        <w:t>Results</w:t>
      </w:r>
    </w:p>
    <w:p>
      <w:pPr>
        <w:pStyle w:val="BodyText"/>
        <w:spacing w:before="20"/>
        <w:rPr>
          <w:i/>
        </w:rPr>
      </w:pPr>
    </w:p>
    <w:p>
      <w:pPr>
        <w:pStyle w:val="BodyText"/>
        <w:spacing w:line="249" w:lineRule="auto"/>
        <w:ind w:left="437" w:right="538" w:firstLine="237"/>
        <w:jc w:val="both"/>
      </w:pPr>
      <w:r>
        <w:rPr/>
        <w:t>In this study, we performed measurements on the volumes and dimensions of the ICS. The ICVs obtained in our patient population seems smaller than those described in the literature (male: 1400-1600 mL, female: 1250-1450 mL) [9]. In addition to potential errors in the postprocessing process, partial volume effect caused by slice thickness may be the most important factor causing this discrepancy. Compared to the filling method, Sahin et al. had demonstrated a 3.7% underestimation of ICV using CT craniometry on dry skulls with 5-mm slices, probably due to partial volume effect [12, 13]. On the other hand, Sahin also noticed the systemic overestimating using 2-mm CT slices but the reason was unknown. This phenomenon may explain why studies using thin-cut slices or “volumetric” CT images may actually overestimate the ICV, such as the study done by Abbott et al. [14].</w:t>
      </w:r>
    </w:p>
    <w:p>
      <w:pPr>
        <w:pStyle w:val="BodyText"/>
        <w:spacing w:line="249" w:lineRule="auto" w:before="8"/>
        <w:ind w:left="437" w:right="537" w:firstLine="237"/>
        <w:jc w:val="both"/>
      </w:pPr>
      <w:r>
        <w:rPr/>
        <w:t>The ratio between V_ITS and ICV is important in patients with Chiari malformation type I. Using volumetric magnetic resonance imaging (MRI), Sgouros et al. measured these values in healthy and diseased pediatric</w:t>
      </w:r>
      <w:r>
        <w:rPr>
          <w:spacing w:val="-1"/>
        </w:rPr>
        <w:t> </w:t>
      </w:r>
      <w:r>
        <w:rPr/>
        <w:t>subjects.</w:t>
      </w:r>
      <w:r>
        <w:rPr>
          <w:spacing w:val="-1"/>
        </w:rPr>
        <w:t> </w:t>
      </w:r>
      <w:r>
        <w:rPr/>
        <w:t>In</w:t>
      </w:r>
      <w:r>
        <w:rPr>
          <w:spacing w:val="-1"/>
        </w:rPr>
        <w:t> </w:t>
      </w:r>
      <w:r>
        <w:rPr/>
        <w:t>the</w:t>
      </w:r>
      <w:r>
        <w:rPr>
          <w:spacing w:val="-3"/>
        </w:rPr>
        <w:t> </w:t>
      </w:r>
      <w:r>
        <w:rPr/>
        <w:t>healthy</w:t>
      </w:r>
      <w:r>
        <w:rPr>
          <w:spacing w:val="-3"/>
        </w:rPr>
        <w:t> </w:t>
      </w:r>
      <w:r>
        <w:rPr/>
        <w:t>group,</w:t>
      </w:r>
      <w:r>
        <w:rPr>
          <w:spacing w:val="-1"/>
        </w:rPr>
        <w:t> </w:t>
      </w:r>
      <w:r>
        <w:rPr/>
        <w:t>the</w:t>
      </w:r>
      <w:r>
        <w:rPr>
          <w:spacing w:val="-1"/>
        </w:rPr>
        <w:t> </w:t>
      </w:r>
      <w:r>
        <w:rPr/>
        <w:t>ICV</w:t>
      </w:r>
      <w:r>
        <w:rPr>
          <w:spacing w:val="-2"/>
        </w:rPr>
        <w:t> </w:t>
      </w:r>
      <w:r>
        <w:rPr/>
        <w:t>was</w:t>
      </w:r>
      <w:r>
        <w:rPr>
          <w:spacing w:val="-1"/>
        </w:rPr>
        <w:t> </w:t>
      </w:r>
      <w:r>
        <w:rPr/>
        <w:t>1383</w:t>
      </w:r>
      <w:r>
        <w:rPr>
          <w:spacing w:val="-3"/>
        </w:rPr>
        <w:t> </w:t>
      </w:r>
      <w:r>
        <w:rPr/>
        <w:t>mL,</w:t>
      </w:r>
      <w:r>
        <w:rPr>
          <w:spacing w:val="-1"/>
        </w:rPr>
        <w:t> </w:t>
      </w:r>
      <w:r>
        <w:rPr/>
        <w:t>the</w:t>
      </w:r>
      <w:r>
        <w:rPr>
          <w:spacing w:val="-1"/>
        </w:rPr>
        <w:t> </w:t>
      </w:r>
      <w:r>
        <w:rPr/>
        <w:t>V_ITS</w:t>
      </w:r>
      <w:r>
        <w:rPr>
          <w:spacing w:val="-1"/>
        </w:rPr>
        <w:t> </w:t>
      </w:r>
      <w:r>
        <w:rPr/>
        <w:t>186</w:t>
      </w:r>
      <w:r>
        <w:rPr>
          <w:spacing w:val="-1"/>
        </w:rPr>
        <w:t> </w:t>
      </w:r>
      <w:r>
        <w:rPr/>
        <w:t>mL</w:t>
      </w:r>
      <w:r>
        <w:rPr>
          <w:spacing w:val="-1"/>
        </w:rPr>
        <w:t> </w:t>
      </w:r>
      <w:r>
        <w:rPr/>
        <w:t>and</w:t>
      </w:r>
      <w:r>
        <w:rPr>
          <w:spacing w:val="-1"/>
        </w:rPr>
        <w:t> </w:t>
      </w:r>
      <w:r>
        <w:rPr/>
        <w:t>the</w:t>
      </w:r>
      <w:r>
        <w:rPr>
          <w:spacing w:val="-1"/>
        </w:rPr>
        <w:t> </w:t>
      </w:r>
      <w:r>
        <w:rPr/>
        <w:t>PFV/ICV</w:t>
      </w:r>
      <w:r>
        <w:rPr>
          <w:spacing w:val="-2"/>
        </w:rPr>
        <w:t> </w:t>
      </w:r>
      <w:r>
        <w:rPr/>
        <w:t>ratio</w:t>
      </w:r>
      <w:r>
        <w:rPr>
          <w:spacing w:val="-1"/>
        </w:rPr>
        <w:t> </w:t>
      </w:r>
      <w:r>
        <w:rPr/>
        <w:t>was</w:t>
      </w:r>
    </w:p>
    <w:p>
      <w:pPr>
        <w:pStyle w:val="BodyText"/>
        <w:spacing w:line="249" w:lineRule="auto" w:before="3"/>
        <w:ind w:left="437" w:right="537"/>
        <w:jc w:val="both"/>
      </w:pPr>
      <w:r>
        <w:rPr/>
        <w:t>0.135 [15]. In our study, the ratio between V_ITS and ICV ranged from 0.11 to 0.15 with an average of 0.13, which is very close to the normal value described by Sgouros.</w:t>
      </w:r>
    </w:p>
    <w:p>
      <w:pPr>
        <w:pStyle w:val="BodyText"/>
        <w:spacing w:line="249" w:lineRule="auto" w:before="2"/>
        <w:ind w:left="437" w:right="536" w:firstLine="237"/>
        <w:jc w:val="both"/>
      </w:pPr>
      <w:r>
        <w:rPr/>
        <w:t>We laboriously separated the STS regions from the ITS regions in this study. Lescot et al. also manually segmented the STS on 5-mm CT slices in 15 diseased and 15 healthy subjects [16]. They separated cerebrospinal fluid (CSF) voxels from brain voxels using thresholding. The average supratentorial brain volume of their healthy subjects was 1041 ± 108 mL, while the total intracranial CSF volume (V_CSF) was 127 ± 56 mL. The mean V_STS in current study (1154 mL) is compatible with Lescot’s observation.</w:t>
      </w:r>
    </w:p>
    <w:p>
      <w:pPr>
        <w:pStyle w:val="BodyText"/>
        <w:spacing w:before="14"/>
      </w:pPr>
    </w:p>
    <w:p>
      <w:pPr>
        <w:pStyle w:val="ListParagraph"/>
        <w:numPr>
          <w:ilvl w:val="1"/>
          <w:numId w:val="1"/>
        </w:numPr>
        <w:tabs>
          <w:tab w:pos="788" w:val="left" w:leader="none"/>
        </w:tabs>
        <w:spacing w:line="240" w:lineRule="auto" w:before="0" w:after="0"/>
        <w:ind w:left="788" w:right="0" w:hanging="351"/>
        <w:jc w:val="left"/>
        <w:rPr>
          <w:i/>
          <w:sz w:val="20"/>
        </w:rPr>
      </w:pPr>
      <w:r>
        <w:rPr>
          <w:i/>
          <w:sz w:val="20"/>
        </w:rPr>
        <w:t>Model</w:t>
      </w:r>
      <w:r>
        <w:rPr>
          <w:i/>
          <w:spacing w:val="-5"/>
          <w:sz w:val="20"/>
        </w:rPr>
        <w:t> </w:t>
      </w:r>
      <w:r>
        <w:rPr>
          <w:i/>
          <w:sz w:val="20"/>
        </w:rPr>
        <w:t>versus</w:t>
      </w:r>
      <w:r>
        <w:rPr>
          <w:i/>
          <w:spacing w:val="-5"/>
          <w:sz w:val="20"/>
        </w:rPr>
        <w:t> </w:t>
      </w:r>
      <w:r>
        <w:rPr>
          <w:i/>
          <w:spacing w:val="-2"/>
          <w:sz w:val="20"/>
        </w:rPr>
        <w:t>Reality</w:t>
      </w:r>
    </w:p>
    <w:p>
      <w:pPr>
        <w:pStyle w:val="BodyText"/>
        <w:spacing w:before="20"/>
        <w:rPr>
          <w:i/>
        </w:rPr>
      </w:pPr>
    </w:p>
    <w:p>
      <w:pPr>
        <w:pStyle w:val="BodyText"/>
        <w:spacing w:line="249" w:lineRule="auto"/>
        <w:ind w:left="437" w:right="539" w:firstLine="237"/>
        <w:jc w:val="both"/>
      </w:pPr>
      <w:r>
        <w:rPr/>
        <w:t>Historiaclly, ICV estimation from craniometric parameters utilized the outer dimensions of the calvarial skull, A, B, and C, as well as its thickness, t. The ICV can then be calculated using the ellipsoid formula, ICV</w:t>
      </w:r>
    </w:p>
    <w:p>
      <w:pPr>
        <w:pStyle w:val="BodyText"/>
        <w:spacing w:line="249" w:lineRule="auto" w:before="2"/>
        <w:ind w:left="437" w:right="539" w:hanging="1"/>
        <w:jc w:val="both"/>
      </w:pPr>
      <w:r>
        <w:rPr/>
        <w:t>= pi / 6 * (A – 2t) (B – 2t) (C – 2t) [10]. In this study, we measured the inner dimensions of the skull directly on CT images. Since the thickness of the skull varied widely [17], we consider our method a better estimate because the ICV can be calculated directly.</w:t>
      </w:r>
    </w:p>
    <w:p>
      <w:pPr>
        <w:pStyle w:val="BodyText"/>
        <w:spacing w:line="249" w:lineRule="auto" w:before="3"/>
        <w:ind w:left="437" w:right="536" w:firstLine="237"/>
        <w:jc w:val="both"/>
      </w:pPr>
      <w:r>
        <w:rPr/>
        <w:t>In our simplified model of the STS, we did not take shape variation and sex difference into account. The outer and inner dimensions of the STS are simplified. The average length, width and height of the STS in our patients were 154.7, 136.1, and 90.3 mm. If we assuming that the STS is half ellipsoid in shape, the average V_STS would be 989 mL, considerably smaller than the actual volume of 1154 mL.</w:t>
      </w:r>
    </w:p>
    <w:p>
      <w:pPr>
        <w:pStyle w:val="BodyText"/>
        <w:spacing w:line="249" w:lineRule="auto" w:before="3"/>
        <w:ind w:left="438" w:right="535" w:firstLine="237"/>
        <w:jc w:val="both"/>
      </w:pPr>
      <w:r>
        <w:rPr/>
        <w:t>There are two reasons that can explain the underestimation caused by direct application of the ellipsoid formula. First, basal parts of the cerebral hemispheres are located below the level of the midbrain. In this study, about 13% of the V_STS was located caudal to the slice containing the midbrain and was not included in volumetry. Secondly, the largest lengths and widths of the STSs did not appear in the basal slice containing the TI (or the midbrain). Most of them were 20 mm, or 3-5 slices, above the basal slice. Direct application of the ellipsoid formula, which has the largest area at its equatorial plane, results in underestimation. On the</w:t>
      </w:r>
      <w:r>
        <w:rPr>
          <w:spacing w:val="40"/>
        </w:rPr>
        <w:t> </w:t>
      </w:r>
      <w:r>
        <w:rPr/>
        <w:t>other hand, with a length and width larger than the actual craniometry, our STS model can compensate for the underestimation of the volume.</w:t>
      </w:r>
    </w:p>
    <w:p>
      <w:pPr>
        <w:pStyle w:val="BodyText"/>
        <w:spacing w:line="249" w:lineRule="auto" w:before="7"/>
        <w:ind w:left="438" w:right="539" w:firstLine="237"/>
        <w:jc w:val="both"/>
      </w:pPr>
      <w:r>
        <w:rPr/>
        <w:t>Males have larger ICVs and V_STSs than females. Compare to females, the ICV was 15% larger, the V_STS 14% larger, the V_ITS 20% larger in males in this study. The average length, width, and height, as well</w:t>
      </w:r>
      <w:r>
        <w:rPr>
          <w:spacing w:val="4"/>
        </w:rPr>
        <w:t> </w:t>
      </w:r>
      <w:r>
        <w:rPr/>
        <w:t>as</w:t>
      </w:r>
      <w:r>
        <w:rPr>
          <w:spacing w:val="6"/>
        </w:rPr>
        <w:t> </w:t>
      </w:r>
      <w:r>
        <w:rPr/>
        <w:t>the</w:t>
      </w:r>
      <w:r>
        <w:rPr>
          <w:spacing w:val="6"/>
        </w:rPr>
        <w:t> </w:t>
      </w:r>
      <w:r>
        <w:rPr/>
        <w:t>inner</w:t>
      </w:r>
      <w:r>
        <w:rPr>
          <w:spacing w:val="5"/>
        </w:rPr>
        <w:t> </w:t>
      </w:r>
      <w:r>
        <w:rPr/>
        <w:t>dimensions,</w:t>
      </w:r>
      <w:r>
        <w:rPr>
          <w:spacing w:val="6"/>
        </w:rPr>
        <w:t> </w:t>
      </w:r>
      <w:r>
        <w:rPr/>
        <w:t>of</w:t>
      </w:r>
      <w:r>
        <w:rPr>
          <w:spacing w:val="7"/>
        </w:rPr>
        <w:t> </w:t>
      </w:r>
      <w:r>
        <w:rPr/>
        <w:t>the</w:t>
      </w:r>
      <w:r>
        <w:rPr>
          <w:spacing w:val="5"/>
        </w:rPr>
        <w:t> </w:t>
      </w:r>
      <w:r>
        <w:rPr/>
        <w:t>STS</w:t>
      </w:r>
      <w:r>
        <w:rPr>
          <w:spacing w:val="6"/>
        </w:rPr>
        <w:t> </w:t>
      </w:r>
      <w:r>
        <w:rPr/>
        <w:t>were</w:t>
      </w:r>
      <w:r>
        <w:rPr>
          <w:spacing w:val="7"/>
        </w:rPr>
        <w:t> </w:t>
      </w:r>
      <w:r>
        <w:rPr/>
        <w:t>about</w:t>
      </w:r>
      <w:r>
        <w:rPr>
          <w:spacing w:val="6"/>
        </w:rPr>
        <w:t> </w:t>
      </w:r>
      <w:r>
        <w:rPr/>
        <w:t>4%</w:t>
      </w:r>
      <w:r>
        <w:rPr>
          <w:spacing w:val="6"/>
        </w:rPr>
        <w:t> </w:t>
      </w:r>
      <w:r>
        <w:rPr/>
        <w:t>larger</w:t>
      </w:r>
      <w:r>
        <w:rPr>
          <w:spacing w:val="7"/>
        </w:rPr>
        <w:t> </w:t>
      </w:r>
      <w:r>
        <w:rPr/>
        <w:t>in</w:t>
      </w:r>
      <w:r>
        <w:rPr>
          <w:spacing w:val="7"/>
        </w:rPr>
        <w:t> </w:t>
      </w:r>
      <w:r>
        <w:rPr/>
        <w:t>males.</w:t>
      </w:r>
      <w:r>
        <w:rPr>
          <w:spacing w:val="6"/>
        </w:rPr>
        <w:t> </w:t>
      </w:r>
      <w:r>
        <w:rPr/>
        <w:t>The</w:t>
      </w:r>
      <w:r>
        <w:rPr>
          <w:spacing w:val="6"/>
        </w:rPr>
        <w:t> </w:t>
      </w:r>
      <w:r>
        <w:rPr/>
        <w:t>model</w:t>
      </w:r>
      <w:r>
        <w:rPr>
          <w:spacing w:val="7"/>
        </w:rPr>
        <w:t> </w:t>
      </w:r>
      <w:r>
        <w:rPr/>
        <w:t>we</w:t>
      </w:r>
      <w:r>
        <w:rPr>
          <w:spacing w:val="4"/>
        </w:rPr>
        <w:t> </w:t>
      </w:r>
      <w:r>
        <w:rPr/>
        <w:t>created</w:t>
      </w:r>
      <w:r>
        <w:rPr>
          <w:spacing w:val="7"/>
        </w:rPr>
        <w:t> </w:t>
      </w:r>
      <w:r>
        <w:rPr/>
        <w:t>has</w:t>
      </w:r>
      <w:r>
        <w:rPr>
          <w:spacing w:val="7"/>
        </w:rPr>
        <w:t> </w:t>
      </w:r>
      <w:r>
        <w:rPr/>
        <w:t>a</w:t>
      </w:r>
      <w:r>
        <w:rPr>
          <w:spacing w:val="5"/>
        </w:rPr>
        <w:t> </w:t>
      </w:r>
      <w:r>
        <w:rPr>
          <w:spacing w:val="-2"/>
        </w:rPr>
        <w:t>V_STS</w:t>
      </w:r>
    </w:p>
    <w:p>
      <w:pPr>
        <w:spacing w:after="0" w:line="249" w:lineRule="auto"/>
        <w:jc w:val="both"/>
        <w:sectPr>
          <w:pgSz w:w="10890" w:h="14860"/>
          <w:pgMar w:header="713" w:footer="0" w:top="900" w:bottom="280" w:left="520" w:right="540"/>
        </w:sectPr>
      </w:pPr>
    </w:p>
    <w:p>
      <w:pPr>
        <w:pStyle w:val="BodyText"/>
        <w:spacing w:before="79"/>
      </w:pPr>
    </w:p>
    <w:p>
      <w:pPr>
        <w:pStyle w:val="BodyText"/>
        <w:spacing w:line="249" w:lineRule="auto"/>
        <w:ind w:left="482" w:right="495"/>
        <w:jc w:val="both"/>
      </w:pPr>
      <w:r>
        <w:rPr/>
        <w:t>close to that of females. To create a half sphere model that has a V_STS of the males, the diameter would be approximately 168 mm.</w:t>
      </w:r>
    </w:p>
    <w:p>
      <w:pPr>
        <w:pStyle w:val="BodyText"/>
        <w:spacing w:line="249" w:lineRule="auto" w:before="2"/>
        <w:ind w:left="482" w:right="493" w:firstLine="237"/>
        <w:jc w:val="both"/>
      </w:pPr>
      <w:r>
        <w:rPr/>
        <w:t>Theoretically, the CT studies produce a series of images that are parallel to the OM line. However, the actual gantry tilt angle varied from -2 to 28.2 degrees, depending on patient posture and whether there is need for</w:t>
      </w:r>
      <w:r>
        <w:rPr>
          <w:spacing w:val="-1"/>
        </w:rPr>
        <w:t> </w:t>
      </w:r>
      <w:r>
        <w:rPr/>
        <w:t>cervical</w:t>
      </w:r>
      <w:r>
        <w:rPr>
          <w:spacing w:val="-1"/>
        </w:rPr>
        <w:t> </w:t>
      </w:r>
      <w:r>
        <w:rPr/>
        <w:t>spine</w:t>
      </w:r>
      <w:r>
        <w:rPr>
          <w:spacing w:val="-1"/>
        </w:rPr>
        <w:t> </w:t>
      </w:r>
      <w:r>
        <w:rPr/>
        <w:t>imaging.</w:t>
      </w:r>
      <w:r>
        <w:rPr>
          <w:spacing w:val="-2"/>
        </w:rPr>
        <w:t> </w:t>
      </w:r>
      <w:r>
        <w:rPr/>
        <w:t>We</w:t>
      </w:r>
      <w:r>
        <w:rPr>
          <w:spacing w:val="-1"/>
        </w:rPr>
        <w:t> </w:t>
      </w:r>
      <w:r>
        <w:rPr/>
        <w:t>did</w:t>
      </w:r>
      <w:r>
        <w:rPr>
          <w:spacing w:val="-2"/>
        </w:rPr>
        <w:t> </w:t>
      </w:r>
      <w:r>
        <w:rPr/>
        <w:t>not</w:t>
      </w:r>
      <w:r>
        <w:rPr>
          <w:spacing w:val="-2"/>
        </w:rPr>
        <w:t> </w:t>
      </w:r>
      <w:r>
        <w:rPr/>
        <w:t>find</w:t>
      </w:r>
      <w:r>
        <w:rPr>
          <w:spacing w:val="-1"/>
        </w:rPr>
        <w:t> </w:t>
      </w:r>
      <w:r>
        <w:rPr/>
        <w:t>any</w:t>
      </w:r>
      <w:r>
        <w:rPr>
          <w:spacing w:val="-1"/>
        </w:rPr>
        <w:t> </w:t>
      </w:r>
      <w:r>
        <w:rPr/>
        <w:t>relationship</w:t>
      </w:r>
      <w:r>
        <w:rPr>
          <w:spacing w:val="-1"/>
        </w:rPr>
        <w:t> </w:t>
      </w:r>
      <w:r>
        <w:rPr/>
        <w:t>between</w:t>
      </w:r>
      <w:r>
        <w:rPr>
          <w:spacing w:val="-1"/>
        </w:rPr>
        <w:t> </w:t>
      </w:r>
      <w:r>
        <w:rPr/>
        <w:t>the</w:t>
      </w:r>
      <w:r>
        <w:rPr>
          <w:spacing w:val="-2"/>
        </w:rPr>
        <w:t> </w:t>
      </w:r>
      <w:r>
        <w:rPr/>
        <w:t>degree</w:t>
      </w:r>
      <w:r>
        <w:rPr>
          <w:spacing w:val="-1"/>
        </w:rPr>
        <w:t> </w:t>
      </w:r>
      <w:r>
        <w:rPr/>
        <w:t>of</w:t>
      </w:r>
      <w:r>
        <w:rPr>
          <w:spacing w:val="-2"/>
        </w:rPr>
        <w:t> </w:t>
      </w:r>
      <w:r>
        <w:rPr/>
        <w:t>gantry</w:t>
      </w:r>
      <w:r>
        <w:rPr>
          <w:spacing w:val="-1"/>
        </w:rPr>
        <w:t> </w:t>
      </w:r>
      <w:r>
        <w:rPr/>
        <w:t>tilt</w:t>
      </w:r>
      <w:r>
        <w:rPr>
          <w:spacing w:val="-1"/>
        </w:rPr>
        <w:t> </w:t>
      </w:r>
      <w:r>
        <w:rPr/>
        <w:t>and</w:t>
      </w:r>
      <w:r>
        <w:rPr>
          <w:spacing w:val="-2"/>
        </w:rPr>
        <w:t> </w:t>
      </w:r>
      <w:r>
        <w:rPr/>
        <w:t>variables</w:t>
      </w:r>
      <w:r>
        <w:rPr>
          <w:spacing w:val="-1"/>
        </w:rPr>
        <w:t> </w:t>
      </w:r>
      <w:r>
        <w:rPr/>
        <w:t>we measured (p=0.374). Sahin noted larger difference between volumetric results using coronal and axial slices</w:t>
      </w:r>
      <w:r>
        <w:rPr>
          <w:spacing w:val="40"/>
        </w:rPr>
        <w:t> </w:t>
      </w:r>
      <w:r>
        <w:rPr/>
        <w:t>of 10-mm thickness but the difference is small with 5-mm slices. [12]</w:t>
      </w:r>
    </w:p>
    <w:p>
      <w:pPr>
        <w:pStyle w:val="BodyText"/>
        <w:spacing w:line="249" w:lineRule="auto" w:before="5"/>
        <w:ind w:left="482" w:right="488" w:firstLine="237"/>
        <w:jc w:val="both"/>
      </w:pPr>
      <w:r>
        <w:rPr/>
        <w:t>The volumes of the STS and the ITS are highly correlated to that of ICV. Males have larger ICVs and thus larger V_STSs. In this study, all female patients have ICVs smaller than 1400 mL, while two male patients have</w:t>
      </w:r>
      <w:r>
        <w:rPr>
          <w:spacing w:val="-2"/>
        </w:rPr>
        <w:t> </w:t>
      </w:r>
      <w:r>
        <w:rPr/>
        <w:t>ICVs</w:t>
      </w:r>
      <w:r>
        <w:rPr>
          <w:spacing w:val="-1"/>
        </w:rPr>
        <w:t> </w:t>
      </w:r>
      <w:r>
        <w:rPr/>
        <w:t>larger</w:t>
      </w:r>
      <w:r>
        <w:rPr>
          <w:spacing w:val="-1"/>
        </w:rPr>
        <w:t> </w:t>
      </w:r>
      <w:r>
        <w:rPr/>
        <w:t>than</w:t>
      </w:r>
      <w:r>
        <w:rPr>
          <w:spacing w:val="-1"/>
        </w:rPr>
        <w:t> </w:t>
      </w:r>
      <w:r>
        <w:rPr/>
        <w:t>1550 mL.</w:t>
      </w:r>
      <w:r>
        <w:rPr>
          <w:spacing w:val="-1"/>
        </w:rPr>
        <w:t> </w:t>
      </w:r>
      <w:r>
        <w:rPr/>
        <w:t>Significant</w:t>
      </w:r>
      <w:r>
        <w:rPr>
          <w:spacing w:val="-2"/>
        </w:rPr>
        <w:t> </w:t>
      </w:r>
      <w:r>
        <w:rPr/>
        <w:t>amount</w:t>
      </w:r>
      <w:r>
        <w:rPr>
          <w:spacing w:val="-2"/>
        </w:rPr>
        <w:t> </w:t>
      </w:r>
      <w:r>
        <w:rPr/>
        <w:t>of</w:t>
      </w:r>
      <w:r>
        <w:rPr>
          <w:spacing w:val="-2"/>
        </w:rPr>
        <w:t> </w:t>
      </w:r>
      <w:r>
        <w:rPr/>
        <w:t>extra-cerebral</w:t>
      </w:r>
      <w:r>
        <w:rPr>
          <w:spacing w:val="-1"/>
        </w:rPr>
        <w:t> </w:t>
      </w:r>
      <w:r>
        <w:rPr/>
        <w:t>CSF</w:t>
      </w:r>
      <w:r>
        <w:rPr>
          <w:spacing w:val="-2"/>
        </w:rPr>
        <w:t> </w:t>
      </w:r>
      <w:r>
        <w:rPr/>
        <w:t>exceeding</w:t>
      </w:r>
      <w:r>
        <w:rPr>
          <w:spacing w:val="-1"/>
        </w:rPr>
        <w:t> </w:t>
      </w:r>
      <w:r>
        <w:rPr/>
        <w:t>180</w:t>
      </w:r>
      <w:r>
        <w:rPr>
          <w:spacing w:val="-1"/>
        </w:rPr>
        <w:t> </w:t>
      </w:r>
      <w:r>
        <w:rPr/>
        <w:t>mL</w:t>
      </w:r>
      <w:r>
        <w:rPr>
          <w:spacing w:val="-1"/>
        </w:rPr>
        <w:t> </w:t>
      </w:r>
      <w:r>
        <w:rPr/>
        <w:t>was</w:t>
      </w:r>
      <w:r>
        <w:rPr>
          <w:spacing w:val="-1"/>
        </w:rPr>
        <w:t> </w:t>
      </w:r>
      <w:r>
        <w:rPr/>
        <w:t>observed</w:t>
      </w:r>
      <w:r>
        <w:rPr>
          <w:spacing w:val="-1"/>
        </w:rPr>
        <w:t> </w:t>
      </w:r>
      <w:r>
        <w:rPr/>
        <w:t>in the patient with the largest ICV of 1716 mL, who had a ventricular CSF volume of 87 mL. On the other hand, smaller ventricles were observed in those with smaller ICVs. Since our model has a volume slightly smaller than the average V_STS of all male and female patients, we consider this model applicable to all patients except those with extremely large ICVs.</w:t>
      </w:r>
    </w:p>
    <w:p>
      <w:pPr>
        <w:pStyle w:val="BodyText"/>
        <w:spacing w:before="16"/>
      </w:pPr>
    </w:p>
    <w:p>
      <w:pPr>
        <w:pStyle w:val="ListParagraph"/>
        <w:numPr>
          <w:ilvl w:val="1"/>
          <w:numId w:val="1"/>
        </w:numPr>
        <w:tabs>
          <w:tab w:pos="835" w:val="left" w:leader="none"/>
        </w:tabs>
        <w:spacing w:line="240" w:lineRule="auto" w:before="0" w:after="0"/>
        <w:ind w:left="835" w:right="0" w:hanging="353"/>
        <w:jc w:val="left"/>
        <w:rPr>
          <w:i/>
          <w:sz w:val="20"/>
        </w:rPr>
      </w:pPr>
      <w:r>
        <w:rPr>
          <w:i/>
          <w:sz w:val="20"/>
        </w:rPr>
        <w:t>Potential</w:t>
      </w:r>
      <w:r>
        <w:rPr>
          <w:i/>
          <w:spacing w:val="-7"/>
          <w:sz w:val="20"/>
        </w:rPr>
        <w:t> </w:t>
      </w:r>
      <w:r>
        <w:rPr>
          <w:i/>
          <w:spacing w:val="-2"/>
          <w:sz w:val="20"/>
        </w:rPr>
        <w:t>applications</w:t>
      </w:r>
    </w:p>
    <w:p>
      <w:pPr>
        <w:pStyle w:val="BodyText"/>
        <w:spacing w:before="20"/>
        <w:rPr>
          <w:i/>
        </w:rPr>
      </w:pPr>
    </w:p>
    <w:p>
      <w:pPr>
        <w:pStyle w:val="BodyText"/>
        <w:spacing w:line="249" w:lineRule="auto"/>
        <w:ind w:left="482" w:right="491" w:firstLine="237"/>
        <w:jc w:val="both"/>
      </w:pPr>
      <w:r>
        <w:rPr/>
        <w:t>The</w:t>
      </w:r>
      <w:r>
        <w:rPr>
          <w:spacing w:val="-1"/>
        </w:rPr>
        <w:t> </w:t>
      </w:r>
      <w:r>
        <w:rPr/>
        <w:t>goal</w:t>
      </w:r>
      <w:r>
        <w:rPr>
          <w:spacing w:val="-1"/>
        </w:rPr>
        <w:t> </w:t>
      </w:r>
      <w:r>
        <w:rPr/>
        <w:t>of this study is to</w:t>
      </w:r>
      <w:r>
        <w:rPr>
          <w:spacing w:val="-1"/>
        </w:rPr>
        <w:t> </w:t>
      </w:r>
      <w:r>
        <w:rPr/>
        <w:t>develop a simple 3-dimensional</w:t>
      </w:r>
      <w:r>
        <w:rPr>
          <w:spacing w:val="-1"/>
        </w:rPr>
        <w:t> </w:t>
      </w:r>
      <w:r>
        <w:rPr/>
        <w:t>geometric model of the</w:t>
      </w:r>
      <w:r>
        <w:rPr>
          <w:spacing w:val="-1"/>
        </w:rPr>
        <w:t> </w:t>
      </w:r>
      <w:r>
        <w:rPr/>
        <w:t>STS that can</w:t>
      </w:r>
      <w:r>
        <w:rPr>
          <w:spacing w:val="-1"/>
        </w:rPr>
        <w:t> </w:t>
      </w:r>
      <w:r>
        <w:rPr/>
        <w:t>be</w:t>
      </w:r>
      <w:r>
        <w:rPr>
          <w:spacing w:val="-1"/>
        </w:rPr>
        <w:t> </w:t>
      </w:r>
      <w:r>
        <w:rPr/>
        <w:t>used in biomechanical simulations of brain herniation. Ideally, the cerebral hemispheres should fit tightly into both halves of the STS with minimal volume at the subdural and subarachnoid spaces. Under this condition, the dimensions of the cerebral hemispheres can be approximated by those of the STS model, obviating the need</w:t>
      </w:r>
      <w:r>
        <w:rPr>
          <w:spacing w:val="80"/>
        </w:rPr>
        <w:t> </w:t>
      </w:r>
      <w:r>
        <w:rPr/>
        <w:t>of creating another object to represent the skull. Boundary conditions, such as deformation or pressure loads, can be directly applied to our model. We can model SFH by immobilizing the falx cerebri (Area 8 in Fig. 1) while allowing brain movement at the SFS (Area 6). Similarly, we can model TTH by allowing free brain movement at the TI but limiting brain movement along the equatorial surface at other parts of the basal </w:t>
      </w:r>
      <w:r>
        <w:rPr>
          <w:spacing w:val="-2"/>
        </w:rPr>
        <w:t>surface.</w:t>
      </w:r>
    </w:p>
    <w:p>
      <w:pPr>
        <w:pStyle w:val="BodyText"/>
        <w:spacing w:before="18"/>
      </w:pPr>
    </w:p>
    <w:p>
      <w:pPr>
        <w:pStyle w:val="Heading1"/>
        <w:numPr>
          <w:ilvl w:val="0"/>
          <w:numId w:val="1"/>
        </w:numPr>
        <w:tabs>
          <w:tab w:pos="686" w:val="left" w:leader="none"/>
        </w:tabs>
        <w:spacing w:line="240" w:lineRule="auto" w:before="0" w:after="0"/>
        <w:ind w:left="686" w:right="0" w:hanging="204"/>
        <w:jc w:val="left"/>
      </w:pPr>
      <w:r>
        <w:rPr>
          <w:spacing w:val="-2"/>
        </w:rPr>
        <w:t>Conclusion</w:t>
      </w:r>
    </w:p>
    <w:p>
      <w:pPr>
        <w:pStyle w:val="BodyText"/>
        <w:spacing w:before="20"/>
        <w:rPr>
          <w:b/>
        </w:rPr>
      </w:pPr>
    </w:p>
    <w:p>
      <w:pPr>
        <w:pStyle w:val="BodyText"/>
        <w:spacing w:line="249" w:lineRule="auto"/>
        <w:ind w:left="482" w:right="492" w:firstLine="237"/>
        <w:jc w:val="both"/>
      </w:pPr>
      <w:r>
        <w:rPr/>
        <w:t>Based on CT craniometry, we have constructed a simple geometric model of the supratentorial space for simulating brain herniation. Having a volume close to that of a female adult, this model can be used in biomechanical studies.</w:t>
      </w:r>
    </w:p>
    <w:p>
      <w:pPr>
        <w:pStyle w:val="BodyText"/>
      </w:pPr>
    </w:p>
    <w:p>
      <w:pPr>
        <w:pStyle w:val="BodyText"/>
        <w:spacing w:before="7"/>
      </w:pPr>
    </w:p>
    <w:p>
      <w:pPr>
        <w:pStyle w:val="Heading1"/>
        <w:ind w:firstLine="0"/>
      </w:pPr>
      <w:r>
        <w:rPr>
          <w:spacing w:val="-2"/>
        </w:rPr>
        <w:t>References</w:t>
      </w:r>
    </w:p>
    <w:p>
      <w:pPr>
        <w:pStyle w:val="ListParagraph"/>
        <w:numPr>
          <w:ilvl w:val="0"/>
          <w:numId w:val="2"/>
        </w:numPr>
        <w:tabs>
          <w:tab w:pos="761" w:val="left" w:leader="none"/>
        </w:tabs>
        <w:spacing w:line="240" w:lineRule="auto" w:before="197" w:after="0"/>
        <w:ind w:left="482" w:right="948" w:firstLine="0"/>
        <w:jc w:val="left"/>
        <w:rPr>
          <w:sz w:val="20"/>
        </w:rPr>
      </w:pPr>
      <w:r>
        <w:rPr>
          <w:sz w:val="20"/>
        </w:rPr>
        <w:t>H.</w:t>
      </w:r>
      <w:r>
        <w:rPr>
          <w:spacing w:val="-4"/>
          <w:sz w:val="20"/>
        </w:rPr>
        <w:t> </w:t>
      </w:r>
      <w:r>
        <w:rPr>
          <w:sz w:val="20"/>
        </w:rPr>
        <w:t>Gray,</w:t>
      </w:r>
      <w:r>
        <w:rPr>
          <w:spacing w:val="-2"/>
          <w:sz w:val="20"/>
        </w:rPr>
        <w:t> </w:t>
      </w:r>
      <w:r>
        <w:rPr>
          <w:sz w:val="20"/>
        </w:rPr>
        <w:t>and</w:t>
      </w:r>
      <w:r>
        <w:rPr>
          <w:spacing w:val="-2"/>
          <w:sz w:val="20"/>
        </w:rPr>
        <w:t> </w:t>
      </w:r>
      <w:r>
        <w:rPr>
          <w:sz w:val="20"/>
        </w:rPr>
        <w:t>C.</w:t>
      </w:r>
      <w:r>
        <w:rPr>
          <w:spacing w:val="-2"/>
          <w:sz w:val="20"/>
        </w:rPr>
        <w:t> </w:t>
      </w:r>
      <w:r>
        <w:rPr>
          <w:sz w:val="20"/>
        </w:rPr>
        <w:t>Clemente,</w:t>
      </w:r>
      <w:r>
        <w:rPr>
          <w:spacing w:val="-2"/>
          <w:sz w:val="20"/>
        </w:rPr>
        <w:t> </w:t>
      </w:r>
      <w:r>
        <w:rPr>
          <w:sz w:val="20"/>
        </w:rPr>
        <w:t>Gray's</w:t>
      </w:r>
      <w:r>
        <w:rPr>
          <w:spacing w:val="-2"/>
          <w:sz w:val="20"/>
        </w:rPr>
        <w:t> </w:t>
      </w:r>
      <w:r>
        <w:rPr>
          <w:sz w:val="20"/>
        </w:rPr>
        <w:t>Anatomy</w:t>
      </w:r>
      <w:r>
        <w:rPr>
          <w:spacing w:val="-2"/>
          <w:sz w:val="20"/>
        </w:rPr>
        <w:t> </w:t>
      </w:r>
      <w:r>
        <w:rPr>
          <w:sz w:val="20"/>
        </w:rPr>
        <w:t>of</w:t>
      </w:r>
      <w:r>
        <w:rPr>
          <w:spacing w:val="-2"/>
          <w:sz w:val="20"/>
        </w:rPr>
        <w:t> </w:t>
      </w:r>
      <w:r>
        <w:rPr>
          <w:sz w:val="20"/>
        </w:rPr>
        <w:t>the</w:t>
      </w:r>
      <w:r>
        <w:rPr>
          <w:spacing w:val="-2"/>
          <w:sz w:val="20"/>
        </w:rPr>
        <w:t> </w:t>
      </w:r>
      <w:r>
        <w:rPr>
          <w:sz w:val="20"/>
        </w:rPr>
        <w:t>Human</w:t>
      </w:r>
      <w:r>
        <w:rPr>
          <w:spacing w:val="-2"/>
          <w:sz w:val="20"/>
        </w:rPr>
        <w:t> </w:t>
      </w:r>
      <w:r>
        <w:rPr>
          <w:sz w:val="20"/>
        </w:rPr>
        <w:t>Body,</w:t>
      </w:r>
      <w:r>
        <w:rPr>
          <w:spacing w:val="-2"/>
          <w:sz w:val="20"/>
        </w:rPr>
        <w:t> </w:t>
      </w:r>
      <w:r>
        <w:rPr>
          <w:sz w:val="20"/>
        </w:rPr>
        <w:t>30</w:t>
      </w:r>
      <w:r>
        <w:rPr>
          <w:spacing w:val="-2"/>
          <w:sz w:val="20"/>
        </w:rPr>
        <w:t> </w:t>
      </w:r>
      <w:r>
        <w:rPr>
          <w:sz w:val="20"/>
        </w:rPr>
        <w:t>ed.,</w:t>
      </w:r>
      <w:r>
        <w:rPr>
          <w:spacing w:val="-2"/>
          <w:sz w:val="20"/>
        </w:rPr>
        <w:t> </w:t>
      </w:r>
      <w:r>
        <w:rPr>
          <w:sz w:val="20"/>
        </w:rPr>
        <w:t>Philadelphia,</w:t>
      </w:r>
      <w:r>
        <w:rPr>
          <w:spacing w:val="-2"/>
          <w:sz w:val="20"/>
        </w:rPr>
        <w:t> </w:t>
      </w:r>
      <w:r>
        <w:rPr>
          <w:sz w:val="20"/>
        </w:rPr>
        <w:t>PA:</w:t>
      </w:r>
      <w:r>
        <w:rPr>
          <w:spacing w:val="-4"/>
          <w:sz w:val="20"/>
        </w:rPr>
        <w:t> </w:t>
      </w:r>
      <w:r>
        <w:rPr>
          <w:sz w:val="20"/>
        </w:rPr>
        <w:t>Lippincott Williams &amp; Wilkins, 1984.</w:t>
      </w:r>
    </w:p>
    <w:p>
      <w:pPr>
        <w:pStyle w:val="ListParagraph"/>
        <w:numPr>
          <w:ilvl w:val="0"/>
          <w:numId w:val="2"/>
        </w:numPr>
        <w:tabs>
          <w:tab w:pos="763" w:val="left" w:leader="none"/>
        </w:tabs>
        <w:spacing w:line="240" w:lineRule="auto" w:before="1" w:after="0"/>
        <w:ind w:left="482" w:right="883" w:firstLine="0"/>
        <w:jc w:val="left"/>
        <w:rPr>
          <w:sz w:val="20"/>
        </w:rPr>
      </w:pPr>
      <w:r>
        <w:rPr>
          <w:sz w:val="20"/>
        </w:rPr>
        <w:t>M.</w:t>
      </w:r>
      <w:r>
        <w:rPr>
          <w:spacing w:val="-3"/>
          <w:sz w:val="20"/>
        </w:rPr>
        <w:t> </w:t>
      </w:r>
      <w:r>
        <w:rPr>
          <w:sz w:val="20"/>
        </w:rPr>
        <w:t>E.</w:t>
      </w:r>
      <w:r>
        <w:rPr>
          <w:spacing w:val="-2"/>
          <w:sz w:val="20"/>
        </w:rPr>
        <w:t> </w:t>
      </w:r>
      <w:r>
        <w:rPr>
          <w:sz w:val="20"/>
        </w:rPr>
        <w:t>Brummer,</w:t>
      </w:r>
      <w:r>
        <w:rPr>
          <w:spacing w:val="-2"/>
          <w:sz w:val="20"/>
        </w:rPr>
        <w:t> </w:t>
      </w:r>
      <w:r>
        <w:rPr>
          <w:sz w:val="20"/>
        </w:rPr>
        <w:t>“Hough</w:t>
      </w:r>
      <w:r>
        <w:rPr>
          <w:spacing w:val="-2"/>
          <w:sz w:val="20"/>
        </w:rPr>
        <w:t> </w:t>
      </w:r>
      <w:r>
        <w:rPr>
          <w:sz w:val="20"/>
        </w:rPr>
        <w:t>transform</w:t>
      </w:r>
      <w:r>
        <w:rPr>
          <w:spacing w:val="-4"/>
          <w:sz w:val="20"/>
        </w:rPr>
        <w:t> </w:t>
      </w:r>
      <w:r>
        <w:rPr>
          <w:sz w:val="20"/>
        </w:rPr>
        <w:t>detection</w:t>
      </w:r>
      <w:r>
        <w:rPr>
          <w:spacing w:val="-3"/>
          <w:sz w:val="20"/>
        </w:rPr>
        <w:t> </w:t>
      </w:r>
      <w:r>
        <w:rPr>
          <w:sz w:val="20"/>
        </w:rPr>
        <w:t>of</w:t>
      </w:r>
      <w:r>
        <w:rPr>
          <w:spacing w:val="-2"/>
          <w:sz w:val="20"/>
        </w:rPr>
        <w:t> </w:t>
      </w:r>
      <w:r>
        <w:rPr>
          <w:sz w:val="20"/>
        </w:rPr>
        <w:t>the</w:t>
      </w:r>
      <w:r>
        <w:rPr>
          <w:spacing w:val="-2"/>
          <w:sz w:val="20"/>
        </w:rPr>
        <w:t> </w:t>
      </w:r>
      <w:r>
        <w:rPr>
          <w:sz w:val="20"/>
        </w:rPr>
        <w:t>longitudinal</w:t>
      </w:r>
      <w:r>
        <w:rPr>
          <w:spacing w:val="-2"/>
          <w:sz w:val="20"/>
        </w:rPr>
        <w:t> </w:t>
      </w:r>
      <w:r>
        <w:rPr>
          <w:sz w:val="20"/>
        </w:rPr>
        <w:t>fissure</w:t>
      </w:r>
      <w:r>
        <w:rPr>
          <w:spacing w:val="-2"/>
          <w:sz w:val="20"/>
        </w:rPr>
        <w:t> </w:t>
      </w:r>
      <w:r>
        <w:rPr>
          <w:sz w:val="20"/>
        </w:rPr>
        <w:t>in</w:t>
      </w:r>
      <w:r>
        <w:rPr>
          <w:spacing w:val="-2"/>
          <w:sz w:val="20"/>
        </w:rPr>
        <w:t> </w:t>
      </w:r>
      <w:r>
        <w:rPr>
          <w:sz w:val="20"/>
        </w:rPr>
        <w:t>tomographic</w:t>
      </w:r>
      <w:r>
        <w:rPr>
          <w:spacing w:val="-2"/>
          <w:sz w:val="20"/>
        </w:rPr>
        <w:t> </w:t>
      </w:r>
      <w:r>
        <w:rPr>
          <w:sz w:val="20"/>
        </w:rPr>
        <w:t>head</w:t>
      </w:r>
      <w:r>
        <w:rPr>
          <w:spacing w:val="-2"/>
          <w:sz w:val="20"/>
        </w:rPr>
        <w:t> </w:t>
      </w:r>
      <w:r>
        <w:rPr>
          <w:sz w:val="20"/>
        </w:rPr>
        <w:t>images,” Medical Imaging, IEEE Transactions on, vol. 10, no. 1, pp. 74-81, 1991.</w:t>
      </w:r>
    </w:p>
    <w:p>
      <w:pPr>
        <w:pStyle w:val="ListParagraph"/>
        <w:numPr>
          <w:ilvl w:val="0"/>
          <w:numId w:val="2"/>
        </w:numPr>
        <w:tabs>
          <w:tab w:pos="763" w:val="left" w:leader="none"/>
        </w:tabs>
        <w:spacing w:line="230" w:lineRule="exact" w:before="0" w:after="0"/>
        <w:ind w:left="763" w:right="0" w:hanging="281"/>
        <w:jc w:val="left"/>
        <w:rPr>
          <w:sz w:val="20"/>
        </w:rPr>
      </w:pPr>
      <w:r>
        <w:rPr>
          <w:sz w:val="20"/>
        </w:rPr>
        <w:t>A.</w:t>
      </w:r>
      <w:r>
        <w:rPr>
          <w:spacing w:val="-5"/>
          <w:sz w:val="20"/>
        </w:rPr>
        <w:t> </w:t>
      </w:r>
      <w:r>
        <w:rPr>
          <w:sz w:val="20"/>
        </w:rPr>
        <w:t>L.</w:t>
      </w:r>
      <w:r>
        <w:rPr>
          <w:spacing w:val="-1"/>
          <w:sz w:val="20"/>
        </w:rPr>
        <w:t> </w:t>
      </w:r>
      <w:r>
        <w:rPr>
          <w:sz w:val="20"/>
        </w:rPr>
        <w:t>Rhoton</w:t>
      </w:r>
      <w:r>
        <w:rPr>
          <w:spacing w:val="-2"/>
          <w:sz w:val="20"/>
        </w:rPr>
        <w:t> </w:t>
      </w:r>
      <w:r>
        <w:rPr>
          <w:sz w:val="20"/>
        </w:rPr>
        <w:t>Jr,</w:t>
      </w:r>
      <w:r>
        <w:rPr>
          <w:spacing w:val="-1"/>
          <w:sz w:val="20"/>
        </w:rPr>
        <w:t> </w:t>
      </w:r>
      <w:r>
        <w:rPr>
          <w:sz w:val="20"/>
        </w:rPr>
        <w:t>“Tentorial</w:t>
      </w:r>
      <w:r>
        <w:rPr>
          <w:spacing w:val="-2"/>
          <w:sz w:val="20"/>
        </w:rPr>
        <w:t> </w:t>
      </w:r>
      <w:r>
        <w:rPr>
          <w:sz w:val="20"/>
        </w:rPr>
        <w:t>Incisura,”</w:t>
      </w:r>
      <w:r>
        <w:rPr>
          <w:spacing w:val="-2"/>
          <w:sz w:val="20"/>
        </w:rPr>
        <w:t> </w:t>
      </w:r>
      <w:r>
        <w:rPr>
          <w:sz w:val="20"/>
        </w:rPr>
        <w:t>Neurosurgery,</w:t>
      </w:r>
      <w:r>
        <w:rPr>
          <w:spacing w:val="-3"/>
          <w:sz w:val="20"/>
        </w:rPr>
        <w:t> </w:t>
      </w:r>
      <w:r>
        <w:rPr>
          <w:sz w:val="20"/>
        </w:rPr>
        <w:t>vol.</w:t>
      </w:r>
      <w:r>
        <w:rPr>
          <w:spacing w:val="-2"/>
          <w:sz w:val="20"/>
        </w:rPr>
        <w:t> </w:t>
      </w:r>
      <w:r>
        <w:rPr>
          <w:sz w:val="20"/>
        </w:rPr>
        <w:t>47,</w:t>
      </w:r>
      <w:r>
        <w:rPr>
          <w:spacing w:val="-3"/>
          <w:sz w:val="20"/>
        </w:rPr>
        <w:t> </w:t>
      </w:r>
      <w:r>
        <w:rPr>
          <w:sz w:val="20"/>
        </w:rPr>
        <w:t>no.</w:t>
      </w:r>
      <w:r>
        <w:rPr>
          <w:spacing w:val="-2"/>
          <w:sz w:val="20"/>
        </w:rPr>
        <w:t> </w:t>
      </w:r>
      <w:r>
        <w:rPr>
          <w:sz w:val="20"/>
        </w:rPr>
        <w:t>3,</w:t>
      </w:r>
      <w:r>
        <w:rPr>
          <w:spacing w:val="-3"/>
          <w:sz w:val="20"/>
        </w:rPr>
        <w:t> </w:t>
      </w:r>
      <w:r>
        <w:rPr>
          <w:sz w:val="20"/>
        </w:rPr>
        <w:t>pp.</w:t>
      </w:r>
      <w:r>
        <w:rPr>
          <w:spacing w:val="-2"/>
          <w:sz w:val="20"/>
        </w:rPr>
        <w:t> </w:t>
      </w:r>
      <w:r>
        <w:rPr>
          <w:sz w:val="20"/>
        </w:rPr>
        <w:t>S131-S153,</w:t>
      </w:r>
      <w:r>
        <w:rPr>
          <w:spacing w:val="-2"/>
          <w:sz w:val="20"/>
        </w:rPr>
        <w:t> 2000.</w:t>
      </w:r>
    </w:p>
    <w:p>
      <w:pPr>
        <w:pStyle w:val="ListParagraph"/>
        <w:numPr>
          <w:ilvl w:val="0"/>
          <w:numId w:val="2"/>
        </w:numPr>
        <w:tabs>
          <w:tab w:pos="763" w:val="left" w:leader="none"/>
        </w:tabs>
        <w:spacing w:line="240" w:lineRule="auto" w:before="1" w:after="0"/>
        <w:ind w:left="482" w:right="523" w:firstLine="0"/>
        <w:jc w:val="left"/>
        <w:rPr>
          <w:sz w:val="20"/>
        </w:rPr>
      </w:pPr>
      <w:r>
        <w:rPr>
          <w:sz w:val="20"/>
        </w:rPr>
        <w:t>R. Bullock, R. Chesnut, J. Ghajar, D. Gordon, R. Hartl, D. Newell, F. Servadei, B. Walters, and J. Wilberger,</w:t>
      </w:r>
      <w:r>
        <w:rPr>
          <w:spacing w:val="-3"/>
          <w:sz w:val="20"/>
        </w:rPr>
        <w:t> </w:t>
      </w:r>
      <w:r>
        <w:rPr>
          <w:sz w:val="20"/>
        </w:rPr>
        <w:t>“Appendix</w:t>
      </w:r>
      <w:r>
        <w:rPr>
          <w:spacing w:val="-4"/>
          <w:sz w:val="20"/>
        </w:rPr>
        <w:t> </w:t>
      </w:r>
      <w:r>
        <w:rPr>
          <w:sz w:val="20"/>
        </w:rPr>
        <w:t>II:</w:t>
      </w:r>
      <w:r>
        <w:rPr>
          <w:spacing w:val="-4"/>
          <w:sz w:val="20"/>
        </w:rPr>
        <w:t> </w:t>
      </w:r>
      <w:r>
        <w:rPr>
          <w:sz w:val="20"/>
        </w:rPr>
        <w:t>Evaluation</w:t>
      </w:r>
      <w:r>
        <w:rPr>
          <w:spacing w:val="-4"/>
          <w:sz w:val="20"/>
        </w:rPr>
        <w:t> </w:t>
      </w:r>
      <w:r>
        <w:rPr>
          <w:sz w:val="20"/>
        </w:rPr>
        <w:t>of</w:t>
      </w:r>
      <w:r>
        <w:rPr>
          <w:spacing w:val="-3"/>
          <w:sz w:val="20"/>
        </w:rPr>
        <w:t> </w:t>
      </w:r>
      <w:r>
        <w:rPr>
          <w:sz w:val="20"/>
        </w:rPr>
        <w:t>Relevant</w:t>
      </w:r>
      <w:r>
        <w:rPr>
          <w:spacing w:val="-3"/>
          <w:sz w:val="20"/>
        </w:rPr>
        <w:t> </w:t>
      </w:r>
      <w:r>
        <w:rPr>
          <w:sz w:val="20"/>
        </w:rPr>
        <w:t>Computed</w:t>
      </w:r>
      <w:r>
        <w:rPr>
          <w:spacing w:val="-3"/>
          <w:sz w:val="20"/>
        </w:rPr>
        <w:t> </w:t>
      </w:r>
      <w:r>
        <w:rPr>
          <w:sz w:val="20"/>
        </w:rPr>
        <w:t>Tomographic</w:t>
      </w:r>
      <w:r>
        <w:rPr>
          <w:spacing w:val="-4"/>
          <w:sz w:val="20"/>
        </w:rPr>
        <w:t> </w:t>
      </w:r>
      <w:r>
        <w:rPr>
          <w:sz w:val="20"/>
        </w:rPr>
        <w:t>Scan</w:t>
      </w:r>
      <w:r>
        <w:rPr>
          <w:spacing w:val="-3"/>
          <w:sz w:val="20"/>
        </w:rPr>
        <w:t> </w:t>
      </w:r>
      <w:r>
        <w:rPr>
          <w:sz w:val="20"/>
        </w:rPr>
        <w:t>Findings,”</w:t>
      </w:r>
      <w:r>
        <w:rPr>
          <w:spacing w:val="-3"/>
          <w:sz w:val="20"/>
        </w:rPr>
        <w:t> </w:t>
      </w:r>
      <w:r>
        <w:rPr>
          <w:sz w:val="20"/>
        </w:rPr>
        <w:t>Neurosurgery,</w:t>
      </w:r>
      <w:r>
        <w:rPr>
          <w:spacing w:val="-3"/>
          <w:sz w:val="20"/>
        </w:rPr>
        <w:t> </w:t>
      </w:r>
      <w:r>
        <w:rPr>
          <w:sz w:val="20"/>
        </w:rPr>
        <w:t>vol. 58, no. S2, p. 62, 2006.</w:t>
      </w:r>
    </w:p>
    <w:p>
      <w:pPr>
        <w:pStyle w:val="ListParagraph"/>
        <w:numPr>
          <w:ilvl w:val="0"/>
          <w:numId w:val="2"/>
        </w:numPr>
        <w:tabs>
          <w:tab w:pos="764" w:val="left" w:leader="none"/>
        </w:tabs>
        <w:spacing w:line="240" w:lineRule="auto" w:before="0" w:after="0"/>
        <w:ind w:left="482" w:right="1101" w:firstLine="0"/>
        <w:jc w:val="left"/>
        <w:rPr>
          <w:sz w:val="20"/>
        </w:rPr>
      </w:pPr>
      <w:r>
        <w:rPr>
          <w:sz w:val="20"/>
        </w:rPr>
        <w:t>C. C. Liao, I. J. Chiang, F. Xiao, and J. M. Wong, “Tracing the Deformed Midline on Brain CT,” Biomedical</w:t>
      </w:r>
      <w:r>
        <w:rPr>
          <w:spacing w:val="-2"/>
          <w:sz w:val="20"/>
        </w:rPr>
        <w:t> </w:t>
      </w:r>
      <w:r>
        <w:rPr>
          <w:sz w:val="20"/>
        </w:rPr>
        <w:t>Engineering:</w:t>
      </w:r>
      <w:r>
        <w:rPr>
          <w:spacing w:val="-2"/>
          <w:sz w:val="20"/>
        </w:rPr>
        <w:t> </w:t>
      </w:r>
      <w:r>
        <w:rPr>
          <w:sz w:val="20"/>
        </w:rPr>
        <w:t>Applications,</w:t>
      </w:r>
      <w:r>
        <w:rPr>
          <w:spacing w:val="-2"/>
          <w:sz w:val="20"/>
        </w:rPr>
        <w:t> </w:t>
      </w:r>
      <w:r>
        <w:rPr>
          <w:sz w:val="20"/>
        </w:rPr>
        <w:t>Basis</w:t>
      </w:r>
      <w:r>
        <w:rPr>
          <w:spacing w:val="-3"/>
          <w:sz w:val="20"/>
        </w:rPr>
        <w:t> </w:t>
      </w:r>
      <w:r>
        <w:rPr>
          <w:sz w:val="20"/>
        </w:rPr>
        <w:t>and</w:t>
      </w:r>
      <w:r>
        <w:rPr>
          <w:spacing w:val="-2"/>
          <w:sz w:val="20"/>
        </w:rPr>
        <w:t> </w:t>
      </w:r>
      <w:r>
        <w:rPr>
          <w:sz w:val="20"/>
        </w:rPr>
        <w:t>Communications,</w:t>
      </w:r>
      <w:r>
        <w:rPr>
          <w:spacing w:val="-3"/>
          <w:sz w:val="20"/>
        </w:rPr>
        <w:t> </w:t>
      </w:r>
      <w:r>
        <w:rPr>
          <w:sz w:val="20"/>
        </w:rPr>
        <w:t>vol.</w:t>
      </w:r>
      <w:r>
        <w:rPr>
          <w:spacing w:val="-4"/>
          <w:sz w:val="20"/>
        </w:rPr>
        <w:t> </w:t>
      </w:r>
      <w:r>
        <w:rPr>
          <w:sz w:val="20"/>
        </w:rPr>
        <w:t>18,</w:t>
      </w:r>
      <w:r>
        <w:rPr>
          <w:spacing w:val="-2"/>
          <w:sz w:val="20"/>
        </w:rPr>
        <w:t> </w:t>
      </w:r>
      <w:r>
        <w:rPr>
          <w:sz w:val="20"/>
        </w:rPr>
        <w:t>no.</w:t>
      </w:r>
      <w:r>
        <w:rPr>
          <w:spacing w:val="-3"/>
          <w:sz w:val="20"/>
        </w:rPr>
        <w:t> </w:t>
      </w:r>
      <w:r>
        <w:rPr>
          <w:sz w:val="20"/>
        </w:rPr>
        <w:t>06,</w:t>
      </w:r>
      <w:r>
        <w:rPr>
          <w:spacing w:val="-3"/>
          <w:sz w:val="20"/>
        </w:rPr>
        <w:t> </w:t>
      </w:r>
      <w:r>
        <w:rPr>
          <w:sz w:val="20"/>
        </w:rPr>
        <w:t>pp.</w:t>
      </w:r>
      <w:r>
        <w:rPr>
          <w:spacing w:val="-3"/>
          <w:sz w:val="20"/>
        </w:rPr>
        <w:t> </w:t>
      </w:r>
      <w:r>
        <w:rPr>
          <w:sz w:val="20"/>
        </w:rPr>
        <w:t>305-311,</w:t>
      </w:r>
      <w:r>
        <w:rPr>
          <w:spacing w:val="-3"/>
          <w:sz w:val="20"/>
        </w:rPr>
        <w:t> </w:t>
      </w:r>
      <w:r>
        <w:rPr>
          <w:sz w:val="20"/>
        </w:rPr>
        <w:t>2006.</w:t>
      </w:r>
    </w:p>
    <w:p>
      <w:pPr>
        <w:pStyle w:val="ListParagraph"/>
        <w:numPr>
          <w:ilvl w:val="0"/>
          <w:numId w:val="2"/>
        </w:numPr>
        <w:tabs>
          <w:tab w:pos="763" w:val="left" w:leader="none"/>
        </w:tabs>
        <w:spacing w:line="228" w:lineRule="exact" w:before="0" w:after="0"/>
        <w:ind w:left="763" w:right="0" w:hanging="281"/>
        <w:jc w:val="left"/>
        <w:rPr>
          <w:sz w:val="20"/>
        </w:rPr>
      </w:pPr>
      <w:r>
        <w:rPr>
          <w:sz w:val="20"/>
        </w:rPr>
        <w:t>C.</w:t>
      </w:r>
      <w:r>
        <w:rPr>
          <w:spacing w:val="-6"/>
          <w:sz w:val="20"/>
        </w:rPr>
        <w:t> </w:t>
      </w:r>
      <w:r>
        <w:rPr>
          <w:sz w:val="20"/>
        </w:rPr>
        <w:t>C.</w:t>
      </w:r>
      <w:r>
        <w:rPr>
          <w:spacing w:val="-3"/>
          <w:sz w:val="20"/>
        </w:rPr>
        <w:t> </w:t>
      </w:r>
      <w:r>
        <w:rPr>
          <w:sz w:val="20"/>
        </w:rPr>
        <w:t>Liao,</w:t>
      </w:r>
      <w:r>
        <w:rPr>
          <w:spacing w:val="-3"/>
          <w:sz w:val="20"/>
        </w:rPr>
        <w:t> </w:t>
      </w:r>
      <w:r>
        <w:rPr>
          <w:sz w:val="20"/>
        </w:rPr>
        <w:t>F.</w:t>
      </w:r>
      <w:r>
        <w:rPr>
          <w:spacing w:val="-4"/>
          <w:sz w:val="20"/>
        </w:rPr>
        <w:t> </w:t>
      </w:r>
      <w:r>
        <w:rPr>
          <w:sz w:val="20"/>
        </w:rPr>
        <w:t>R.</w:t>
      </w:r>
      <w:r>
        <w:rPr>
          <w:spacing w:val="-3"/>
          <w:sz w:val="20"/>
        </w:rPr>
        <w:t> </w:t>
      </w:r>
      <w:r>
        <w:rPr>
          <w:sz w:val="20"/>
        </w:rPr>
        <w:t>Xiao,</w:t>
      </w:r>
      <w:r>
        <w:rPr>
          <w:spacing w:val="-3"/>
          <w:sz w:val="20"/>
        </w:rPr>
        <w:t> </w:t>
      </w:r>
      <w:r>
        <w:rPr>
          <w:sz w:val="20"/>
        </w:rPr>
        <w:t>J.</w:t>
      </w:r>
      <w:r>
        <w:rPr>
          <w:spacing w:val="-4"/>
          <w:sz w:val="20"/>
        </w:rPr>
        <w:t> </w:t>
      </w:r>
      <w:r>
        <w:rPr>
          <w:sz w:val="20"/>
        </w:rPr>
        <w:t>M.</w:t>
      </w:r>
      <w:r>
        <w:rPr>
          <w:spacing w:val="-4"/>
          <w:sz w:val="20"/>
        </w:rPr>
        <w:t> </w:t>
      </w:r>
      <w:r>
        <w:rPr>
          <w:sz w:val="20"/>
        </w:rPr>
        <w:t>Wong,</w:t>
      </w:r>
      <w:r>
        <w:rPr>
          <w:spacing w:val="-3"/>
          <w:sz w:val="20"/>
        </w:rPr>
        <w:t> </w:t>
      </w:r>
      <w:r>
        <w:rPr>
          <w:sz w:val="20"/>
        </w:rPr>
        <w:t>and</w:t>
      </w:r>
      <w:r>
        <w:rPr>
          <w:spacing w:val="-4"/>
          <w:sz w:val="20"/>
        </w:rPr>
        <w:t> </w:t>
      </w:r>
      <w:r>
        <w:rPr>
          <w:sz w:val="20"/>
        </w:rPr>
        <w:t>I.</w:t>
      </w:r>
      <w:r>
        <w:rPr>
          <w:spacing w:val="-3"/>
          <w:sz w:val="20"/>
        </w:rPr>
        <w:t> </w:t>
      </w:r>
      <w:r>
        <w:rPr>
          <w:sz w:val="20"/>
        </w:rPr>
        <w:t>J.</w:t>
      </w:r>
      <w:r>
        <w:rPr>
          <w:spacing w:val="-3"/>
          <w:sz w:val="20"/>
        </w:rPr>
        <w:t> </w:t>
      </w:r>
      <w:r>
        <w:rPr>
          <w:sz w:val="20"/>
        </w:rPr>
        <w:t>Chiang,</w:t>
      </w:r>
      <w:r>
        <w:rPr>
          <w:spacing w:val="-3"/>
          <w:sz w:val="20"/>
        </w:rPr>
        <w:t> </w:t>
      </w:r>
      <w:r>
        <w:rPr>
          <w:sz w:val="20"/>
        </w:rPr>
        <w:t>“Automatic</w:t>
      </w:r>
      <w:r>
        <w:rPr>
          <w:spacing w:val="-3"/>
          <w:sz w:val="20"/>
        </w:rPr>
        <w:t> </w:t>
      </w:r>
      <w:r>
        <w:rPr>
          <w:sz w:val="20"/>
        </w:rPr>
        <w:t>recognition</w:t>
      </w:r>
      <w:r>
        <w:rPr>
          <w:spacing w:val="-3"/>
          <w:sz w:val="20"/>
        </w:rPr>
        <w:t> </w:t>
      </w:r>
      <w:r>
        <w:rPr>
          <w:sz w:val="20"/>
        </w:rPr>
        <w:t>of</w:t>
      </w:r>
      <w:r>
        <w:rPr>
          <w:spacing w:val="-3"/>
          <w:sz w:val="20"/>
        </w:rPr>
        <w:t> </w:t>
      </w:r>
      <w:r>
        <w:rPr>
          <w:sz w:val="20"/>
        </w:rPr>
        <w:t>midline</w:t>
      </w:r>
      <w:r>
        <w:rPr>
          <w:spacing w:val="-3"/>
          <w:sz w:val="20"/>
        </w:rPr>
        <w:t> </w:t>
      </w:r>
      <w:r>
        <w:rPr>
          <w:sz w:val="20"/>
        </w:rPr>
        <w:t>shift</w:t>
      </w:r>
      <w:r>
        <w:rPr>
          <w:spacing w:val="-4"/>
          <w:sz w:val="20"/>
        </w:rPr>
        <w:t> </w:t>
      </w:r>
      <w:r>
        <w:rPr>
          <w:sz w:val="20"/>
        </w:rPr>
        <w:t>on</w:t>
      </w:r>
      <w:r>
        <w:rPr>
          <w:spacing w:val="-3"/>
          <w:sz w:val="20"/>
        </w:rPr>
        <w:t> </w:t>
      </w:r>
      <w:r>
        <w:rPr>
          <w:sz w:val="20"/>
        </w:rPr>
        <w:t>brain</w:t>
      </w:r>
      <w:r>
        <w:rPr>
          <w:spacing w:val="-3"/>
          <w:sz w:val="20"/>
        </w:rPr>
        <w:t> </w:t>
      </w:r>
      <w:r>
        <w:rPr>
          <w:spacing w:val="-5"/>
          <w:sz w:val="20"/>
        </w:rPr>
        <w:t>CT</w:t>
      </w:r>
    </w:p>
    <w:p>
      <w:pPr>
        <w:spacing w:after="0" w:line="228" w:lineRule="exact"/>
        <w:jc w:val="left"/>
        <w:rPr>
          <w:sz w:val="20"/>
        </w:rPr>
        <w:sectPr>
          <w:pgSz w:w="10890" w:h="14860"/>
          <w:pgMar w:header="713" w:footer="0" w:top="900" w:bottom="280" w:left="520" w:right="540"/>
        </w:sectPr>
      </w:pPr>
    </w:p>
    <w:p>
      <w:pPr>
        <w:pStyle w:val="BodyText"/>
        <w:spacing w:before="117"/>
      </w:pPr>
    </w:p>
    <w:p>
      <w:pPr>
        <w:pStyle w:val="BodyText"/>
        <w:ind w:left="455"/>
      </w:pPr>
      <w:r>
        <w:rPr/>
        <w:t>images,”</w:t>
      </w:r>
      <w:r>
        <w:rPr>
          <w:spacing w:val="-3"/>
        </w:rPr>
        <w:t> </w:t>
      </w:r>
      <w:r>
        <w:rPr/>
        <w:t>Computers</w:t>
      </w:r>
      <w:r>
        <w:rPr>
          <w:spacing w:val="-2"/>
        </w:rPr>
        <w:t> </w:t>
      </w:r>
      <w:r>
        <w:rPr/>
        <w:t>in</w:t>
      </w:r>
      <w:r>
        <w:rPr>
          <w:spacing w:val="-2"/>
        </w:rPr>
        <w:t> </w:t>
      </w:r>
      <w:r>
        <w:rPr/>
        <w:t>Biology</w:t>
      </w:r>
      <w:r>
        <w:rPr>
          <w:spacing w:val="-2"/>
        </w:rPr>
        <w:t> </w:t>
      </w:r>
      <w:r>
        <w:rPr/>
        <w:t>and</w:t>
      </w:r>
      <w:r>
        <w:rPr>
          <w:spacing w:val="-2"/>
        </w:rPr>
        <w:t> </w:t>
      </w:r>
      <w:r>
        <w:rPr/>
        <w:t>Medicine,</w:t>
      </w:r>
      <w:r>
        <w:rPr>
          <w:spacing w:val="-4"/>
        </w:rPr>
        <w:t> </w:t>
      </w:r>
      <w:r>
        <w:rPr/>
        <w:t>vol.</w:t>
      </w:r>
      <w:r>
        <w:rPr>
          <w:spacing w:val="-3"/>
        </w:rPr>
        <w:t> </w:t>
      </w:r>
      <w:r>
        <w:rPr/>
        <w:t>40,</w:t>
      </w:r>
      <w:r>
        <w:rPr>
          <w:spacing w:val="-3"/>
        </w:rPr>
        <w:t> </w:t>
      </w:r>
      <w:r>
        <w:rPr/>
        <w:t>no.</w:t>
      </w:r>
      <w:r>
        <w:rPr>
          <w:spacing w:val="-3"/>
        </w:rPr>
        <w:t> </w:t>
      </w:r>
      <w:r>
        <w:rPr/>
        <w:t>3,</w:t>
      </w:r>
      <w:r>
        <w:rPr>
          <w:spacing w:val="-3"/>
        </w:rPr>
        <w:t> </w:t>
      </w:r>
      <w:r>
        <w:rPr/>
        <w:t>pp.</w:t>
      </w:r>
      <w:r>
        <w:rPr>
          <w:spacing w:val="-3"/>
        </w:rPr>
        <w:t> </w:t>
      </w:r>
      <w:r>
        <w:rPr/>
        <w:t>331-339,</w:t>
      </w:r>
      <w:r>
        <w:rPr>
          <w:spacing w:val="-2"/>
        </w:rPr>
        <w:t> </w:t>
      </w:r>
      <w:r>
        <w:rPr/>
        <w:t>Mar,</w:t>
      </w:r>
      <w:r>
        <w:rPr>
          <w:spacing w:val="-3"/>
        </w:rPr>
        <w:t> </w:t>
      </w:r>
      <w:r>
        <w:rPr>
          <w:spacing w:val="-2"/>
        </w:rPr>
        <w:t>2010.</w:t>
      </w:r>
    </w:p>
    <w:p>
      <w:pPr>
        <w:pStyle w:val="ListParagraph"/>
        <w:numPr>
          <w:ilvl w:val="0"/>
          <w:numId w:val="2"/>
        </w:numPr>
        <w:tabs>
          <w:tab w:pos="736" w:val="left" w:leader="none"/>
        </w:tabs>
        <w:spacing w:line="240" w:lineRule="auto" w:before="0" w:after="0"/>
        <w:ind w:left="455" w:right="719" w:firstLine="0"/>
        <w:jc w:val="left"/>
        <w:rPr>
          <w:sz w:val="20"/>
        </w:rPr>
      </w:pPr>
      <w:r>
        <w:rPr>
          <w:sz w:val="20"/>
        </w:rPr>
        <w:t>F.</w:t>
      </w:r>
      <w:r>
        <w:rPr>
          <w:spacing w:val="-2"/>
          <w:sz w:val="20"/>
        </w:rPr>
        <w:t> </w:t>
      </w:r>
      <w:r>
        <w:rPr>
          <w:sz w:val="20"/>
        </w:rPr>
        <w:t>R.</w:t>
      </w:r>
      <w:r>
        <w:rPr>
          <w:spacing w:val="-3"/>
          <w:sz w:val="20"/>
        </w:rPr>
        <w:t> </w:t>
      </w:r>
      <w:r>
        <w:rPr>
          <w:sz w:val="20"/>
        </w:rPr>
        <w:t>Xiao,</w:t>
      </w:r>
      <w:r>
        <w:rPr>
          <w:spacing w:val="-3"/>
          <w:sz w:val="20"/>
        </w:rPr>
        <w:t> </w:t>
      </w:r>
      <w:r>
        <w:rPr>
          <w:sz w:val="20"/>
        </w:rPr>
        <w:t>I.</w:t>
      </w:r>
      <w:r>
        <w:rPr>
          <w:spacing w:val="-2"/>
          <w:sz w:val="20"/>
        </w:rPr>
        <w:t> </w:t>
      </w:r>
      <w:r>
        <w:rPr>
          <w:sz w:val="20"/>
        </w:rPr>
        <w:t>J.</w:t>
      </w:r>
      <w:r>
        <w:rPr>
          <w:spacing w:val="-2"/>
          <w:sz w:val="20"/>
        </w:rPr>
        <w:t> </w:t>
      </w:r>
      <w:r>
        <w:rPr>
          <w:sz w:val="20"/>
        </w:rPr>
        <w:t>Chiang,</w:t>
      </w:r>
      <w:r>
        <w:rPr>
          <w:spacing w:val="-2"/>
          <w:sz w:val="20"/>
        </w:rPr>
        <w:t> </w:t>
      </w:r>
      <w:r>
        <w:rPr>
          <w:sz w:val="20"/>
        </w:rPr>
        <w:t>J.</w:t>
      </w:r>
      <w:r>
        <w:rPr>
          <w:spacing w:val="-3"/>
          <w:sz w:val="20"/>
        </w:rPr>
        <w:t> </w:t>
      </w:r>
      <w:r>
        <w:rPr>
          <w:sz w:val="20"/>
        </w:rPr>
        <w:t>M.</w:t>
      </w:r>
      <w:r>
        <w:rPr>
          <w:spacing w:val="-3"/>
          <w:sz w:val="20"/>
        </w:rPr>
        <w:t> </w:t>
      </w:r>
      <w:r>
        <w:rPr>
          <w:sz w:val="20"/>
        </w:rPr>
        <w:t>Wong,</w:t>
      </w:r>
      <w:r>
        <w:rPr>
          <w:spacing w:val="-3"/>
          <w:sz w:val="20"/>
        </w:rPr>
        <w:t> </w:t>
      </w:r>
      <w:r>
        <w:rPr>
          <w:sz w:val="20"/>
        </w:rPr>
        <w:t>Y.</w:t>
      </w:r>
      <w:r>
        <w:rPr>
          <w:spacing w:val="-3"/>
          <w:sz w:val="20"/>
        </w:rPr>
        <w:t> </w:t>
      </w:r>
      <w:r>
        <w:rPr>
          <w:sz w:val="20"/>
        </w:rPr>
        <w:t>H.</w:t>
      </w:r>
      <w:r>
        <w:rPr>
          <w:spacing w:val="-3"/>
          <w:sz w:val="20"/>
        </w:rPr>
        <w:t> </w:t>
      </w:r>
      <w:r>
        <w:rPr>
          <w:sz w:val="20"/>
        </w:rPr>
        <w:t>Tsai,</w:t>
      </w:r>
      <w:r>
        <w:rPr>
          <w:spacing w:val="-3"/>
          <w:sz w:val="20"/>
        </w:rPr>
        <w:t> </w:t>
      </w:r>
      <w:r>
        <w:rPr>
          <w:sz w:val="20"/>
        </w:rPr>
        <w:t>K.</w:t>
      </w:r>
      <w:r>
        <w:rPr>
          <w:spacing w:val="-2"/>
          <w:sz w:val="20"/>
        </w:rPr>
        <w:t> </w:t>
      </w:r>
      <w:r>
        <w:rPr>
          <w:sz w:val="20"/>
        </w:rPr>
        <w:t>C.</w:t>
      </w:r>
      <w:r>
        <w:rPr>
          <w:spacing w:val="-3"/>
          <w:sz w:val="20"/>
        </w:rPr>
        <w:t> </w:t>
      </w:r>
      <w:r>
        <w:rPr>
          <w:sz w:val="20"/>
        </w:rPr>
        <w:t>Huang,</w:t>
      </w:r>
      <w:r>
        <w:rPr>
          <w:spacing w:val="-2"/>
          <w:sz w:val="20"/>
        </w:rPr>
        <w:t> </w:t>
      </w:r>
      <w:r>
        <w:rPr>
          <w:sz w:val="20"/>
        </w:rPr>
        <w:t>and</w:t>
      </w:r>
      <w:r>
        <w:rPr>
          <w:spacing w:val="-2"/>
          <w:sz w:val="20"/>
        </w:rPr>
        <w:t> </w:t>
      </w:r>
      <w:r>
        <w:rPr>
          <w:sz w:val="20"/>
        </w:rPr>
        <w:t>C.</w:t>
      </w:r>
      <w:r>
        <w:rPr>
          <w:spacing w:val="-3"/>
          <w:sz w:val="20"/>
        </w:rPr>
        <w:t> </w:t>
      </w:r>
      <w:r>
        <w:rPr>
          <w:sz w:val="20"/>
        </w:rPr>
        <w:t>C.</w:t>
      </w:r>
      <w:r>
        <w:rPr>
          <w:spacing w:val="-2"/>
          <w:sz w:val="20"/>
        </w:rPr>
        <w:t> </w:t>
      </w:r>
      <w:r>
        <w:rPr>
          <w:sz w:val="20"/>
        </w:rPr>
        <w:t>Liao,</w:t>
      </w:r>
      <w:r>
        <w:rPr>
          <w:spacing w:val="-2"/>
          <w:sz w:val="20"/>
        </w:rPr>
        <w:t> </w:t>
      </w:r>
      <w:r>
        <w:rPr>
          <w:sz w:val="20"/>
        </w:rPr>
        <w:t>“Automatic</w:t>
      </w:r>
      <w:r>
        <w:rPr>
          <w:spacing w:val="-1"/>
          <w:sz w:val="20"/>
        </w:rPr>
        <w:t> </w:t>
      </w:r>
      <w:r>
        <w:rPr>
          <w:sz w:val="20"/>
        </w:rPr>
        <w:t>measurement of midline shift on deformed brains using multiresolution binary level set method and Hough transform,” Computers in Biology and Medicine, vol. 41, no. 9, pp. 756-762, Sep, 2011.</w:t>
      </w:r>
    </w:p>
    <w:p>
      <w:pPr>
        <w:pStyle w:val="ListParagraph"/>
        <w:numPr>
          <w:ilvl w:val="0"/>
          <w:numId w:val="2"/>
        </w:numPr>
        <w:tabs>
          <w:tab w:pos="736" w:val="left" w:leader="none"/>
        </w:tabs>
        <w:spacing w:line="240" w:lineRule="auto" w:before="0" w:after="0"/>
        <w:ind w:left="455" w:right="527" w:firstLine="0"/>
        <w:jc w:val="left"/>
        <w:rPr>
          <w:sz w:val="20"/>
        </w:rPr>
      </w:pPr>
      <w:r>
        <w:rPr>
          <w:sz w:val="20"/>
        </w:rPr>
        <w:t>F.</w:t>
      </w:r>
      <w:r>
        <w:rPr>
          <w:spacing w:val="-3"/>
          <w:sz w:val="20"/>
        </w:rPr>
        <w:t> </w:t>
      </w:r>
      <w:r>
        <w:rPr>
          <w:sz w:val="20"/>
        </w:rPr>
        <w:t>Xiao,</w:t>
      </w:r>
      <w:r>
        <w:rPr>
          <w:spacing w:val="-2"/>
          <w:sz w:val="20"/>
        </w:rPr>
        <w:t> </w:t>
      </w:r>
      <w:r>
        <w:rPr>
          <w:sz w:val="20"/>
        </w:rPr>
        <w:t>C.</w:t>
      </w:r>
      <w:r>
        <w:rPr>
          <w:spacing w:val="-3"/>
          <w:sz w:val="20"/>
        </w:rPr>
        <w:t> </w:t>
      </w:r>
      <w:r>
        <w:rPr>
          <w:sz w:val="20"/>
        </w:rPr>
        <w:t>C.</w:t>
      </w:r>
      <w:r>
        <w:rPr>
          <w:spacing w:val="-1"/>
          <w:sz w:val="20"/>
        </w:rPr>
        <w:t> </w:t>
      </w:r>
      <w:r>
        <w:rPr>
          <w:sz w:val="20"/>
        </w:rPr>
        <w:t>Liao,</w:t>
      </w:r>
      <w:r>
        <w:rPr>
          <w:spacing w:val="-2"/>
          <w:sz w:val="20"/>
        </w:rPr>
        <w:t> </w:t>
      </w:r>
      <w:r>
        <w:rPr>
          <w:sz w:val="20"/>
        </w:rPr>
        <w:t>K.</w:t>
      </w:r>
      <w:r>
        <w:rPr>
          <w:spacing w:val="-2"/>
          <w:sz w:val="20"/>
        </w:rPr>
        <w:t> </w:t>
      </w:r>
      <w:r>
        <w:rPr>
          <w:sz w:val="20"/>
        </w:rPr>
        <w:t>C.</w:t>
      </w:r>
      <w:r>
        <w:rPr>
          <w:spacing w:val="-3"/>
          <w:sz w:val="20"/>
        </w:rPr>
        <w:t> </w:t>
      </w:r>
      <w:r>
        <w:rPr>
          <w:sz w:val="20"/>
        </w:rPr>
        <w:t>Huang,</w:t>
      </w:r>
      <w:r>
        <w:rPr>
          <w:spacing w:val="-3"/>
          <w:sz w:val="20"/>
        </w:rPr>
        <w:t> </w:t>
      </w:r>
      <w:r>
        <w:rPr>
          <w:sz w:val="20"/>
        </w:rPr>
        <w:t>I.</w:t>
      </w:r>
      <w:r>
        <w:rPr>
          <w:spacing w:val="-2"/>
          <w:sz w:val="20"/>
        </w:rPr>
        <w:t> </w:t>
      </w:r>
      <w:r>
        <w:rPr>
          <w:sz w:val="20"/>
        </w:rPr>
        <w:t>J.</w:t>
      </w:r>
      <w:r>
        <w:rPr>
          <w:spacing w:val="-2"/>
          <w:sz w:val="20"/>
        </w:rPr>
        <w:t> </w:t>
      </w:r>
      <w:r>
        <w:rPr>
          <w:sz w:val="20"/>
        </w:rPr>
        <w:t>Chiang,</w:t>
      </w:r>
      <w:r>
        <w:rPr>
          <w:spacing w:val="-2"/>
          <w:sz w:val="20"/>
        </w:rPr>
        <w:t> </w:t>
      </w:r>
      <w:r>
        <w:rPr>
          <w:sz w:val="20"/>
        </w:rPr>
        <w:t>and</w:t>
      </w:r>
      <w:r>
        <w:rPr>
          <w:spacing w:val="-3"/>
          <w:sz w:val="20"/>
        </w:rPr>
        <w:t> </w:t>
      </w:r>
      <w:r>
        <w:rPr>
          <w:sz w:val="20"/>
        </w:rPr>
        <w:t>J.</w:t>
      </w:r>
      <w:r>
        <w:rPr>
          <w:spacing w:val="-2"/>
          <w:sz w:val="20"/>
        </w:rPr>
        <w:t> </w:t>
      </w:r>
      <w:r>
        <w:rPr>
          <w:sz w:val="20"/>
        </w:rPr>
        <w:t>M.</w:t>
      </w:r>
      <w:r>
        <w:rPr>
          <w:spacing w:val="-3"/>
          <w:sz w:val="20"/>
        </w:rPr>
        <w:t> </w:t>
      </w:r>
      <w:r>
        <w:rPr>
          <w:sz w:val="20"/>
        </w:rPr>
        <w:t>Wong,</w:t>
      </w:r>
      <w:r>
        <w:rPr>
          <w:spacing w:val="-2"/>
          <w:sz w:val="20"/>
        </w:rPr>
        <w:t> </w:t>
      </w:r>
      <w:r>
        <w:rPr>
          <w:sz w:val="20"/>
        </w:rPr>
        <w:t>“Automated</w:t>
      </w:r>
      <w:r>
        <w:rPr>
          <w:spacing w:val="-2"/>
          <w:sz w:val="20"/>
        </w:rPr>
        <w:t> </w:t>
      </w:r>
      <w:r>
        <w:rPr>
          <w:sz w:val="20"/>
        </w:rPr>
        <w:t>assessment</w:t>
      </w:r>
      <w:r>
        <w:rPr>
          <w:spacing w:val="-2"/>
          <w:sz w:val="20"/>
        </w:rPr>
        <w:t> </w:t>
      </w:r>
      <w:r>
        <w:rPr>
          <w:sz w:val="20"/>
        </w:rPr>
        <w:t>of</w:t>
      </w:r>
      <w:r>
        <w:rPr>
          <w:spacing w:val="-2"/>
          <w:sz w:val="20"/>
        </w:rPr>
        <w:t> </w:t>
      </w:r>
      <w:r>
        <w:rPr>
          <w:sz w:val="20"/>
        </w:rPr>
        <w:t>midline</w:t>
      </w:r>
      <w:r>
        <w:rPr>
          <w:spacing w:val="-2"/>
          <w:sz w:val="20"/>
        </w:rPr>
        <w:t> </w:t>
      </w:r>
      <w:r>
        <w:rPr>
          <w:sz w:val="20"/>
        </w:rPr>
        <w:t>shift</w:t>
      </w:r>
      <w:r>
        <w:rPr>
          <w:spacing w:val="-2"/>
          <w:sz w:val="20"/>
        </w:rPr>
        <w:t> </w:t>
      </w:r>
      <w:r>
        <w:rPr>
          <w:sz w:val="20"/>
        </w:rPr>
        <w:t>in head injury patients,” Clin Neurol Neurosurg, vol. 112, no. 9, pp. 785-90, Nov, 2010.</w:t>
      </w:r>
    </w:p>
    <w:p>
      <w:pPr>
        <w:pStyle w:val="ListParagraph"/>
        <w:numPr>
          <w:ilvl w:val="0"/>
          <w:numId w:val="2"/>
        </w:numPr>
        <w:tabs>
          <w:tab w:pos="737" w:val="left" w:leader="none"/>
        </w:tabs>
        <w:spacing w:line="240" w:lineRule="auto" w:before="0" w:after="0"/>
        <w:ind w:left="455" w:right="530" w:firstLine="0"/>
        <w:jc w:val="left"/>
        <w:rPr>
          <w:sz w:val="20"/>
        </w:rPr>
      </w:pPr>
      <w:r>
        <w:rPr>
          <w:sz w:val="20"/>
        </w:rPr>
        <w:t>B.</w:t>
      </w:r>
      <w:r>
        <w:rPr>
          <w:spacing w:val="-3"/>
          <w:sz w:val="20"/>
        </w:rPr>
        <w:t> </w:t>
      </w:r>
      <w:r>
        <w:rPr>
          <w:sz w:val="20"/>
        </w:rPr>
        <w:t>Sahin,</w:t>
      </w:r>
      <w:r>
        <w:rPr>
          <w:spacing w:val="-3"/>
          <w:sz w:val="20"/>
        </w:rPr>
        <w:t> </w:t>
      </w:r>
      <w:r>
        <w:rPr>
          <w:sz w:val="20"/>
        </w:rPr>
        <w:t>"Handbook</w:t>
      </w:r>
      <w:r>
        <w:rPr>
          <w:spacing w:val="-3"/>
          <w:sz w:val="20"/>
        </w:rPr>
        <w:t> </w:t>
      </w:r>
      <w:r>
        <w:rPr>
          <w:sz w:val="20"/>
        </w:rPr>
        <w:t>of</w:t>
      </w:r>
      <w:r>
        <w:rPr>
          <w:spacing w:val="-4"/>
          <w:sz w:val="20"/>
        </w:rPr>
        <w:t> </w:t>
      </w:r>
      <w:r>
        <w:rPr>
          <w:sz w:val="20"/>
        </w:rPr>
        <w:t>Anthropometry:</w:t>
      </w:r>
      <w:r>
        <w:rPr>
          <w:spacing w:val="-2"/>
          <w:sz w:val="20"/>
        </w:rPr>
        <w:t> </w:t>
      </w:r>
      <w:r>
        <w:rPr>
          <w:sz w:val="20"/>
        </w:rPr>
        <w:t>Physical</w:t>
      </w:r>
      <w:r>
        <w:rPr>
          <w:spacing w:val="-4"/>
          <w:sz w:val="20"/>
        </w:rPr>
        <w:t> </w:t>
      </w:r>
      <w:r>
        <w:rPr>
          <w:sz w:val="20"/>
        </w:rPr>
        <w:t>Measures</w:t>
      </w:r>
      <w:r>
        <w:rPr>
          <w:spacing w:val="-3"/>
          <w:sz w:val="20"/>
        </w:rPr>
        <w:t> </w:t>
      </w:r>
      <w:r>
        <w:rPr>
          <w:sz w:val="20"/>
        </w:rPr>
        <w:t>of</w:t>
      </w:r>
      <w:r>
        <w:rPr>
          <w:spacing w:val="-3"/>
          <w:sz w:val="20"/>
        </w:rPr>
        <w:t> </w:t>
      </w:r>
      <w:r>
        <w:rPr>
          <w:sz w:val="20"/>
        </w:rPr>
        <w:t>Human</w:t>
      </w:r>
      <w:r>
        <w:rPr>
          <w:spacing w:val="-2"/>
          <w:sz w:val="20"/>
        </w:rPr>
        <w:t> </w:t>
      </w:r>
      <w:r>
        <w:rPr>
          <w:sz w:val="20"/>
        </w:rPr>
        <w:t>Form</w:t>
      </w:r>
      <w:r>
        <w:rPr>
          <w:spacing w:val="-4"/>
          <w:sz w:val="20"/>
        </w:rPr>
        <w:t> </w:t>
      </w:r>
      <w:r>
        <w:rPr>
          <w:sz w:val="20"/>
        </w:rPr>
        <w:t>in</w:t>
      </w:r>
      <w:r>
        <w:rPr>
          <w:spacing w:val="-2"/>
          <w:sz w:val="20"/>
        </w:rPr>
        <w:t> </w:t>
      </w:r>
      <w:r>
        <w:rPr>
          <w:sz w:val="20"/>
        </w:rPr>
        <w:t>Health</w:t>
      </w:r>
      <w:r>
        <w:rPr>
          <w:spacing w:val="-2"/>
          <w:sz w:val="20"/>
        </w:rPr>
        <w:t> </w:t>
      </w:r>
      <w:r>
        <w:rPr>
          <w:sz w:val="20"/>
        </w:rPr>
        <w:t>and</w:t>
      </w:r>
      <w:r>
        <w:rPr>
          <w:spacing w:val="-3"/>
          <w:sz w:val="20"/>
        </w:rPr>
        <w:t> </w:t>
      </w:r>
      <w:r>
        <w:rPr>
          <w:sz w:val="20"/>
        </w:rPr>
        <w:t>Disease,"</w:t>
      </w:r>
      <w:r>
        <w:rPr>
          <w:spacing w:val="-2"/>
          <w:sz w:val="20"/>
        </w:rPr>
        <w:t> </w:t>
      </w:r>
      <w:r>
        <w:rPr>
          <w:sz w:val="20"/>
        </w:rPr>
        <w:t>V.</w:t>
      </w:r>
      <w:r>
        <w:rPr>
          <w:spacing w:val="-2"/>
          <w:sz w:val="20"/>
        </w:rPr>
        <w:t> </w:t>
      </w:r>
      <w:r>
        <w:rPr>
          <w:sz w:val="20"/>
        </w:rPr>
        <w:t>R. Preedy, ed., Springer, 2012.</w:t>
      </w:r>
    </w:p>
    <w:p>
      <w:pPr>
        <w:pStyle w:val="ListParagraph"/>
        <w:numPr>
          <w:ilvl w:val="0"/>
          <w:numId w:val="2"/>
        </w:numPr>
        <w:tabs>
          <w:tab w:pos="835" w:val="left" w:leader="none"/>
        </w:tabs>
        <w:spacing w:line="240" w:lineRule="auto" w:before="1" w:after="0"/>
        <w:ind w:left="455" w:right="861" w:firstLine="0"/>
        <w:jc w:val="left"/>
        <w:rPr>
          <w:sz w:val="20"/>
        </w:rPr>
      </w:pPr>
      <w:r>
        <w:rPr>
          <w:sz w:val="20"/>
        </w:rPr>
        <w:t>A. S. Dekaban, “Tables of cranial and orbital measurements, cranial volume, and derived indexes in males</w:t>
      </w:r>
      <w:r>
        <w:rPr>
          <w:spacing w:val="-6"/>
          <w:sz w:val="20"/>
        </w:rPr>
        <w:t> </w:t>
      </w:r>
      <w:r>
        <w:rPr>
          <w:sz w:val="20"/>
        </w:rPr>
        <w:t>and</w:t>
      </w:r>
      <w:r>
        <w:rPr>
          <w:spacing w:val="-4"/>
          <w:sz w:val="20"/>
        </w:rPr>
        <w:t> </w:t>
      </w:r>
      <w:r>
        <w:rPr>
          <w:sz w:val="20"/>
        </w:rPr>
        <w:t>females</w:t>
      </w:r>
      <w:r>
        <w:rPr>
          <w:spacing w:val="-3"/>
          <w:sz w:val="20"/>
        </w:rPr>
        <w:t> </w:t>
      </w:r>
      <w:r>
        <w:rPr>
          <w:sz w:val="20"/>
        </w:rPr>
        <w:t>from</w:t>
      </w:r>
      <w:r>
        <w:rPr>
          <w:spacing w:val="-5"/>
          <w:sz w:val="20"/>
        </w:rPr>
        <w:t> </w:t>
      </w:r>
      <w:r>
        <w:rPr>
          <w:sz w:val="20"/>
        </w:rPr>
        <w:t>7</w:t>
      </w:r>
      <w:r>
        <w:rPr>
          <w:spacing w:val="-3"/>
          <w:sz w:val="20"/>
        </w:rPr>
        <w:t> </w:t>
      </w:r>
      <w:r>
        <w:rPr>
          <w:sz w:val="20"/>
        </w:rPr>
        <w:t>days</w:t>
      </w:r>
      <w:r>
        <w:rPr>
          <w:spacing w:val="-3"/>
          <w:sz w:val="20"/>
        </w:rPr>
        <w:t> </w:t>
      </w:r>
      <w:r>
        <w:rPr>
          <w:sz w:val="20"/>
        </w:rPr>
        <w:t>to</w:t>
      </w:r>
      <w:r>
        <w:rPr>
          <w:spacing w:val="-4"/>
          <w:sz w:val="20"/>
        </w:rPr>
        <w:t> </w:t>
      </w:r>
      <w:r>
        <w:rPr>
          <w:sz w:val="20"/>
        </w:rPr>
        <w:t>20</w:t>
      </w:r>
      <w:r>
        <w:rPr>
          <w:spacing w:val="-3"/>
          <w:sz w:val="20"/>
        </w:rPr>
        <w:t> </w:t>
      </w:r>
      <w:r>
        <w:rPr>
          <w:sz w:val="20"/>
        </w:rPr>
        <w:t>years</w:t>
      </w:r>
      <w:r>
        <w:rPr>
          <w:spacing w:val="-4"/>
          <w:sz w:val="20"/>
        </w:rPr>
        <w:t> </w:t>
      </w:r>
      <w:r>
        <w:rPr>
          <w:sz w:val="20"/>
        </w:rPr>
        <w:t>of</w:t>
      </w:r>
      <w:r>
        <w:rPr>
          <w:spacing w:val="-4"/>
          <w:sz w:val="20"/>
        </w:rPr>
        <w:t> </w:t>
      </w:r>
      <w:r>
        <w:rPr>
          <w:sz w:val="20"/>
        </w:rPr>
        <w:t>age,”</w:t>
      </w:r>
      <w:r>
        <w:rPr>
          <w:spacing w:val="-4"/>
          <w:sz w:val="20"/>
        </w:rPr>
        <w:t> </w:t>
      </w:r>
      <w:r>
        <w:rPr>
          <w:sz w:val="20"/>
        </w:rPr>
        <w:t>Annals</w:t>
      </w:r>
      <w:r>
        <w:rPr>
          <w:spacing w:val="-3"/>
          <w:sz w:val="20"/>
        </w:rPr>
        <w:t> </w:t>
      </w:r>
      <w:r>
        <w:rPr>
          <w:sz w:val="20"/>
        </w:rPr>
        <w:t>of</w:t>
      </w:r>
      <w:r>
        <w:rPr>
          <w:spacing w:val="-4"/>
          <w:sz w:val="20"/>
        </w:rPr>
        <w:t> </w:t>
      </w:r>
      <w:r>
        <w:rPr>
          <w:sz w:val="20"/>
        </w:rPr>
        <w:t>Neurology,</w:t>
      </w:r>
      <w:r>
        <w:rPr>
          <w:spacing w:val="-3"/>
          <w:sz w:val="20"/>
        </w:rPr>
        <w:t> </w:t>
      </w:r>
      <w:r>
        <w:rPr>
          <w:sz w:val="20"/>
        </w:rPr>
        <w:t>vol.</w:t>
      </w:r>
      <w:r>
        <w:rPr>
          <w:spacing w:val="-4"/>
          <w:sz w:val="20"/>
        </w:rPr>
        <w:t> </w:t>
      </w:r>
      <w:r>
        <w:rPr>
          <w:sz w:val="20"/>
        </w:rPr>
        <w:t>2,</w:t>
      </w:r>
      <w:r>
        <w:rPr>
          <w:spacing w:val="-3"/>
          <w:sz w:val="20"/>
        </w:rPr>
        <w:t> </w:t>
      </w:r>
      <w:r>
        <w:rPr>
          <w:sz w:val="20"/>
        </w:rPr>
        <w:t>no.</w:t>
      </w:r>
      <w:r>
        <w:rPr>
          <w:spacing w:val="-3"/>
          <w:sz w:val="20"/>
        </w:rPr>
        <w:t> </w:t>
      </w:r>
      <w:r>
        <w:rPr>
          <w:sz w:val="20"/>
        </w:rPr>
        <w:t>6,</w:t>
      </w:r>
      <w:r>
        <w:rPr>
          <w:spacing w:val="-4"/>
          <w:sz w:val="20"/>
        </w:rPr>
        <w:t> </w:t>
      </w:r>
      <w:r>
        <w:rPr>
          <w:sz w:val="20"/>
        </w:rPr>
        <w:t>pp.</w:t>
      </w:r>
      <w:r>
        <w:rPr>
          <w:spacing w:val="-4"/>
          <w:sz w:val="20"/>
        </w:rPr>
        <w:t> </w:t>
      </w:r>
      <w:r>
        <w:rPr>
          <w:sz w:val="20"/>
        </w:rPr>
        <w:t>485-491,</w:t>
      </w:r>
      <w:r>
        <w:rPr>
          <w:spacing w:val="-4"/>
          <w:sz w:val="20"/>
        </w:rPr>
        <w:t> </w:t>
      </w:r>
      <w:r>
        <w:rPr>
          <w:spacing w:val="-2"/>
          <w:sz w:val="20"/>
        </w:rPr>
        <w:t>1977.</w:t>
      </w:r>
    </w:p>
    <w:p>
      <w:pPr>
        <w:pStyle w:val="ListParagraph"/>
        <w:numPr>
          <w:ilvl w:val="0"/>
          <w:numId w:val="2"/>
        </w:numPr>
        <w:tabs>
          <w:tab w:pos="836" w:val="left" w:leader="none"/>
        </w:tabs>
        <w:spacing w:line="240" w:lineRule="auto" w:before="0" w:after="0"/>
        <w:ind w:left="456" w:right="554" w:firstLine="0"/>
        <w:jc w:val="left"/>
        <w:rPr>
          <w:sz w:val="20"/>
        </w:rPr>
      </w:pPr>
      <w:r>
        <w:rPr>
          <w:sz w:val="20"/>
        </w:rPr>
        <w:t>C. C. Liao, F. Xiao, J. M. Wong, and I. J. Chiang, “Computer-aided diagnosis of intracranial hematoma with</w:t>
      </w:r>
      <w:r>
        <w:rPr>
          <w:spacing w:val="-3"/>
          <w:sz w:val="20"/>
        </w:rPr>
        <w:t> </w:t>
      </w:r>
      <w:r>
        <w:rPr>
          <w:sz w:val="20"/>
        </w:rPr>
        <w:t>brain</w:t>
      </w:r>
      <w:r>
        <w:rPr>
          <w:spacing w:val="-3"/>
          <w:sz w:val="20"/>
        </w:rPr>
        <w:t> </w:t>
      </w:r>
      <w:r>
        <w:rPr>
          <w:sz w:val="20"/>
        </w:rPr>
        <w:t>deformation</w:t>
      </w:r>
      <w:r>
        <w:rPr>
          <w:spacing w:val="-3"/>
          <w:sz w:val="20"/>
        </w:rPr>
        <w:t> </w:t>
      </w:r>
      <w:r>
        <w:rPr>
          <w:sz w:val="20"/>
        </w:rPr>
        <w:t>on</w:t>
      </w:r>
      <w:r>
        <w:rPr>
          <w:spacing w:val="-2"/>
          <w:sz w:val="20"/>
        </w:rPr>
        <w:t> </w:t>
      </w:r>
      <w:r>
        <w:rPr>
          <w:sz w:val="20"/>
        </w:rPr>
        <w:t>computed</w:t>
      </w:r>
      <w:r>
        <w:rPr>
          <w:spacing w:val="-2"/>
          <w:sz w:val="20"/>
        </w:rPr>
        <w:t> </w:t>
      </w:r>
      <w:r>
        <w:rPr>
          <w:sz w:val="20"/>
        </w:rPr>
        <w:t>tomography,”</w:t>
      </w:r>
      <w:r>
        <w:rPr>
          <w:spacing w:val="-4"/>
          <w:sz w:val="20"/>
        </w:rPr>
        <w:t> </w:t>
      </w:r>
      <w:r>
        <w:rPr>
          <w:sz w:val="20"/>
        </w:rPr>
        <w:t>Computerized</w:t>
      </w:r>
      <w:r>
        <w:rPr>
          <w:spacing w:val="-2"/>
          <w:sz w:val="20"/>
        </w:rPr>
        <w:t> </w:t>
      </w:r>
      <w:r>
        <w:rPr>
          <w:sz w:val="20"/>
        </w:rPr>
        <w:t>Medical</w:t>
      </w:r>
      <w:r>
        <w:rPr>
          <w:spacing w:val="-2"/>
          <w:sz w:val="20"/>
        </w:rPr>
        <w:t> </w:t>
      </w:r>
      <w:r>
        <w:rPr>
          <w:sz w:val="20"/>
        </w:rPr>
        <w:t>Imaging</w:t>
      </w:r>
      <w:r>
        <w:rPr>
          <w:spacing w:val="-2"/>
          <w:sz w:val="20"/>
        </w:rPr>
        <w:t> </w:t>
      </w:r>
      <w:r>
        <w:rPr>
          <w:sz w:val="20"/>
        </w:rPr>
        <w:t>and</w:t>
      </w:r>
      <w:r>
        <w:rPr>
          <w:spacing w:val="-3"/>
          <w:sz w:val="20"/>
        </w:rPr>
        <w:t> </w:t>
      </w:r>
      <w:r>
        <w:rPr>
          <w:sz w:val="20"/>
        </w:rPr>
        <w:t>Graphics,</w:t>
      </w:r>
      <w:r>
        <w:rPr>
          <w:spacing w:val="-3"/>
          <w:sz w:val="20"/>
        </w:rPr>
        <w:t> </w:t>
      </w:r>
      <w:r>
        <w:rPr>
          <w:sz w:val="20"/>
        </w:rPr>
        <w:t>vol.</w:t>
      </w:r>
      <w:r>
        <w:rPr>
          <w:spacing w:val="-4"/>
          <w:sz w:val="20"/>
        </w:rPr>
        <w:t> </w:t>
      </w:r>
      <w:r>
        <w:rPr>
          <w:sz w:val="20"/>
        </w:rPr>
        <w:t>34,</w:t>
      </w:r>
      <w:r>
        <w:rPr>
          <w:spacing w:val="-3"/>
          <w:sz w:val="20"/>
        </w:rPr>
        <w:t> </w:t>
      </w:r>
      <w:r>
        <w:rPr>
          <w:sz w:val="20"/>
        </w:rPr>
        <w:t>no. 7, pp. 563-571, 2010.</w:t>
      </w:r>
    </w:p>
    <w:p>
      <w:pPr>
        <w:pStyle w:val="ListParagraph"/>
        <w:numPr>
          <w:ilvl w:val="0"/>
          <w:numId w:val="2"/>
        </w:numPr>
        <w:tabs>
          <w:tab w:pos="838" w:val="left" w:leader="none"/>
        </w:tabs>
        <w:spacing w:line="240" w:lineRule="auto" w:before="0" w:after="0"/>
        <w:ind w:left="456" w:right="763" w:firstLine="0"/>
        <w:jc w:val="left"/>
        <w:rPr>
          <w:sz w:val="20"/>
        </w:rPr>
      </w:pPr>
      <w:r>
        <w:rPr>
          <w:sz w:val="20"/>
        </w:rPr>
        <w:t>B. Sahin, M. Mazonakis, H. Akan, S. Kaplan, and Y. Bek, “Dependence of computed tomography volume</w:t>
      </w:r>
      <w:r>
        <w:rPr>
          <w:spacing w:val="-2"/>
          <w:sz w:val="20"/>
        </w:rPr>
        <w:t> </w:t>
      </w:r>
      <w:r>
        <w:rPr>
          <w:sz w:val="20"/>
        </w:rPr>
        <w:t>measurements</w:t>
      </w:r>
      <w:r>
        <w:rPr>
          <w:spacing w:val="-3"/>
          <w:sz w:val="20"/>
        </w:rPr>
        <w:t> </w:t>
      </w:r>
      <w:r>
        <w:rPr>
          <w:sz w:val="20"/>
        </w:rPr>
        <w:t>upon</w:t>
      </w:r>
      <w:r>
        <w:rPr>
          <w:spacing w:val="-3"/>
          <w:sz w:val="20"/>
        </w:rPr>
        <w:t> </w:t>
      </w:r>
      <w:r>
        <w:rPr>
          <w:sz w:val="20"/>
        </w:rPr>
        <w:t>section</w:t>
      </w:r>
      <w:r>
        <w:rPr>
          <w:spacing w:val="-3"/>
          <w:sz w:val="20"/>
        </w:rPr>
        <w:t> </w:t>
      </w:r>
      <w:r>
        <w:rPr>
          <w:sz w:val="20"/>
        </w:rPr>
        <w:t>thickness:</w:t>
      </w:r>
      <w:r>
        <w:rPr>
          <w:spacing w:val="-3"/>
          <w:sz w:val="20"/>
        </w:rPr>
        <w:t> </w:t>
      </w:r>
      <w:r>
        <w:rPr>
          <w:sz w:val="20"/>
        </w:rPr>
        <w:t>An</w:t>
      </w:r>
      <w:r>
        <w:rPr>
          <w:spacing w:val="-3"/>
          <w:sz w:val="20"/>
        </w:rPr>
        <w:t> </w:t>
      </w:r>
      <w:r>
        <w:rPr>
          <w:sz w:val="20"/>
        </w:rPr>
        <w:t>application</w:t>
      </w:r>
      <w:r>
        <w:rPr>
          <w:spacing w:val="-3"/>
          <w:sz w:val="20"/>
        </w:rPr>
        <w:t> </w:t>
      </w:r>
      <w:r>
        <w:rPr>
          <w:sz w:val="20"/>
        </w:rPr>
        <w:t>to</w:t>
      </w:r>
      <w:r>
        <w:rPr>
          <w:spacing w:val="-4"/>
          <w:sz w:val="20"/>
        </w:rPr>
        <w:t> </w:t>
      </w:r>
      <w:r>
        <w:rPr>
          <w:sz w:val="20"/>
        </w:rPr>
        <w:t>human</w:t>
      </w:r>
      <w:r>
        <w:rPr>
          <w:spacing w:val="-3"/>
          <w:sz w:val="20"/>
        </w:rPr>
        <w:t> </w:t>
      </w:r>
      <w:r>
        <w:rPr>
          <w:sz w:val="20"/>
        </w:rPr>
        <w:t>dry</w:t>
      </w:r>
      <w:r>
        <w:rPr>
          <w:spacing w:val="-3"/>
          <w:sz w:val="20"/>
        </w:rPr>
        <w:t> </w:t>
      </w:r>
      <w:r>
        <w:rPr>
          <w:sz w:val="20"/>
        </w:rPr>
        <w:t>skulls,”</w:t>
      </w:r>
      <w:r>
        <w:rPr>
          <w:spacing w:val="-4"/>
          <w:sz w:val="20"/>
        </w:rPr>
        <w:t> </w:t>
      </w:r>
      <w:r>
        <w:rPr>
          <w:sz w:val="20"/>
        </w:rPr>
        <w:t>Clinical</w:t>
      </w:r>
      <w:r>
        <w:rPr>
          <w:spacing w:val="-3"/>
          <w:sz w:val="20"/>
        </w:rPr>
        <w:t> </w:t>
      </w:r>
      <w:r>
        <w:rPr>
          <w:sz w:val="20"/>
        </w:rPr>
        <w:t>Anatomy,</w:t>
      </w:r>
      <w:r>
        <w:rPr>
          <w:spacing w:val="-3"/>
          <w:sz w:val="20"/>
        </w:rPr>
        <w:t> </w:t>
      </w:r>
      <w:r>
        <w:rPr>
          <w:sz w:val="20"/>
        </w:rPr>
        <w:t>vol. 21, no. 6, pp. 479-485, 2008.</w:t>
      </w:r>
    </w:p>
    <w:p>
      <w:pPr>
        <w:pStyle w:val="ListParagraph"/>
        <w:numPr>
          <w:ilvl w:val="0"/>
          <w:numId w:val="2"/>
        </w:numPr>
        <w:tabs>
          <w:tab w:pos="839" w:val="left" w:leader="none"/>
        </w:tabs>
        <w:spacing w:line="240" w:lineRule="auto" w:before="0" w:after="0"/>
        <w:ind w:left="456" w:right="861" w:firstLine="0"/>
        <w:jc w:val="left"/>
        <w:rPr>
          <w:sz w:val="20"/>
        </w:rPr>
      </w:pPr>
      <w:r>
        <w:rPr>
          <w:sz w:val="20"/>
        </w:rPr>
        <w:t>T.</w:t>
      </w:r>
      <w:r>
        <w:rPr>
          <w:spacing w:val="-3"/>
          <w:sz w:val="20"/>
        </w:rPr>
        <w:t> </w:t>
      </w:r>
      <w:r>
        <w:rPr>
          <w:sz w:val="20"/>
        </w:rPr>
        <w:t>H.</w:t>
      </w:r>
      <w:r>
        <w:rPr>
          <w:spacing w:val="-3"/>
          <w:sz w:val="20"/>
        </w:rPr>
        <w:t> </w:t>
      </w:r>
      <w:r>
        <w:rPr>
          <w:sz w:val="20"/>
        </w:rPr>
        <w:t>Grumme,</w:t>
      </w:r>
      <w:r>
        <w:rPr>
          <w:spacing w:val="-2"/>
          <w:sz w:val="20"/>
        </w:rPr>
        <w:t> </w:t>
      </w:r>
      <w:r>
        <w:rPr>
          <w:sz w:val="20"/>
        </w:rPr>
        <w:t>W.</w:t>
      </w:r>
      <w:r>
        <w:rPr>
          <w:spacing w:val="-3"/>
          <w:sz w:val="20"/>
        </w:rPr>
        <w:t> </w:t>
      </w:r>
      <w:r>
        <w:rPr>
          <w:sz w:val="20"/>
        </w:rPr>
        <w:t>Kluge,</w:t>
      </w:r>
      <w:r>
        <w:rPr>
          <w:spacing w:val="-2"/>
          <w:sz w:val="20"/>
        </w:rPr>
        <w:t> </w:t>
      </w:r>
      <w:r>
        <w:rPr>
          <w:sz w:val="20"/>
        </w:rPr>
        <w:t>K.</w:t>
      </w:r>
      <w:r>
        <w:rPr>
          <w:spacing w:val="-4"/>
          <w:sz w:val="20"/>
        </w:rPr>
        <w:t> </w:t>
      </w:r>
      <w:r>
        <w:rPr>
          <w:sz w:val="20"/>
        </w:rPr>
        <w:t>Kretzschar,</w:t>
      </w:r>
      <w:r>
        <w:rPr>
          <w:spacing w:val="-2"/>
          <w:sz w:val="20"/>
        </w:rPr>
        <w:t> </w:t>
      </w:r>
      <w:r>
        <w:rPr>
          <w:sz w:val="20"/>
        </w:rPr>
        <w:t>and</w:t>
      </w:r>
      <w:r>
        <w:rPr>
          <w:spacing w:val="-3"/>
          <w:sz w:val="20"/>
        </w:rPr>
        <w:t> </w:t>
      </w:r>
      <w:r>
        <w:rPr>
          <w:sz w:val="20"/>
        </w:rPr>
        <w:t>A.</w:t>
      </w:r>
      <w:r>
        <w:rPr>
          <w:spacing w:val="-2"/>
          <w:sz w:val="20"/>
        </w:rPr>
        <w:t> </w:t>
      </w:r>
      <w:r>
        <w:rPr>
          <w:sz w:val="20"/>
        </w:rPr>
        <w:t>Roesler,</w:t>
      </w:r>
      <w:r>
        <w:rPr>
          <w:spacing w:val="-2"/>
          <w:sz w:val="20"/>
        </w:rPr>
        <w:t> </w:t>
      </w:r>
      <w:r>
        <w:rPr>
          <w:sz w:val="20"/>
        </w:rPr>
        <w:t>Cerebral</w:t>
      </w:r>
      <w:r>
        <w:rPr>
          <w:spacing w:val="-2"/>
          <w:sz w:val="20"/>
        </w:rPr>
        <w:t> </w:t>
      </w:r>
      <w:r>
        <w:rPr>
          <w:sz w:val="20"/>
        </w:rPr>
        <w:t>and</w:t>
      </w:r>
      <w:r>
        <w:rPr>
          <w:spacing w:val="-2"/>
          <w:sz w:val="20"/>
        </w:rPr>
        <w:t> </w:t>
      </w:r>
      <w:r>
        <w:rPr>
          <w:sz w:val="20"/>
        </w:rPr>
        <w:t>spinal</w:t>
      </w:r>
      <w:r>
        <w:rPr>
          <w:spacing w:val="-2"/>
          <w:sz w:val="20"/>
        </w:rPr>
        <w:t> </w:t>
      </w:r>
      <w:r>
        <w:rPr>
          <w:sz w:val="20"/>
        </w:rPr>
        <w:t>computed</w:t>
      </w:r>
      <w:r>
        <w:rPr>
          <w:spacing w:val="-2"/>
          <w:sz w:val="20"/>
        </w:rPr>
        <w:t> </w:t>
      </w:r>
      <w:r>
        <w:rPr>
          <w:sz w:val="20"/>
        </w:rPr>
        <w:t>tomography, Berlin: Blackwell Wissenschafts-Verlag, 1998.</w:t>
      </w:r>
    </w:p>
    <w:p>
      <w:pPr>
        <w:pStyle w:val="ListParagraph"/>
        <w:numPr>
          <w:ilvl w:val="0"/>
          <w:numId w:val="2"/>
        </w:numPr>
        <w:tabs>
          <w:tab w:pos="839" w:val="left" w:leader="none"/>
        </w:tabs>
        <w:spacing w:line="240" w:lineRule="auto" w:before="0" w:after="0"/>
        <w:ind w:left="456" w:right="1028" w:firstLine="0"/>
        <w:jc w:val="left"/>
        <w:rPr>
          <w:sz w:val="20"/>
        </w:rPr>
      </w:pPr>
      <w:r>
        <w:rPr>
          <w:sz w:val="20"/>
        </w:rPr>
        <w:t>A.</w:t>
      </w:r>
      <w:r>
        <w:rPr>
          <w:spacing w:val="-2"/>
          <w:sz w:val="20"/>
        </w:rPr>
        <w:t> </w:t>
      </w:r>
      <w:r>
        <w:rPr>
          <w:sz w:val="20"/>
        </w:rPr>
        <w:t>H.</w:t>
      </w:r>
      <w:r>
        <w:rPr>
          <w:spacing w:val="-2"/>
          <w:sz w:val="20"/>
        </w:rPr>
        <w:t> </w:t>
      </w:r>
      <w:r>
        <w:rPr>
          <w:sz w:val="20"/>
        </w:rPr>
        <w:t>Abbott,</w:t>
      </w:r>
      <w:r>
        <w:rPr>
          <w:spacing w:val="-1"/>
          <w:sz w:val="20"/>
        </w:rPr>
        <w:t> </w:t>
      </w:r>
      <w:r>
        <w:rPr>
          <w:sz w:val="20"/>
        </w:rPr>
        <w:t>D.</w:t>
      </w:r>
      <w:r>
        <w:rPr>
          <w:spacing w:val="-1"/>
          <w:sz w:val="20"/>
        </w:rPr>
        <w:t> </w:t>
      </w:r>
      <w:r>
        <w:rPr>
          <w:sz w:val="20"/>
        </w:rPr>
        <w:t>J.</w:t>
      </w:r>
      <w:r>
        <w:rPr>
          <w:spacing w:val="-2"/>
          <w:sz w:val="20"/>
        </w:rPr>
        <w:t> </w:t>
      </w:r>
      <w:r>
        <w:rPr>
          <w:sz w:val="20"/>
        </w:rPr>
        <w:t>Netherway,</w:t>
      </w:r>
      <w:r>
        <w:rPr>
          <w:spacing w:val="-2"/>
          <w:sz w:val="20"/>
        </w:rPr>
        <w:t> </w:t>
      </w:r>
      <w:r>
        <w:rPr>
          <w:sz w:val="20"/>
        </w:rPr>
        <w:t>D.</w:t>
      </w:r>
      <w:r>
        <w:rPr>
          <w:spacing w:val="-2"/>
          <w:sz w:val="20"/>
        </w:rPr>
        <w:t> </w:t>
      </w:r>
      <w:r>
        <w:rPr>
          <w:sz w:val="20"/>
        </w:rPr>
        <w:t>B.</w:t>
      </w:r>
      <w:r>
        <w:rPr>
          <w:spacing w:val="-2"/>
          <w:sz w:val="20"/>
        </w:rPr>
        <w:t> </w:t>
      </w:r>
      <w:r>
        <w:rPr>
          <w:sz w:val="20"/>
        </w:rPr>
        <w:t>Niemann,</w:t>
      </w:r>
      <w:r>
        <w:rPr>
          <w:spacing w:val="-1"/>
          <w:sz w:val="20"/>
        </w:rPr>
        <w:t> </w:t>
      </w:r>
      <w:r>
        <w:rPr>
          <w:sz w:val="20"/>
        </w:rPr>
        <w:t>B.</w:t>
      </w:r>
      <w:r>
        <w:rPr>
          <w:spacing w:val="-1"/>
          <w:sz w:val="20"/>
        </w:rPr>
        <w:t> </w:t>
      </w:r>
      <w:r>
        <w:rPr>
          <w:sz w:val="20"/>
        </w:rPr>
        <w:t>Clark,</w:t>
      </w:r>
      <w:r>
        <w:rPr>
          <w:spacing w:val="-1"/>
          <w:sz w:val="20"/>
        </w:rPr>
        <w:t> </w:t>
      </w:r>
      <w:r>
        <w:rPr>
          <w:sz w:val="20"/>
        </w:rPr>
        <w:t>M.</w:t>
      </w:r>
      <w:r>
        <w:rPr>
          <w:spacing w:val="-2"/>
          <w:sz w:val="20"/>
        </w:rPr>
        <w:t> </w:t>
      </w:r>
      <w:r>
        <w:rPr>
          <w:sz w:val="20"/>
        </w:rPr>
        <w:t>Yamamoto,</w:t>
      </w:r>
      <w:r>
        <w:rPr>
          <w:spacing w:val="-1"/>
          <w:sz w:val="20"/>
        </w:rPr>
        <w:t> </w:t>
      </w:r>
      <w:r>
        <w:rPr>
          <w:sz w:val="20"/>
        </w:rPr>
        <w:t>J.</w:t>
      </w:r>
      <w:r>
        <w:rPr>
          <w:spacing w:val="-1"/>
          <w:sz w:val="20"/>
        </w:rPr>
        <w:t> </w:t>
      </w:r>
      <w:r>
        <w:rPr>
          <w:sz w:val="20"/>
        </w:rPr>
        <w:t>Cole,</w:t>
      </w:r>
      <w:r>
        <w:rPr>
          <w:spacing w:val="-2"/>
          <w:sz w:val="20"/>
        </w:rPr>
        <w:t> </w:t>
      </w:r>
      <w:r>
        <w:rPr>
          <w:sz w:val="20"/>
        </w:rPr>
        <w:t>A.</w:t>
      </w:r>
      <w:r>
        <w:rPr>
          <w:spacing w:val="-2"/>
          <w:sz w:val="20"/>
        </w:rPr>
        <w:t> </w:t>
      </w:r>
      <w:r>
        <w:rPr>
          <w:sz w:val="20"/>
        </w:rPr>
        <w:t>Hanieh,</w:t>
      </w:r>
      <w:r>
        <w:rPr>
          <w:spacing w:val="-1"/>
          <w:sz w:val="20"/>
        </w:rPr>
        <w:t> </w:t>
      </w:r>
      <w:r>
        <w:rPr>
          <w:sz w:val="20"/>
        </w:rPr>
        <w:t>M.</w:t>
      </w:r>
      <w:r>
        <w:rPr>
          <w:spacing w:val="-2"/>
          <w:sz w:val="20"/>
        </w:rPr>
        <w:t> </w:t>
      </w:r>
      <w:r>
        <w:rPr>
          <w:sz w:val="20"/>
        </w:rPr>
        <w:t>H. Moore, and D. J. David, “CT-Determined Intracranial Volume for a Normal Population,” Journal of Craniofacial Surgery, vol. 11, no. 3, pp. 211-223, 2000.</w:t>
      </w:r>
    </w:p>
    <w:p>
      <w:pPr>
        <w:pStyle w:val="ListParagraph"/>
        <w:numPr>
          <w:ilvl w:val="0"/>
          <w:numId w:val="2"/>
        </w:numPr>
        <w:tabs>
          <w:tab w:pos="836" w:val="left" w:leader="none"/>
        </w:tabs>
        <w:spacing w:line="240" w:lineRule="auto" w:before="0" w:after="0"/>
        <w:ind w:left="456" w:right="1564" w:firstLine="0"/>
        <w:jc w:val="left"/>
        <w:rPr>
          <w:sz w:val="20"/>
        </w:rPr>
      </w:pPr>
      <w:r>
        <w:rPr>
          <w:sz w:val="20"/>
        </w:rPr>
        <w:t>S.</w:t>
      </w:r>
      <w:r>
        <w:rPr>
          <w:spacing w:val="-2"/>
          <w:sz w:val="20"/>
        </w:rPr>
        <w:t> </w:t>
      </w:r>
      <w:r>
        <w:rPr>
          <w:sz w:val="20"/>
        </w:rPr>
        <w:t>Sgouros,</w:t>
      </w:r>
      <w:r>
        <w:rPr>
          <w:spacing w:val="-2"/>
          <w:sz w:val="20"/>
        </w:rPr>
        <w:t> </w:t>
      </w:r>
      <w:r>
        <w:rPr>
          <w:sz w:val="20"/>
        </w:rPr>
        <w:t>M.</w:t>
      </w:r>
      <w:r>
        <w:rPr>
          <w:spacing w:val="-3"/>
          <w:sz w:val="20"/>
        </w:rPr>
        <w:t> </w:t>
      </w:r>
      <w:r>
        <w:rPr>
          <w:sz w:val="20"/>
        </w:rPr>
        <w:t>Kountouri,</w:t>
      </w:r>
      <w:r>
        <w:rPr>
          <w:spacing w:val="-2"/>
          <w:sz w:val="20"/>
        </w:rPr>
        <w:t> </w:t>
      </w:r>
      <w:r>
        <w:rPr>
          <w:sz w:val="20"/>
        </w:rPr>
        <w:t>and</w:t>
      </w:r>
      <w:r>
        <w:rPr>
          <w:spacing w:val="-3"/>
          <w:sz w:val="20"/>
        </w:rPr>
        <w:t> </w:t>
      </w:r>
      <w:r>
        <w:rPr>
          <w:sz w:val="20"/>
        </w:rPr>
        <w:t>K.</w:t>
      </w:r>
      <w:r>
        <w:rPr>
          <w:spacing w:val="-3"/>
          <w:sz w:val="20"/>
        </w:rPr>
        <w:t> </w:t>
      </w:r>
      <w:r>
        <w:rPr>
          <w:sz w:val="20"/>
        </w:rPr>
        <w:t>Natarajan,</w:t>
      </w:r>
      <w:r>
        <w:rPr>
          <w:spacing w:val="-2"/>
          <w:sz w:val="20"/>
        </w:rPr>
        <w:t> </w:t>
      </w:r>
      <w:r>
        <w:rPr>
          <w:sz w:val="20"/>
        </w:rPr>
        <w:t>“Posterior</w:t>
      </w:r>
      <w:r>
        <w:rPr>
          <w:spacing w:val="-2"/>
          <w:sz w:val="20"/>
        </w:rPr>
        <w:t> </w:t>
      </w:r>
      <w:r>
        <w:rPr>
          <w:sz w:val="20"/>
        </w:rPr>
        <w:t>fossa</w:t>
      </w:r>
      <w:r>
        <w:rPr>
          <w:spacing w:val="-2"/>
          <w:sz w:val="20"/>
        </w:rPr>
        <w:t> </w:t>
      </w:r>
      <w:r>
        <w:rPr>
          <w:sz w:val="20"/>
        </w:rPr>
        <w:t>volume</w:t>
      </w:r>
      <w:r>
        <w:rPr>
          <w:spacing w:val="-2"/>
          <w:sz w:val="20"/>
        </w:rPr>
        <w:t> </w:t>
      </w:r>
      <w:r>
        <w:rPr>
          <w:sz w:val="20"/>
        </w:rPr>
        <w:t>in</w:t>
      </w:r>
      <w:r>
        <w:rPr>
          <w:spacing w:val="-2"/>
          <w:sz w:val="20"/>
        </w:rPr>
        <w:t> </w:t>
      </w:r>
      <w:r>
        <w:rPr>
          <w:sz w:val="20"/>
        </w:rPr>
        <w:t>children</w:t>
      </w:r>
      <w:r>
        <w:rPr>
          <w:spacing w:val="-3"/>
          <w:sz w:val="20"/>
        </w:rPr>
        <w:t> </w:t>
      </w:r>
      <w:r>
        <w:rPr>
          <w:sz w:val="20"/>
        </w:rPr>
        <w:t>with</w:t>
      </w:r>
      <w:r>
        <w:rPr>
          <w:spacing w:val="-2"/>
          <w:sz w:val="20"/>
        </w:rPr>
        <w:t> </w:t>
      </w:r>
      <w:r>
        <w:rPr>
          <w:sz w:val="20"/>
        </w:rPr>
        <w:t>Chiari malformation Type I,” Journal of Neurosurgery: Pediatrics, vol. 105, no. 2, pp. 101-106, 2006.</w:t>
      </w:r>
    </w:p>
    <w:p>
      <w:pPr>
        <w:pStyle w:val="ListParagraph"/>
        <w:numPr>
          <w:ilvl w:val="0"/>
          <w:numId w:val="2"/>
        </w:numPr>
        <w:tabs>
          <w:tab w:pos="836" w:val="left" w:leader="none"/>
        </w:tabs>
        <w:spacing w:line="240" w:lineRule="auto" w:before="0" w:after="0"/>
        <w:ind w:left="456" w:right="605" w:firstLine="0"/>
        <w:jc w:val="left"/>
        <w:rPr>
          <w:sz w:val="20"/>
        </w:rPr>
      </w:pPr>
      <w:r>
        <w:rPr>
          <w:sz w:val="20"/>
        </w:rPr>
        <w:t>T.</w:t>
      </w:r>
      <w:r>
        <w:rPr>
          <w:spacing w:val="-2"/>
          <w:sz w:val="20"/>
        </w:rPr>
        <w:t> </w:t>
      </w:r>
      <w:r>
        <w:rPr>
          <w:sz w:val="20"/>
        </w:rPr>
        <w:t>Lescot,</w:t>
      </w:r>
      <w:r>
        <w:rPr>
          <w:spacing w:val="-2"/>
          <w:sz w:val="20"/>
        </w:rPr>
        <w:t> </w:t>
      </w:r>
      <w:r>
        <w:rPr>
          <w:sz w:val="20"/>
        </w:rPr>
        <w:t>M.</w:t>
      </w:r>
      <w:r>
        <w:rPr>
          <w:spacing w:val="-2"/>
          <w:sz w:val="20"/>
        </w:rPr>
        <w:t> </w:t>
      </w:r>
      <w:r>
        <w:rPr>
          <w:sz w:val="20"/>
        </w:rPr>
        <w:t>P.</w:t>
      </w:r>
      <w:r>
        <w:rPr>
          <w:spacing w:val="-2"/>
          <w:sz w:val="20"/>
        </w:rPr>
        <w:t> </w:t>
      </w:r>
      <w:r>
        <w:rPr>
          <w:sz w:val="20"/>
        </w:rPr>
        <w:t>Bonnet,</w:t>
      </w:r>
      <w:r>
        <w:rPr>
          <w:spacing w:val="-3"/>
          <w:sz w:val="20"/>
        </w:rPr>
        <w:t> </w:t>
      </w:r>
      <w:r>
        <w:rPr>
          <w:sz w:val="20"/>
        </w:rPr>
        <w:t>A.</w:t>
      </w:r>
      <w:r>
        <w:rPr>
          <w:spacing w:val="-3"/>
          <w:sz w:val="20"/>
        </w:rPr>
        <w:t> </w:t>
      </w:r>
      <w:r>
        <w:rPr>
          <w:sz w:val="20"/>
        </w:rPr>
        <w:t>Zouaoui,</w:t>
      </w:r>
      <w:r>
        <w:rPr>
          <w:spacing w:val="-2"/>
          <w:sz w:val="20"/>
        </w:rPr>
        <w:t> </w:t>
      </w:r>
      <w:r>
        <w:rPr>
          <w:sz w:val="20"/>
        </w:rPr>
        <w:t>J.</w:t>
      </w:r>
      <w:r>
        <w:rPr>
          <w:spacing w:val="-3"/>
          <w:sz w:val="20"/>
        </w:rPr>
        <w:t> </w:t>
      </w:r>
      <w:r>
        <w:rPr>
          <w:sz w:val="20"/>
        </w:rPr>
        <w:t>C.</w:t>
      </w:r>
      <w:r>
        <w:rPr>
          <w:spacing w:val="-2"/>
          <w:sz w:val="20"/>
        </w:rPr>
        <w:t> </w:t>
      </w:r>
      <w:r>
        <w:rPr>
          <w:sz w:val="20"/>
        </w:rPr>
        <w:t>Muller,</w:t>
      </w:r>
      <w:r>
        <w:rPr>
          <w:spacing w:val="-4"/>
          <w:sz w:val="20"/>
        </w:rPr>
        <w:t> </w:t>
      </w:r>
      <w:r>
        <w:rPr>
          <w:sz w:val="20"/>
        </w:rPr>
        <w:t>C.</w:t>
      </w:r>
      <w:r>
        <w:rPr>
          <w:spacing w:val="-2"/>
          <w:sz w:val="20"/>
        </w:rPr>
        <w:t> </w:t>
      </w:r>
      <w:r>
        <w:rPr>
          <w:sz w:val="20"/>
        </w:rPr>
        <w:t>Fetita,</w:t>
      </w:r>
      <w:r>
        <w:rPr>
          <w:spacing w:val="-2"/>
          <w:sz w:val="20"/>
        </w:rPr>
        <w:t> </w:t>
      </w:r>
      <w:r>
        <w:rPr>
          <w:sz w:val="20"/>
        </w:rPr>
        <w:t>P.</w:t>
      </w:r>
      <w:r>
        <w:rPr>
          <w:spacing w:val="-2"/>
          <w:sz w:val="20"/>
        </w:rPr>
        <w:t> </w:t>
      </w:r>
      <w:r>
        <w:rPr>
          <w:sz w:val="20"/>
        </w:rPr>
        <w:t>Coriat,</w:t>
      </w:r>
      <w:r>
        <w:rPr>
          <w:spacing w:val="-2"/>
          <w:sz w:val="20"/>
        </w:rPr>
        <w:t> </w:t>
      </w:r>
      <w:r>
        <w:rPr>
          <w:sz w:val="20"/>
        </w:rPr>
        <w:t>and</w:t>
      </w:r>
      <w:r>
        <w:rPr>
          <w:spacing w:val="-2"/>
          <w:sz w:val="20"/>
        </w:rPr>
        <w:t> </w:t>
      </w:r>
      <w:r>
        <w:rPr>
          <w:sz w:val="20"/>
        </w:rPr>
        <w:t>L.</w:t>
      </w:r>
      <w:r>
        <w:rPr>
          <w:spacing w:val="-3"/>
          <w:sz w:val="20"/>
        </w:rPr>
        <w:t> </w:t>
      </w:r>
      <w:r>
        <w:rPr>
          <w:sz w:val="20"/>
        </w:rPr>
        <w:t>Puybasset,</w:t>
      </w:r>
      <w:r>
        <w:rPr>
          <w:spacing w:val="-2"/>
          <w:sz w:val="20"/>
        </w:rPr>
        <w:t> </w:t>
      </w:r>
      <w:r>
        <w:rPr>
          <w:sz w:val="20"/>
        </w:rPr>
        <w:t>“A</w:t>
      </w:r>
      <w:r>
        <w:rPr>
          <w:spacing w:val="-2"/>
          <w:sz w:val="20"/>
        </w:rPr>
        <w:t> </w:t>
      </w:r>
      <w:r>
        <w:rPr>
          <w:sz w:val="20"/>
        </w:rPr>
        <w:t>quantitative computed tomography assessment of brain weight, volume, and specific gravity in severe head trauma,” Intensive Care Medicine, vol. 31, no. 8, pp. 1042-1050, 2005.</w:t>
      </w:r>
    </w:p>
    <w:p>
      <w:pPr>
        <w:pStyle w:val="ListParagraph"/>
        <w:numPr>
          <w:ilvl w:val="0"/>
          <w:numId w:val="2"/>
        </w:numPr>
        <w:tabs>
          <w:tab w:pos="839" w:val="left" w:leader="none"/>
        </w:tabs>
        <w:spacing w:line="240" w:lineRule="auto" w:before="0" w:after="0"/>
        <w:ind w:left="456" w:right="764" w:firstLine="0"/>
        <w:jc w:val="left"/>
        <w:rPr>
          <w:sz w:val="20"/>
        </w:rPr>
      </w:pPr>
      <w:r>
        <w:rPr>
          <w:sz w:val="20"/>
        </w:rPr>
        <w:t>F. Xiao, I. J. Chiang, T. M. Hsieh, K. C. Huang, Y. H. Tsai, J. M. Wong, H. W. Ting, and C. C. Liao, “Estimating</w:t>
      </w:r>
      <w:r>
        <w:rPr>
          <w:spacing w:val="-2"/>
          <w:sz w:val="20"/>
        </w:rPr>
        <w:t> </w:t>
      </w:r>
      <w:r>
        <w:rPr>
          <w:sz w:val="20"/>
        </w:rPr>
        <w:t>postoperative</w:t>
      </w:r>
      <w:r>
        <w:rPr>
          <w:spacing w:val="-2"/>
          <w:sz w:val="20"/>
        </w:rPr>
        <w:t> </w:t>
      </w:r>
      <w:r>
        <w:rPr>
          <w:sz w:val="20"/>
        </w:rPr>
        <w:t>skull</w:t>
      </w:r>
      <w:r>
        <w:rPr>
          <w:spacing w:val="-2"/>
          <w:sz w:val="20"/>
        </w:rPr>
        <w:t> </w:t>
      </w:r>
      <w:r>
        <w:rPr>
          <w:sz w:val="20"/>
        </w:rPr>
        <w:t>defect</w:t>
      </w:r>
      <w:r>
        <w:rPr>
          <w:spacing w:val="-3"/>
          <w:sz w:val="20"/>
        </w:rPr>
        <w:t> </w:t>
      </w:r>
      <w:r>
        <w:rPr>
          <w:sz w:val="20"/>
        </w:rPr>
        <w:t>volume</w:t>
      </w:r>
      <w:r>
        <w:rPr>
          <w:spacing w:val="-2"/>
          <w:sz w:val="20"/>
        </w:rPr>
        <w:t> </w:t>
      </w:r>
      <w:r>
        <w:rPr>
          <w:sz w:val="20"/>
        </w:rPr>
        <w:t>from</w:t>
      </w:r>
      <w:r>
        <w:rPr>
          <w:spacing w:val="-4"/>
          <w:sz w:val="20"/>
        </w:rPr>
        <w:t> </w:t>
      </w:r>
      <w:r>
        <w:rPr>
          <w:sz w:val="20"/>
        </w:rPr>
        <w:t>CT</w:t>
      </w:r>
      <w:r>
        <w:rPr>
          <w:spacing w:val="-4"/>
          <w:sz w:val="20"/>
        </w:rPr>
        <w:t> </w:t>
      </w:r>
      <w:r>
        <w:rPr>
          <w:sz w:val="20"/>
        </w:rPr>
        <w:t>images</w:t>
      </w:r>
      <w:r>
        <w:rPr>
          <w:spacing w:val="-3"/>
          <w:sz w:val="20"/>
        </w:rPr>
        <w:t> </w:t>
      </w:r>
      <w:r>
        <w:rPr>
          <w:sz w:val="20"/>
        </w:rPr>
        <w:t>using</w:t>
      </w:r>
      <w:r>
        <w:rPr>
          <w:spacing w:val="-2"/>
          <w:sz w:val="20"/>
        </w:rPr>
        <w:t> </w:t>
      </w:r>
      <w:r>
        <w:rPr>
          <w:sz w:val="20"/>
        </w:rPr>
        <w:t>the</w:t>
      </w:r>
      <w:r>
        <w:rPr>
          <w:spacing w:val="-3"/>
          <w:sz w:val="20"/>
        </w:rPr>
        <w:t> </w:t>
      </w:r>
      <w:r>
        <w:rPr>
          <w:sz w:val="20"/>
        </w:rPr>
        <w:t>ABC</w:t>
      </w:r>
      <w:r>
        <w:rPr>
          <w:spacing w:val="-2"/>
          <w:sz w:val="20"/>
        </w:rPr>
        <w:t> </w:t>
      </w:r>
      <w:r>
        <w:rPr>
          <w:sz w:val="20"/>
        </w:rPr>
        <w:t>method,”</w:t>
      </w:r>
      <w:r>
        <w:rPr>
          <w:spacing w:val="-3"/>
          <w:sz w:val="20"/>
        </w:rPr>
        <w:t> </w:t>
      </w:r>
      <w:r>
        <w:rPr>
          <w:sz w:val="20"/>
        </w:rPr>
        <w:t>clinical</w:t>
      </w:r>
      <w:r>
        <w:rPr>
          <w:spacing w:val="-2"/>
          <w:sz w:val="20"/>
        </w:rPr>
        <w:t> </w:t>
      </w:r>
      <w:r>
        <w:rPr>
          <w:sz w:val="20"/>
        </w:rPr>
        <w:t>neurology and neurosurgery, vol. 114, pp. 205-10, 2012.</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8416">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8806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8928">
              <wp:simplePos x="0" y="0"/>
              <wp:positionH relativeFrom="page">
                <wp:posOffset>2459410</wp:posOffset>
              </wp:positionH>
              <wp:positionV relativeFrom="page">
                <wp:posOffset>455282</wp:posOffset>
              </wp:positionV>
              <wp:extent cx="24161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6175" cy="137160"/>
                      </a:xfrm>
                      <a:prstGeom prst="rect">
                        <a:avLst/>
                      </a:prstGeom>
                    </wps:spPr>
                    <wps:txbx>
                      <w:txbxContent>
                        <w:p>
                          <w:pPr>
                            <w:spacing w:before="12"/>
                            <w:ind w:left="20" w:right="0" w:firstLine="0"/>
                            <w:jc w:val="left"/>
                            <w:rPr>
                              <w:i/>
                              <w:sz w:val="16"/>
                            </w:rPr>
                          </w:pPr>
                          <w:r>
                            <w:rPr>
                              <w:i/>
                              <w:color w:val="231F20"/>
                              <w:sz w:val="16"/>
                            </w:rPr>
                            <w:t>Ke-Chun</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1"/>
                              <w:sz w:val="16"/>
                            </w:rPr>
                            <w:t> </w:t>
                          </w:r>
                          <w:r>
                            <w:rPr>
                              <w:i/>
                              <w:color w:val="231F20"/>
                              <w:sz w:val="16"/>
                            </w:rPr>
                            <w:t>95</w:t>
                          </w:r>
                          <w:r>
                            <w:rPr>
                              <w:i/>
                              <w:color w:val="231F20"/>
                              <w:spacing w:val="-1"/>
                              <w:sz w:val="16"/>
                            </w:rPr>
                            <w:t> </w:t>
                          </w:r>
                          <w:r>
                            <w:rPr>
                              <w:i/>
                              <w:color w:val="231F20"/>
                              <w:sz w:val="16"/>
                            </w:rPr>
                            <w:t>–</w:t>
                          </w:r>
                          <w:r>
                            <w:rPr>
                              <w:i/>
                              <w:color w:val="231F20"/>
                              <w:spacing w:val="-1"/>
                              <w:sz w:val="16"/>
                            </w:rPr>
                            <w:t> </w:t>
                          </w:r>
                          <w:r>
                            <w:rPr>
                              <w:i/>
                              <w:color w:val="231F20"/>
                              <w:spacing w:val="-5"/>
                              <w:sz w:val="16"/>
                            </w:rPr>
                            <w:t>102</w:t>
                          </w:r>
                        </w:p>
                      </w:txbxContent>
                    </wps:txbx>
                    <wps:bodyPr wrap="square" lIns="0" tIns="0" rIns="0" bIns="0" rtlCol="0">
                      <a:noAutofit/>
                    </wps:bodyPr>
                  </wps:wsp>
                </a:graphicData>
              </a:graphic>
            </wp:anchor>
          </w:drawing>
        </mc:Choice>
        <mc:Fallback>
          <w:pict>
            <v:shape style="position:absolute;margin-left:193.654404pt;margin-top:35.849003pt;width:190.25pt;height:10.8pt;mso-position-horizontal-relative:page;mso-position-vertical-relative:page;z-index:-16087552" type="#_x0000_t202" id="docshape9" filled="false" stroked="false">
              <v:textbox inset="0,0,0,0">
                <w:txbxContent>
                  <w:p>
                    <w:pPr>
                      <w:spacing w:before="12"/>
                      <w:ind w:left="20" w:right="0" w:firstLine="0"/>
                      <w:jc w:val="left"/>
                      <w:rPr>
                        <w:i/>
                        <w:sz w:val="16"/>
                      </w:rPr>
                    </w:pPr>
                    <w:r>
                      <w:rPr>
                        <w:i/>
                        <w:color w:val="231F20"/>
                        <w:sz w:val="16"/>
                      </w:rPr>
                      <w:t>Ke-Chun</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1"/>
                        <w:sz w:val="16"/>
                      </w:rPr>
                      <w:t> </w:t>
                    </w:r>
                    <w:r>
                      <w:rPr>
                        <w:i/>
                        <w:color w:val="231F20"/>
                        <w:sz w:val="16"/>
                      </w:rPr>
                      <w:t>95</w:t>
                    </w:r>
                    <w:r>
                      <w:rPr>
                        <w:i/>
                        <w:color w:val="231F20"/>
                        <w:spacing w:val="-1"/>
                        <w:sz w:val="16"/>
                      </w:rPr>
                      <w:t> </w:t>
                    </w:r>
                    <w:r>
                      <w:rPr>
                        <w:i/>
                        <w:color w:val="231F20"/>
                        <w:sz w:val="16"/>
                      </w:rPr>
                      <w:t>–</w:t>
                    </w:r>
                    <w:r>
                      <w:rPr>
                        <w:i/>
                        <w:color w:val="231F20"/>
                        <w:spacing w:val="-1"/>
                        <w:sz w:val="16"/>
                      </w:rPr>
                      <w:t> </w:t>
                    </w:r>
                    <w:r>
                      <w:rPr>
                        <w:i/>
                        <w:color w:val="231F20"/>
                        <w:spacing w:val="-5"/>
                        <w:sz w:val="16"/>
                      </w:rPr>
                      <w:t>102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9440">
              <wp:simplePos x="0" y="0"/>
              <wp:positionH relativeFrom="page">
                <wp:posOffset>2256777</wp:posOffset>
              </wp:positionH>
              <wp:positionV relativeFrom="page">
                <wp:posOffset>455282</wp:posOffset>
              </wp:positionV>
              <wp:extent cx="241617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6175" cy="137160"/>
                      </a:xfrm>
                      <a:prstGeom prst="rect">
                        <a:avLst/>
                      </a:prstGeom>
                    </wps:spPr>
                    <wps:txbx>
                      <w:txbxContent>
                        <w:p>
                          <w:pPr>
                            <w:spacing w:before="12"/>
                            <w:ind w:left="20" w:right="0" w:firstLine="0"/>
                            <w:jc w:val="left"/>
                            <w:rPr>
                              <w:i/>
                              <w:sz w:val="16"/>
                            </w:rPr>
                          </w:pPr>
                          <w:r>
                            <w:rPr>
                              <w:i/>
                              <w:color w:val="231F20"/>
                              <w:sz w:val="16"/>
                            </w:rPr>
                            <w:t>Ke-Chun</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1"/>
                              <w:sz w:val="16"/>
                            </w:rPr>
                            <w:t> </w:t>
                          </w:r>
                          <w:r>
                            <w:rPr>
                              <w:i/>
                              <w:color w:val="231F20"/>
                              <w:sz w:val="16"/>
                            </w:rPr>
                            <w:t>95</w:t>
                          </w:r>
                          <w:r>
                            <w:rPr>
                              <w:i/>
                              <w:color w:val="231F20"/>
                              <w:spacing w:val="-1"/>
                              <w:sz w:val="16"/>
                            </w:rPr>
                            <w:t> </w:t>
                          </w:r>
                          <w:r>
                            <w:rPr>
                              <w:i/>
                              <w:color w:val="231F20"/>
                              <w:sz w:val="16"/>
                            </w:rPr>
                            <w:t>–</w:t>
                          </w:r>
                          <w:r>
                            <w:rPr>
                              <w:i/>
                              <w:color w:val="231F20"/>
                              <w:spacing w:val="-1"/>
                              <w:sz w:val="16"/>
                            </w:rPr>
                            <w:t> </w:t>
                          </w:r>
                          <w:r>
                            <w:rPr>
                              <w:i/>
                              <w:color w:val="231F20"/>
                              <w:spacing w:val="-5"/>
                              <w:sz w:val="16"/>
                            </w:rPr>
                            <w:t>102</w:t>
                          </w:r>
                        </w:p>
                      </w:txbxContent>
                    </wps:txbx>
                    <wps:bodyPr wrap="square" lIns="0" tIns="0" rIns="0" bIns="0" rtlCol="0">
                      <a:noAutofit/>
                    </wps:bodyPr>
                  </wps:wsp>
                </a:graphicData>
              </a:graphic>
            </wp:anchor>
          </w:drawing>
        </mc:Choice>
        <mc:Fallback>
          <w:pict>
            <v:shape style="position:absolute;margin-left:177.699005pt;margin-top:35.849003pt;width:190.25pt;height:10.8pt;mso-position-horizontal-relative:page;mso-position-vertical-relative:page;z-index:-16087040" type="#_x0000_t202" id="docshape10" filled="false" stroked="false">
              <v:textbox inset="0,0,0,0">
                <w:txbxContent>
                  <w:p>
                    <w:pPr>
                      <w:spacing w:before="12"/>
                      <w:ind w:left="20" w:right="0" w:firstLine="0"/>
                      <w:jc w:val="left"/>
                      <w:rPr>
                        <w:i/>
                        <w:sz w:val="16"/>
                      </w:rPr>
                    </w:pPr>
                    <w:r>
                      <w:rPr>
                        <w:i/>
                        <w:color w:val="231F20"/>
                        <w:sz w:val="16"/>
                      </w:rPr>
                      <w:t>Ke-Chun</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1"/>
                        <w:sz w:val="16"/>
                      </w:rPr>
                      <w:t> </w:t>
                    </w:r>
                    <w:r>
                      <w:rPr>
                        <w:i/>
                        <w:color w:val="231F20"/>
                        <w:sz w:val="16"/>
                      </w:rPr>
                      <w:t>95</w:t>
                    </w:r>
                    <w:r>
                      <w:rPr>
                        <w:i/>
                        <w:color w:val="231F20"/>
                        <w:spacing w:val="-1"/>
                        <w:sz w:val="16"/>
                      </w:rPr>
                      <w:t> </w:t>
                    </w:r>
                    <w:r>
                      <w:rPr>
                        <w:i/>
                        <w:color w:val="231F20"/>
                        <w:sz w:val="16"/>
                      </w:rPr>
                      <w:t>–</w:t>
                    </w:r>
                    <w:r>
                      <w:rPr>
                        <w:i/>
                        <w:color w:val="231F20"/>
                        <w:spacing w:val="-1"/>
                        <w:sz w:val="16"/>
                      </w:rPr>
                      <w:t> </w:t>
                    </w:r>
                    <w:r>
                      <w:rPr>
                        <w:i/>
                        <w:color w:val="231F20"/>
                        <w:spacing w:val="-5"/>
                        <w:sz w:val="16"/>
                      </w:rPr>
                      <w:t>102</w:t>
                    </w:r>
                  </w:p>
                </w:txbxContent>
              </v:textbox>
              <w10:wrap type="none"/>
            </v:shape>
          </w:pict>
        </mc:Fallback>
      </mc:AlternateContent>
    </w:r>
    <w:r>
      <w:rPr/>
      <mc:AlternateContent>
        <mc:Choice Requires="wps">
          <w:drawing>
            <wp:anchor distT="0" distB="0" distL="0" distR="0" allowOverlap="1" layoutInCell="1" locked="0" behindDoc="1" simplePos="0" relativeHeight="487229952">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8652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2" w:hanging="28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14" w:hanging="283"/>
      </w:pPr>
      <w:rPr>
        <w:rFonts w:hint="default"/>
        <w:lang w:val="en-US" w:eastAsia="en-US" w:bidi="ar-SA"/>
      </w:rPr>
    </w:lvl>
    <w:lvl w:ilvl="2">
      <w:start w:val="0"/>
      <w:numFmt w:val="bullet"/>
      <w:lvlText w:val="•"/>
      <w:lvlJc w:val="left"/>
      <w:pPr>
        <w:ind w:left="2349" w:hanging="283"/>
      </w:pPr>
      <w:rPr>
        <w:rFonts w:hint="default"/>
        <w:lang w:val="en-US" w:eastAsia="en-US" w:bidi="ar-SA"/>
      </w:rPr>
    </w:lvl>
    <w:lvl w:ilvl="3">
      <w:start w:val="0"/>
      <w:numFmt w:val="bullet"/>
      <w:lvlText w:val="•"/>
      <w:lvlJc w:val="left"/>
      <w:pPr>
        <w:ind w:left="3283" w:hanging="283"/>
      </w:pPr>
      <w:rPr>
        <w:rFonts w:hint="default"/>
        <w:lang w:val="en-US" w:eastAsia="en-US" w:bidi="ar-SA"/>
      </w:rPr>
    </w:lvl>
    <w:lvl w:ilvl="4">
      <w:start w:val="0"/>
      <w:numFmt w:val="bullet"/>
      <w:lvlText w:val="•"/>
      <w:lvlJc w:val="left"/>
      <w:pPr>
        <w:ind w:left="4218" w:hanging="283"/>
      </w:pPr>
      <w:rPr>
        <w:rFonts w:hint="default"/>
        <w:lang w:val="en-US" w:eastAsia="en-US" w:bidi="ar-SA"/>
      </w:rPr>
    </w:lvl>
    <w:lvl w:ilvl="5">
      <w:start w:val="0"/>
      <w:numFmt w:val="bullet"/>
      <w:lvlText w:val="•"/>
      <w:lvlJc w:val="left"/>
      <w:pPr>
        <w:ind w:left="5152" w:hanging="283"/>
      </w:pPr>
      <w:rPr>
        <w:rFonts w:hint="default"/>
        <w:lang w:val="en-US" w:eastAsia="en-US" w:bidi="ar-SA"/>
      </w:rPr>
    </w:lvl>
    <w:lvl w:ilvl="6">
      <w:start w:val="0"/>
      <w:numFmt w:val="bullet"/>
      <w:lvlText w:val="•"/>
      <w:lvlJc w:val="left"/>
      <w:pPr>
        <w:ind w:left="6087" w:hanging="283"/>
      </w:pPr>
      <w:rPr>
        <w:rFonts w:hint="default"/>
        <w:lang w:val="en-US" w:eastAsia="en-US" w:bidi="ar-SA"/>
      </w:rPr>
    </w:lvl>
    <w:lvl w:ilvl="7">
      <w:start w:val="0"/>
      <w:numFmt w:val="bullet"/>
      <w:lvlText w:val="•"/>
      <w:lvlJc w:val="left"/>
      <w:pPr>
        <w:ind w:left="7021" w:hanging="283"/>
      </w:pPr>
      <w:rPr>
        <w:rFonts w:hint="default"/>
        <w:lang w:val="en-US" w:eastAsia="en-US" w:bidi="ar-SA"/>
      </w:rPr>
    </w:lvl>
    <w:lvl w:ilvl="8">
      <w:start w:val="0"/>
      <w:numFmt w:val="bullet"/>
      <w:lvlText w:val="•"/>
      <w:lvlJc w:val="left"/>
      <w:pPr>
        <w:ind w:left="7956" w:hanging="283"/>
      </w:pPr>
      <w:rPr>
        <w:rFonts w:hint="default"/>
        <w:lang w:val="en-US" w:eastAsia="en-US" w:bidi="ar-SA"/>
      </w:rPr>
    </w:lvl>
  </w:abstractNum>
  <w:abstractNum w:abstractNumId="0">
    <w:multiLevelType w:val="hybridMultilevel"/>
    <w:lvl w:ilvl="0">
      <w:start w:val="1"/>
      <w:numFmt w:val="decimal"/>
      <w:lvlText w:val="%1."/>
      <w:lvlJc w:val="left"/>
      <w:pPr>
        <w:ind w:left="61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59" w:hanging="355"/>
        <w:jc w:val="right"/>
      </w:pPr>
      <w:rPr>
        <w:rFonts w:hint="default" w:ascii="Times New Roman" w:hAnsi="Times New Roman" w:eastAsia="Times New Roman" w:cs="Times New Roman"/>
        <w:b w:val="0"/>
        <w:bCs w:val="0"/>
        <w:i/>
        <w:iCs/>
        <w:spacing w:val="0"/>
        <w:w w:val="100"/>
        <w:sz w:val="20"/>
        <w:szCs w:val="20"/>
        <w:lang w:val="en-US" w:eastAsia="en-US" w:bidi="ar-SA"/>
      </w:rPr>
    </w:lvl>
    <w:lvl w:ilvl="2">
      <w:start w:val="0"/>
      <w:numFmt w:val="bullet"/>
      <w:lvlText w:val="•"/>
      <w:lvlJc w:val="left"/>
      <w:pPr>
        <w:ind w:left="800" w:hanging="355"/>
      </w:pPr>
      <w:rPr>
        <w:rFonts w:hint="default"/>
        <w:lang w:val="en-US" w:eastAsia="en-US" w:bidi="ar-SA"/>
      </w:rPr>
    </w:lvl>
    <w:lvl w:ilvl="3">
      <w:start w:val="0"/>
      <w:numFmt w:val="bullet"/>
      <w:lvlText w:val="•"/>
      <w:lvlJc w:val="left"/>
      <w:pPr>
        <w:ind w:left="880" w:hanging="355"/>
      </w:pPr>
      <w:rPr>
        <w:rFonts w:hint="default"/>
        <w:lang w:val="en-US" w:eastAsia="en-US" w:bidi="ar-SA"/>
      </w:rPr>
    </w:lvl>
    <w:lvl w:ilvl="4">
      <w:start w:val="0"/>
      <w:numFmt w:val="bullet"/>
      <w:lvlText w:val="•"/>
      <w:lvlJc w:val="left"/>
      <w:pPr>
        <w:ind w:left="2157" w:hanging="355"/>
      </w:pPr>
      <w:rPr>
        <w:rFonts w:hint="default"/>
        <w:lang w:val="en-US" w:eastAsia="en-US" w:bidi="ar-SA"/>
      </w:rPr>
    </w:lvl>
    <w:lvl w:ilvl="5">
      <w:start w:val="0"/>
      <w:numFmt w:val="bullet"/>
      <w:lvlText w:val="•"/>
      <w:lvlJc w:val="left"/>
      <w:pPr>
        <w:ind w:left="3435" w:hanging="355"/>
      </w:pPr>
      <w:rPr>
        <w:rFonts w:hint="default"/>
        <w:lang w:val="en-US" w:eastAsia="en-US" w:bidi="ar-SA"/>
      </w:rPr>
    </w:lvl>
    <w:lvl w:ilvl="6">
      <w:start w:val="0"/>
      <w:numFmt w:val="bullet"/>
      <w:lvlText w:val="•"/>
      <w:lvlJc w:val="left"/>
      <w:pPr>
        <w:ind w:left="4713" w:hanging="355"/>
      </w:pPr>
      <w:rPr>
        <w:rFonts w:hint="default"/>
        <w:lang w:val="en-US" w:eastAsia="en-US" w:bidi="ar-SA"/>
      </w:rPr>
    </w:lvl>
    <w:lvl w:ilvl="7">
      <w:start w:val="0"/>
      <w:numFmt w:val="bullet"/>
      <w:lvlText w:val="•"/>
      <w:lvlJc w:val="left"/>
      <w:pPr>
        <w:ind w:left="5991" w:hanging="355"/>
      </w:pPr>
      <w:rPr>
        <w:rFonts w:hint="default"/>
        <w:lang w:val="en-US" w:eastAsia="en-US" w:bidi="ar-SA"/>
      </w:rPr>
    </w:lvl>
    <w:lvl w:ilvl="8">
      <w:start w:val="0"/>
      <w:numFmt w:val="bullet"/>
      <w:lvlText w:val="•"/>
      <w:lvlJc w:val="left"/>
      <w:pPr>
        <w:ind w:left="7269" w:hanging="3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82"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457" w:right="41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5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0"/>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14&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Ke-Chun Huang</dc:creator>
  <cp:keywords>Brain herniation; Geometric model; Midline shift</cp:keywords>
  <dc:subject>AASRI Procedia, 6 (2014) 95-102. doi:10.1016/j.aasri.2014.05.014</dc:subject>
  <dc:title>A Simple Geometric Model for Simulating Brain Herniation Using CT Craniometry</dc:title>
  <dcterms:created xsi:type="dcterms:W3CDTF">2023-11-25T02:38:58Z</dcterms:created>
  <dcterms:modified xsi:type="dcterms:W3CDTF">2023-11-25T02:38:58Z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2023-11-25T00:00:00Z</vt:filetime>
  </property>
  <property fmtid="{D5CDD505-2E9C-101B-9397-08002B2CF9AE}" pid="13" name="Producer">
    <vt:lpwstr>3-Heights(TM) PDF Security Shell 4.8.25.2 (http://www.pdf-tools.com)</vt:lpwstr>
  </property>
  <property fmtid="{D5CDD505-2E9C-101B-9397-08002B2CF9AE}" pid="14" name="doi">
    <vt:lpwstr>10.1016/j.aasri.2014.05.014</vt:lpwstr>
  </property>
  <property fmtid="{D5CDD505-2E9C-101B-9397-08002B2CF9AE}" pid="15" name="robots">
    <vt:lpwstr>noindex</vt:lpwstr>
  </property>
</Properties>
</file>