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2778" w:right="0" w:firstLine="0"/>
        <w:jc w:val="left"/>
        <w:rPr>
          <w:rFonts w:ascii="Arial"/>
          <w:sz w:val="18"/>
        </w:rPr>
      </w:pPr>
      <w:r>
        <w:rPr/>
        <w:drawing>
          <wp:anchor distT="0" distB="0" distL="0" distR="0" allowOverlap="1" layoutInCell="1" locked="0" behindDoc="0" simplePos="0" relativeHeight="15731200">
            <wp:simplePos x="0" y="0"/>
            <wp:positionH relativeFrom="page">
              <wp:posOffset>413994</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5150193</wp:posOffset>
            </wp:positionH>
            <wp:positionV relativeFrom="paragraph">
              <wp:posOffset>66370</wp:posOffset>
            </wp:positionV>
            <wp:extent cx="1307591" cy="847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307591" cy="847648"/>
                    </a:xfrm>
                    <a:prstGeom prst="rect">
                      <a:avLst/>
                    </a:prstGeom>
                  </pic:spPr>
                </pic:pic>
              </a:graphicData>
            </a:graphic>
          </wp:anchor>
        </w:drawing>
      </w:r>
      <w:r>
        <w:rPr>
          <w:rFonts w:ascii="Arial"/>
          <w:color w:val="231F20"/>
          <w:sz w:val="18"/>
        </w:rPr>
        <w:t>Available</w:t>
      </w:r>
      <w:r>
        <w:rPr>
          <w:rFonts w:ascii="Arial"/>
          <w:color w:val="231F20"/>
          <w:spacing w:val="-11"/>
          <w:sz w:val="18"/>
        </w:rPr>
        <w:t> </w:t>
      </w:r>
      <w:r>
        <w:rPr>
          <w:rFonts w:ascii="Arial"/>
          <w:color w:val="231F20"/>
          <w:sz w:val="18"/>
        </w:rPr>
        <w:t>online</w:t>
      </w:r>
      <w:r>
        <w:rPr>
          <w:rFonts w:ascii="Arial"/>
          <w:color w:val="231F20"/>
          <w:spacing w:val="-9"/>
          <w:sz w:val="18"/>
        </w:rPr>
        <w:t> </w:t>
      </w:r>
      <w:r>
        <w:rPr>
          <w:rFonts w:ascii="Arial"/>
          <w:color w:val="231F20"/>
          <w:sz w:val="18"/>
        </w:rPr>
        <w:t>at</w:t>
      </w:r>
      <w:r>
        <w:rPr>
          <w:rFonts w:ascii="Arial"/>
          <w:color w:val="231F20"/>
          <w:spacing w:val="-9"/>
          <w:sz w:val="18"/>
        </w:rPr>
        <w:t> </w:t>
      </w:r>
      <w:hyperlink r:id="rId8">
        <w:r>
          <w:rPr>
            <w:rFonts w:ascii="Arial"/>
            <w:color w:val="1D2567"/>
            <w:spacing w:val="-2"/>
            <w:sz w:val="18"/>
          </w:rPr>
          <w:t>www.sciencedirect.com</w:t>
        </w:r>
      </w:hyperlink>
    </w:p>
    <w:p>
      <w:pPr>
        <w:pStyle w:val="BodyText"/>
        <w:rPr>
          <w:rFonts w:ascii="Arial"/>
          <w:sz w:val="11"/>
        </w:rPr>
      </w:pPr>
      <w:r>
        <w:rPr/>
        <w:drawing>
          <wp:anchor distT="0" distB="0" distL="0" distR="0" allowOverlap="1" layoutInCell="1" locked="0" behindDoc="1" simplePos="0" relativeHeight="487587840">
            <wp:simplePos x="0" y="0"/>
            <wp:positionH relativeFrom="page">
              <wp:posOffset>2053704</wp:posOffset>
            </wp:positionH>
            <wp:positionV relativeFrom="paragraph">
              <wp:posOffset>95756</wp:posOffset>
            </wp:positionV>
            <wp:extent cx="2170832" cy="17030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2170832" cy="170306"/>
                    </a:xfrm>
                    <a:prstGeom prst="rect">
                      <a:avLst/>
                    </a:prstGeom>
                  </pic:spPr>
                </pic:pic>
              </a:graphicData>
            </a:graphic>
          </wp:anchor>
        </w:drawing>
      </w:r>
    </w:p>
    <w:p>
      <w:pPr>
        <w:pStyle w:val="BodyText"/>
        <w:rPr>
          <w:rFonts w:ascii="Arial"/>
          <w:sz w:val="18"/>
        </w:rPr>
      </w:pPr>
    </w:p>
    <w:p>
      <w:pPr>
        <w:pStyle w:val="BodyText"/>
        <w:spacing w:before="33"/>
        <w:rPr>
          <w:rFonts w:ascii="Arial"/>
          <w:sz w:val="18"/>
        </w:rPr>
      </w:pPr>
    </w:p>
    <w:p>
      <w:pPr>
        <w:spacing w:before="0"/>
        <w:ind w:left="2807" w:right="0" w:firstLine="0"/>
        <w:jc w:val="left"/>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3</w:t>
      </w:r>
      <w:r>
        <w:rPr>
          <w:color w:val="231F20"/>
          <w:spacing w:val="-1"/>
          <w:sz w:val="16"/>
        </w:rPr>
        <w:t> </w:t>
      </w:r>
      <w:r>
        <w:rPr>
          <w:color w:val="231F20"/>
          <w:sz w:val="16"/>
        </w:rPr>
        <w:t>(2012)</w:t>
      </w:r>
      <w:r>
        <w:rPr>
          <w:color w:val="231F20"/>
          <w:spacing w:val="-1"/>
          <w:sz w:val="16"/>
        </w:rPr>
        <w:t> </w:t>
      </w:r>
      <w:r>
        <w:rPr>
          <w:color w:val="231F20"/>
          <w:sz w:val="16"/>
        </w:rPr>
        <w:t>66 –</w:t>
      </w:r>
      <w:r>
        <w:rPr>
          <w:color w:val="231F20"/>
          <w:spacing w:val="-1"/>
          <w:sz w:val="16"/>
        </w:rPr>
        <w:t> </w:t>
      </w:r>
      <w:r>
        <w:rPr>
          <w:color w:val="231F20"/>
          <w:spacing w:val="-5"/>
          <w:sz w:val="16"/>
        </w:rPr>
        <w:t>72</w:t>
      </w:r>
    </w:p>
    <w:p>
      <w:pPr>
        <w:pStyle w:val="BodyText"/>
        <w:rPr>
          <w:sz w:val="24"/>
        </w:rPr>
      </w:pPr>
    </w:p>
    <w:p>
      <w:pPr>
        <w:pStyle w:val="BodyText"/>
        <w:rPr>
          <w:sz w:val="24"/>
        </w:rPr>
      </w:pPr>
    </w:p>
    <w:p>
      <w:pPr>
        <w:pStyle w:val="BodyText"/>
        <w:rPr>
          <w:sz w:val="24"/>
        </w:rPr>
      </w:pPr>
    </w:p>
    <w:p>
      <w:pPr>
        <w:pStyle w:val="BodyText"/>
        <w:spacing w:before="114"/>
        <w:rPr>
          <w:sz w:val="24"/>
        </w:rPr>
      </w:pPr>
    </w:p>
    <w:p>
      <w:pPr>
        <w:spacing w:before="0"/>
        <w:ind w:left="3" w:right="275" w:firstLine="0"/>
        <w:jc w:val="center"/>
        <w:rPr>
          <w:sz w:val="24"/>
        </w:rPr>
      </w:pPr>
      <w:r>
        <w:rPr>
          <w:color w:val="231F20"/>
          <w:sz w:val="24"/>
        </w:rPr>
        <w:t>2012</w:t>
      </w:r>
      <w:r>
        <w:rPr>
          <w:color w:val="231F20"/>
          <w:spacing w:val="-8"/>
          <w:sz w:val="24"/>
        </w:rPr>
        <w:t> </w:t>
      </w:r>
      <w:r>
        <w:rPr>
          <w:color w:val="231F20"/>
          <w:sz w:val="24"/>
        </w:rPr>
        <w:t>AASRI</w:t>
      </w:r>
      <w:r>
        <w:rPr>
          <w:color w:val="231F20"/>
          <w:spacing w:val="-13"/>
          <w:sz w:val="24"/>
        </w:rPr>
        <w:t> </w:t>
      </w:r>
      <w:r>
        <w:rPr>
          <w:color w:val="231F20"/>
          <w:sz w:val="24"/>
        </w:rPr>
        <w:t>Conference</w:t>
      </w:r>
      <w:r>
        <w:rPr>
          <w:color w:val="231F20"/>
          <w:spacing w:val="-7"/>
          <w:sz w:val="24"/>
        </w:rPr>
        <w:t> </w:t>
      </w:r>
      <w:r>
        <w:rPr>
          <w:color w:val="231F20"/>
          <w:sz w:val="24"/>
        </w:rPr>
        <w:t>on</w:t>
      </w:r>
      <w:r>
        <w:rPr>
          <w:color w:val="231F20"/>
          <w:spacing w:val="-7"/>
          <w:sz w:val="24"/>
        </w:rPr>
        <w:t> </w:t>
      </w:r>
      <w:r>
        <w:rPr>
          <w:color w:val="231F20"/>
          <w:sz w:val="24"/>
        </w:rPr>
        <w:t>Modelling,</w:t>
      </w:r>
      <w:r>
        <w:rPr>
          <w:color w:val="231F20"/>
          <w:spacing w:val="-6"/>
          <w:sz w:val="24"/>
        </w:rPr>
        <w:t> </w:t>
      </w:r>
      <w:r>
        <w:rPr>
          <w:color w:val="231F20"/>
          <w:sz w:val="24"/>
        </w:rPr>
        <w:t>Identification</w:t>
      </w:r>
      <w:r>
        <w:rPr>
          <w:color w:val="231F20"/>
          <w:spacing w:val="-7"/>
          <w:sz w:val="24"/>
        </w:rPr>
        <w:t> </w:t>
      </w:r>
      <w:r>
        <w:rPr>
          <w:color w:val="231F20"/>
          <w:sz w:val="24"/>
        </w:rPr>
        <w:t>and</w:t>
      </w:r>
      <w:r>
        <w:rPr>
          <w:color w:val="231F20"/>
          <w:spacing w:val="-8"/>
          <w:sz w:val="24"/>
        </w:rPr>
        <w:t> </w:t>
      </w:r>
      <w:r>
        <w:rPr>
          <w:color w:val="231F20"/>
          <w:spacing w:val="-2"/>
          <w:sz w:val="24"/>
        </w:rPr>
        <w:t>Control</w:t>
      </w:r>
    </w:p>
    <w:p>
      <w:pPr>
        <w:pStyle w:val="Title"/>
        <w:spacing w:line="247" w:lineRule="auto"/>
      </w:pPr>
      <w:r>
        <w:rPr>
          <w:color w:val="231F20"/>
        </w:rPr>
        <w:t>The</w:t>
      </w:r>
      <w:r>
        <w:rPr>
          <w:color w:val="231F20"/>
          <w:spacing w:val="-5"/>
        </w:rPr>
        <w:t> </w:t>
      </w:r>
      <w:r>
        <w:rPr>
          <w:color w:val="231F20"/>
        </w:rPr>
        <w:t>Processes</w:t>
      </w:r>
      <w:r>
        <w:rPr>
          <w:color w:val="231F20"/>
          <w:spacing w:val="-4"/>
        </w:rPr>
        <w:t> </w:t>
      </w:r>
      <w:r>
        <w:rPr>
          <w:color w:val="231F20"/>
        </w:rPr>
        <w:t>of</w:t>
      </w:r>
      <w:r>
        <w:rPr>
          <w:color w:val="231F20"/>
          <w:spacing w:val="-8"/>
        </w:rPr>
        <w:t> </w:t>
      </w:r>
      <w:r>
        <w:rPr>
          <w:color w:val="231F20"/>
        </w:rPr>
        <w:t>Fragmentation,</w:t>
      </w:r>
      <w:r>
        <w:rPr>
          <w:color w:val="231F20"/>
          <w:spacing w:val="-4"/>
        </w:rPr>
        <w:t> </w:t>
      </w:r>
      <w:r>
        <w:rPr>
          <w:color w:val="231F20"/>
        </w:rPr>
        <w:t>Intermixing</w:t>
      </w:r>
      <w:r>
        <w:rPr>
          <w:color w:val="231F20"/>
          <w:spacing w:val="-4"/>
        </w:rPr>
        <w:t> </w:t>
      </w:r>
      <w:r>
        <w:rPr>
          <w:color w:val="231F20"/>
        </w:rPr>
        <w:t>and</w:t>
      </w:r>
      <w:r>
        <w:rPr>
          <w:color w:val="231F20"/>
          <w:spacing w:val="-4"/>
        </w:rPr>
        <w:t> </w:t>
      </w:r>
      <w:r>
        <w:rPr>
          <w:color w:val="231F20"/>
        </w:rPr>
        <w:t>Fusion</w:t>
      </w:r>
      <w:r>
        <w:rPr>
          <w:color w:val="231F20"/>
          <w:spacing w:val="-4"/>
        </w:rPr>
        <w:t> </w:t>
      </w:r>
      <w:r>
        <w:rPr>
          <w:color w:val="231F20"/>
        </w:rPr>
        <w:t>upon Explosion Welding</w:t>
      </w:r>
    </w:p>
    <w:p>
      <w:pPr>
        <w:spacing w:before="227"/>
        <w:ind w:left="857" w:right="0" w:firstLine="0"/>
        <w:jc w:val="left"/>
        <w:rPr>
          <w:sz w:val="26"/>
        </w:rPr>
      </w:pPr>
      <w:r>
        <w:rPr>
          <w:color w:val="231F20"/>
          <w:sz w:val="26"/>
        </w:rPr>
        <w:t>B.A.</w:t>
      </w:r>
      <w:r>
        <w:rPr>
          <w:color w:val="231F20"/>
          <w:spacing w:val="-7"/>
          <w:sz w:val="26"/>
        </w:rPr>
        <w:t> </w:t>
      </w:r>
      <w:r>
        <w:rPr>
          <w:color w:val="231F20"/>
          <w:sz w:val="26"/>
        </w:rPr>
        <w:t>Greenberg</w:t>
      </w:r>
      <w:r>
        <w:rPr>
          <w:color w:val="231F20"/>
          <w:sz w:val="26"/>
          <w:vertAlign w:val="superscript"/>
        </w:rPr>
        <w:t>a,</w:t>
      </w:r>
      <w:r>
        <w:rPr>
          <w:color w:val="231F20"/>
          <w:sz w:val="26"/>
          <w:vertAlign w:val="baseline"/>
        </w:rPr>
        <w:t>*,</w:t>
      </w:r>
      <w:r>
        <w:rPr>
          <w:color w:val="231F20"/>
          <w:spacing w:val="-8"/>
          <w:sz w:val="26"/>
          <w:vertAlign w:val="baseline"/>
        </w:rPr>
        <w:t> </w:t>
      </w:r>
      <w:r>
        <w:rPr>
          <w:color w:val="231F20"/>
          <w:sz w:val="26"/>
          <w:vertAlign w:val="baseline"/>
        </w:rPr>
        <w:t>M.A.</w:t>
      </w:r>
      <w:r>
        <w:rPr>
          <w:color w:val="231F20"/>
          <w:spacing w:val="-4"/>
          <w:sz w:val="26"/>
          <w:vertAlign w:val="baseline"/>
        </w:rPr>
        <w:t> </w:t>
      </w:r>
      <w:r>
        <w:rPr>
          <w:color w:val="231F20"/>
          <w:sz w:val="26"/>
          <w:vertAlign w:val="baseline"/>
        </w:rPr>
        <w:t>Ivanov</w:t>
      </w:r>
      <w:r>
        <w:rPr>
          <w:color w:val="231F20"/>
          <w:sz w:val="26"/>
          <w:vertAlign w:val="superscript"/>
        </w:rPr>
        <w:t>b</w:t>
      </w:r>
      <w:r>
        <w:rPr>
          <w:color w:val="231F20"/>
          <w:sz w:val="26"/>
          <w:vertAlign w:val="baseline"/>
        </w:rPr>
        <w:t>,</w:t>
      </w:r>
      <w:r>
        <w:rPr>
          <w:color w:val="231F20"/>
          <w:spacing w:val="-8"/>
          <w:sz w:val="26"/>
          <w:vertAlign w:val="baseline"/>
        </w:rPr>
        <w:t> </w:t>
      </w:r>
      <w:r>
        <w:rPr>
          <w:color w:val="231F20"/>
          <w:sz w:val="26"/>
          <w:vertAlign w:val="baseline"/>
        </w:rPr>
        <w:t>A.M.</w:t>
      </w:r>
      <w:r>
        <w:rPr>
          <w:color w:val="231F20"/>
          <w:spacing w:val="-5"/>
          <w:sz w:val="26"/>
          <w:vertAlign w:val="baseline"/>
        </w:rPr>
        <w:t> </w:t>
      </w:r>
      <w:r>
        <w:rPr>
          <w:color w:val="231F20"/>
          <w:sz w:val="26"/>
          <w:vertAlign w:val="baseline"/>
        </w:rPr>
        <w:t>Patselov</w:t>
      </w:r>
      <w:r>
        <w:rPr>
          <w:color w:val="231F20"/>
          <w:sz w:val="26"/>
          <w:vertAlign w:val="superscript"/>
        </w:rPr>
        <w:t>a</w:t>
      </w:r>
      <w:r>
        <w:rPr>
          <w:color w:val="231F20"/>
          <w:sz w:val="26"/>
          <w:vertAlign w:val="baseline"/>
        </w:rPr>
        <w:t>,</w:t>
      </w:r>
      <w:r>
        <w:rPr>
          <w:color w:val="231F20"/>
          <w:spacing w:val="-7"/>
          <w:sz w:val="26"/>
          <w:vertAlign w:val="baseline"/>
        </w:rPr>
        <w:t> </w:t>
      </w:r>
      <w:r>
        <w:rPr>
          <w:color w:val="231F20"/>
          <w:sz w:val="26"/>
          <w:vertAlign w:val="baseline"/>
        </w:rPr>
        <w:t>Yu.P.</w:t>
      </w:r>
      <w:r>
        <w:rPr>
          <w:color w:val="231F20"/>
          <w:spacing w:val="-8"/>
          <w:sz w:val="26"/>
          <w:vertAlign w:val="baseline"/>
        </w:rPr>
        <w:t> </w:t>
      </w:r>
      <w:r>
        <w:rPr>
          <w:color w:val="231F20"/>
          <w:spacing w:val="-2"/>
          <w:sz w:val="26"/>
          <w:vertAlign w:val="baseline"/>
        </w:rPr>
        <w:t>Besshaposhnikov</w:t>
      </w:r>
      <w:r>
        <w:rPr>
          <w:color w:val="231F20"/>
          <w:spacing w:val="-2"/>
          <w:sz w:val="26"/>
          <w:vertAlign w:val="superscript"/>
        </w:rPr>
        <w:t>c</w:t>
      </w:r>
    </w:p>
    <w:p>
      <w:pPr>
        <w:spacing w:before="179"/>
        <w:ind w:left="4" w:right="275" w:firstLine="0"/>
        <w:jc w:val="center"/>
        <w:rPr>
          <w:i/>
          <w:sz w:val="16"/>
        </w:rPr>
      </w:pPr>
      <w:r>
        <w:rPr>
          <w:i/>
          <w:color w:val="231F20"/>
          <w:sz w:val="16"/>
          <w:vertAlign w:val="superscript"/>
        </w:rPr>
        <w:t>a</w:t>
      </w:r>
      <w:r>
        <w:rPr>
          <w:i/>
          <w:color w:val="231F20"/>
          <w:sz w:val="16"/>
          <w:vertAlign w:val="baseline"/>
        </w:rPr>
        <w:t>Institute</w:t>
      </w:r>
      <w:r>
        <w:rPr>
          <w:i/>
          <w:color w:val="231F20"/>
          <w:spacing w:val="-6"/>
          <w:sz w:val="16"/>
          <w:vertAlign w:val="baseline"/>
        </w:rPr>
        <w:t> </w:t>
      </w:r>
      <w:r>
        <w:rPr>
          <w:i/>
          <w:color w:val="231F20"/>
          <w:sz w:val="16"/>
          <w:vertAlign w:val="baseline"/>
        </w:rPr>
        <w:t>of</w:t>
      </w:r>
      <w:r>
        <w:rPr>
          <w:i/>
          <w:color w:val="231F20"/>
          <w:spacing w:val="-5"/>
          <w:sz w:val="16"/>
          <w:vertAlign w:val="baseline"/>
        </w:rPr>
        <w:t> </w:t>
      </w:r>
      <w:r>
        <w:rPr>
          <w:i/>
          <w:color w:val="231F20"/>
          <w:sz w:val="16"/>
          <w:vertAlign w:val="baseline"/>
        </w:rPr>
        <w:t>Metal</w:t>
      </w:r>
      <w:r>
        <w:rPr>
          <w:i/>
          <w:color w:val="231F20"/>
          <w:spacing w:val="-5"/>
          <w:sz w:val="16"/>
          <w:vertAlign w:val="baseline"/>
        </w:rPr>
        <w:t> </w:t>
      </w:r>
      <w:r>
        <w:rPr>
          <w:i/>
          <w:color w:val="231F20"/>
          <w:sz w:val="16"/>
          <w:vertAlign w:val="baseline"/>
        </w:rPr>
        <w:t>Physics,</w:t>
      </w:r>
      <w:r>
        <w:rPr>
          <w:i/>
          <w:color w:val="231F20"/>
          <w:spacing w:val="-3"/>
          <w:sz w:val="16"/>
          <w:vertAlign w:val="baseline"/>
        </w:rPr>
        <w:t> </w:t>
      </w:r>
      <w:r>
        <w:rPr>
          <w:i/>
          <w:color w:val="231F20"/>
          <w:sz w:val="16"/>
          <w:vertAlign w:val="baseline"/>
        </w:rPr>
        <w:t>Ural</w:t>
      </w:r>
      <w:r>
        <w:rPr>
          <w:i/>
          <w:color w:val="231F20"/>
          <w:spacing w:val="-5"/>
          <w:sz w:val="16"/>
          <w:vertAlign w:val="baseline"/>
        </w:rPr>
        <w:t> </w:t>
      </w:r>
      <w:r>
        <w:rPr>
          <w:i/>
          <w:color w:val="231F20"/>
          <w:sz w:val="16"/>
          <w:vertAlign w:val="baseline"/>
        </w:rPr>
        <w:t>Branch</w:t>
      </w:r>
      <w:r>
        <w:rPr>
          <w:i/>
          <w:color w:val="231F20"/>
          <w:spacing w:val="-5"/>
          <w:sz w:val="16"/>
          <w:vertAlign w:val="baseline"/>
        </w:rPr>
        <w:t> </w:t>
      </w:r>
      <w:r>
        <w:rPr>
          <w:i/>
          <w:color w:val="231F20"/>
          <w:sz w:val="16"/>
          <w:vertAlign w:val="baseline"/>
        </w:rPr>
        <w:t>of</w:t>
      </w:r>
      <w:r>
        <w:rPr>
          <w:i/>
          <w:color w:val="231F20"/>
          <w:spacing w:val="-2"/>
          <w:sz w:val="16"/>
          <w:vertAlign w:val="baseline"/>
        </w:rPr>
        <w:t> </w:t>
      </w:r>
      <w:r>
        <w:rPr>
          <w:i/>
          <w:color w:val="231F20"/>
          <w:sz w:val="16"/>
          <w:vertAlign w:val="baseline"/>
        </w:rPr>
        <w:t>RAS,</w:t>
      </w:r>
      <w:r>
        <w:rPr>
          <w:i/>
          <w:color w:val="231F20"/>
          <w:spacing w:val="-6"/>
          <w:sz w:val="16"/>
          <w:vertAlign w:val="baseline"/>
        </w:rPr>
        <w:t> </w:t>
      </w:r>
      <w:r>
        <w:rPr>
          <w:i/>
          <w:color w:val="231F20"/>
          <w:sz w:val="16"/>
          <w:vertAlign w:val="baseline"/>
        </w:rPr>
        <w:t>18</w:t>
      </w:r>
      <w:r>
        <w:rPr>
          <w:i/>
          <w:color w:val="231F20"/>
          <w:spacing w:val="-5"/>
          <w:sz w:val="16"/>
          <w:vertAlign w:val="baseline"/>
        </w:rPr>
        <w:t> </w:t>
      </w:r>
      <w:r>
        <w:rPr>
          <w:i/>
          <w:color w:val="231F20"/>
          <w:sz w:val="16"/>
          <w:vertAlign w:val="baseline"/>
        </w:rPr>
        <w:t>S.</w:t>
      </w:r>
      <w:r>
        <w:rPr>
          <w:i/>
          <w:color w:val="231F20"/>
          <w:spacing w:val="-6"/>
          <w:sz w:val="16"/>
          <w:vertAlign w:val="baseline"/>
        </w:rPr>
        <w:t> </w:t>
      </w:r>
      <w:r>
        <w:rPr>
          <w:i/>
          <w:color w:val="231F20"/>
          <w:sz w:val="16"/>
          <w:vertAlign w:val="baseline"/>
        </w:rPr>
        <w:t>Kovalevskaya</w:t>
      </w:r>
      <w:r>
        <w:rPr>
          <w:i/>
          <w:color w:val="231F20"/>
          <w:spacing w:val="-5"/>
          <w:sz w:val="16"/>
          <w:vertAlign w:val="baseline"/>
        </w:rPr>
        <w:t> </w:t>
      </w:r>
      <w:r>
        <w:rPr>
          <w:i/>
          <w:color w:val="231F20"/>
          <w:sz w:val="16"/>
          <w:vertAlign w:val="baseline"/>
        </w:rPr>
        <w:t>Str.,</w:t>
      </w:r>
      <w:r>
        <w:rPr>
          <w:i/>
          <w:color w:val="231F20"/>
          <w:spacing w:val="-3"/>
          <w:sz w:val="16"/>
          <w:vertAlign w:val="baseline"/>
        </w:rPr>
        <w:t> </w:t>
      </w:r>
      <w:r>
        <w:rPr>
          <w:i/>
          <w:color w:val="231F20"/>
          <w:sz w:val="16"/>
          <w:vertAlign w:val="baseline"/>
        </w:rPr>
        <w:t>Ekaterinburg,</w:t>
      </w:r>
      <w:r>
        <w:rPr>
          <w:i/>
          <w:color w:val="231F20"/>
          <w:spacing w:val="-5"/>
          <w:sz w:val="16"/>
          <w:vertAlign w:val="baseline"/>
        </w:rPr>
        <w:t> </w:t>
      </w:r>
      <w:r>
        <w:rPr>
          <w:i/>
          <w:color w:val="231F20"/>
          <w:sz w:val="16"/>
          <w:vertAlign w:val="baseline"/>
        </w:rPr>
        <w:t>620990,</w:t>
      </w:r>
      <w:r>
        <w:rPr>
          <w:i/>
          <w:color w:val="231F20"/>
          <w:spacing w:val="-5"/>
          <w:sz w:val="16"/>
          <w:vertAlign w:val="baseline"/>
        </w:rPr>
        <w:t> </w:t>
      </w:r>
      <w:r>
        <w:rPr>
          <w:i/>
          <w:color w:val="231F20"/>
          <w:spacing w:val="-2"/>
          <w:sz w:val="16"/>
          <w:vertAlign w:val="baseline"/>
        </w:rPr>
        <w:t>Russia</w:t>
      </w:r>
    </w:p>
    <w:p>
      <w:pPr>
        <w:spacing w:before="15"/>
        <w:ind w:left="4" w:right="275" w:firstLine="0"/>
        <w:jc w:val="center"/>
        <w:rPr>
          <w:i/>
          <w:sz w:val="16"/>
        </w:rPr>
      </w:pPr>
      <w:r>
        <w:rPr>
          <w:i/>
          <w:color w:val="231F20"/>
          <w:sz w:val="16"/>
          <w:vertAlign w:val="superscript"/>
        </w:rPr>
        <w:t>b</w:t>
      </w:r>
      <w:r>
        <w:rPr>
          <w:i/>
          <w:color w:val="231F20"/>
          <w:sz w:val="16"/>
          <w:vertAlign w:val="baseline"/>
        </w:rPr>
        <w:t>Kurdyumov</w:t>
      </w:r>
      <w:r>
        <w:rPr>
          <w:i/>
          <w:color w:val="231F20"/>
          <w:spacing w:val="-3"/>
          <w:sz w:val="16"/>
          <w:vertAlign w:val="baseline"/>
        </w:rPr>
        <w:t> </w:t>
      </w:r>
      <w:r>
        <w:rPr>
          <w:i/>
          <w:color w:val="231F20"/>
          <w:sz w:val="16"/>
          <w:vertAlign w:val="baseline"/>
        </w:rPr>
        <w:t>Institute</w:t>
      </w:r>
      <w:r>
        <w:rPr>
          <w:i/>
          <w:color w:val="231F20"/>
          <w:spacing w:val="-5"/>
          <w:sz w:val="16"/>
          <w:vertAlign w:val="baseline"/>
        </w:rPr>
        <w:t> </w:t>
      </w:r>
      <w:r>
        <w:rPr>
          <w:i/>
          <w:color w:val="231F20"/>
          <w:sz w:val="16"/>
          <w:vertAlign w:val="baseline"/>
        </w:rPr>
        <w:t>of</w:t>
      </w:r>
      <w:r>
        <w:rPr>
          <w:i/>
          <w:color w:val="231F20"/>
          <w:spacing w:val="-6"/>
          <w:sz w:val="16"/>
          <w:vertAlign w:val="baseline"/>
        </w:rPr>
        <w:t> </w:t>
      </w:r>
      <w:r>
        <w:rPr>
          <w:i/>
          <w:color w:val="231F20"/>
          <w:sz w:val="16"/>
          <w:vertAlign w:val="baseline"/>
        </w:rPr>
        <w:t>Metal</w:t>
      </w:r>
      <w:r>
        <w:rPr>
          <w:i/>
          <w:color w:val="231F20"/>
          <w:spacing w:val="-5"/>
          <w:sz w:val="16"/>
          <w:vertAlign w:val="baseline"/>
        </w:rPr>
        <w:t> </w:t>
      </w:r>
      <w:r>
        <w:rPr>
          <w:i/>
          <w:color w:val="231F20"/>
          <w:sz w:val="16"/>
          <w:vertAlign w:val="baseline"/>
        </w:rPr>
        <w:t>Physics,</w:t>
      </w:r>
      <w:r>
        <w:rPr>
          <w:i/>
          <w:color w:val="231F20"/>
          <w:spacing w:val="-4"/>
          <w:sz w:val="16"/>
          <w:vertAlign w:val="baseline"/>
        </w:rPr>
        <w:t> </w:t>
      </w:r>
      <w:r>
        <w:rPr>
          <w:i/>
          <w:color w:val="231F20"/>
          <w:sz w:val="16"/>
          <w:vertAlign w:val="baseline"/>
        </w:rPr>
        <w:t>National</w:t>
      </w:r>
      <w:r>
        <w:rPr>
          <w:i/>
          <w:color w:val="231F20"/>
          <w:spacing w:val="-5"/>
          <w:sz w:val="16"/>
          <w:vertAlign w:val="baseline"/>
        </w:rPr>
        <w:t> </w:t>
      </w:r>
      <w:r>
        <w:rPr>
          <w:i/>
          <w:color w:val="231F20"/>
          <w:sz w:val="16"/>
          <w:vertAlign w:val="baseline"/>
        </w:rPr>
        <w:t>Academy</w:t>
      </w:r>
      <w:r>
        <w:rPr>
          <w:i/>
          <w:color w:val="231F20"/>
          <w:spacing w:val="-5"/>
          <w:sz w:val="16"/>
          <w:vertAlign w:val="baseline"/>
        </w:rPr>
        <w:t> </w:t>
      </w:r>
      <w:r>
        <w:rPr>
          <w:i/>
          <w:color w:val="231F20"/>
          <w:sz w:val="16"/>
          <w:vertAlign w:val="baseline"/>
        </w:rPr>
        <w:t>of</w:t>
      </w:r>
      <w:r>
        <w:rPr>
          <w:i/>
          <w:color w:val="231F20"/>
          <w:spacing w:val="-5"/>
          <w:sz w:val="16"/>
          <w:vertAlign w:val="baseline"/>
        </w:rPr>
        <w:t> </w:t>
      </w:r>
      <w:r>
        <w:rPr>
          <w:i/>
          <w:color w:val="231F20"/>
          <w:sz w:val="16"/>
          <w:vertAlign w:val="baseline"/>
        </w:rPr>
        <w:t>Sciences</w:t>
      </w:r>
      <w:r>
        <w:rPr>
          <w:i/>
          <w:color w:val="231F20"/>
          <w:spacing w:val="-7"/>
          <w:sz w:val="16"/>
          <w:vertAlign w:val="baseline"/>
        </w:rPr>
        <w:t> </w:t>
      </w:r>
      <w:r>
        <w:rPr>
          <w:i/>
          <w:color w:val="231F20"/>
          <w:sz w:val="16"/>
          <w:vertAlign w:val="baseline"/>
        </w:rPr>
        <w:t>of</w:t>
      </w:r>
      <w:r>
        <w:rPr>
          <w:i/>
          <w:color w:val="231F20"/>
          <w:spacing w:val="-3"/>
          <w:sz w:val="16"/>
          <w:vertAlign w:val="baseline"/>
        </w:rPr>
        <w:t> </w:t>
      </w:r>
      <w:r>
        <w:rPr>
          <w:i/>
          <w:color w:val="231F20"/>
          <w:sz w:val="16"/>
          <w:vertAlign w:val="baseline"/>
        </w:rPr>
        <w:t>Ukraine,</w:t>
      </w:r>
      <w:r>
        <w:rPr>
          <w:i/>
          <w:color w:val="231F20"/>
          <w:spacing w:val="30"/>
          <w:sz w:val="16"/>
          <w:vertAlign w:val="baseline"/>
        </w:rPr>
        <w:t> </w:t>
      </w:r>
      <w:r>
        <w:rPr>
          <w:i/>
          <w:color w:val="231F20"/>
          <w:sz w:val="16"/>
          <w:vertAlign w:val="baseline"/>
        </w:rPr>
        <w:t>Vernadskogo</w:t>
      </w:r>
      <w:r>
        <w:rPr>
          <w:i/>
          <w:color w:val="231F20"/>
          <w:spacing w:val="-4"/>
          <w:sz w:val="16"/>
          <w:vertAlign w:val="baseline"/>
        </w:rPr>
        <w:t> </w:t>
      </w:r>
      <w:r>
        <w:rPr>
          <w:i/>
          <w:color w:val="231F20"/>
          <w:sz w:val="16"/>
          <w:vertAlign w:val="baseline"/>
        </w:rPr>
        <w:t>blvd.</w:t>
      </w:r>
      <w:r>
        <w:rPr>
          <w:i/>
          <w:color w:val="231F20"/>
          <w:spacing w:val="30"/>
          <w:sz w:val="16"/>
          <w:vertAlign w:val="baseline"/>
        </w:rPr>
        <w:t> </w:t>
      </w:r>
      <w:r>
        <w:rPr>
          <w:i/>
          <w:color w:val="231F20"/>
          <w:sz w:val="16"/>
          <w:vertAlign w:val="baseline"/>
        </w:rPr>
        <w:t>36,</w:t>
      </w:r>
      <w:r>
        <w:rPr>
          <w:i/>
          <w:color w:val="231F20"/>
          <w:spacing w:val="-6"/>
          <w:sz w:val="16"/>
          <w:vertAlign w:val="baseline"/>
        </w:rPr>
        <w:t> </w:t>
      </w:r>
      <w:r>
        <w:rPr>
          <w:i/>
          <w:color w:val="231F20"/>
          <w:sz w:val="16"/>
          <w:vertAlign w:val="baseline"/>
        </w:rPr>
        <w:t>Kiev,</w:t>
      </w:r>
      <w:r>
        <w:rPr>
          <w:i/>
          <w:color w:val="231F20"/>
          <w:spacing w:val="-5"/>
          <w:sz w:val="16"/>
          <w:vertAlign w:val="baseline"/>
        </w:rPr>
        <w:t> </w:t>
      </w:r>
      <w:r>
        <w:rPr>
          <w:i/>
          <w:color w:val="231F20"/>
          <w:sz w:val="16"/>
          <w:vertAlign w:val="baseline"/>
        </w:rPr>
        <w:t>03680,</w:t>
      </w:r>
      <w:r>
        <w:rPr>
          <w:i/>
          <w:color w:val="231F20"/>
          <w:spacing w:val="-4"/>
          <w:sz w:val="16"/>
          <w:vertAlign w:val="baseline"/>
        </w:rPr>
        <w:t> </w:t>
      </w:r>
      <w:r>
        <w:rPr>
          <w:i/>
          <w:color w:val="231F20"/>
          <w:spacing w:val="-2"/>
          <w:sz w:val="16"/>
          <w:vertAlign w:val="baseline"/>
        </w:rPr>
        <w:t>Ukraine</w:t>
      </w:r>
    </w:p>
    <w:p>
      <w:pPr>
        <w:spacing w:before="17"/>
        <w:ind w:left="0" w:right="275" w:firstLine="0"/>
        <w:jc w:val="center"/>
        <w:rPr>
          <w:i/>
          <w:sz w:val="16"/>
        </w:rPr>
      </w:pPr>
      <w:r>
        <w:rPr>
          <w:i/>
          <w:color w:val="231F20"/>
          <w:sz w:val="16"/>
          <w:vertAlign w:val="superscript"/>
        </w:rPr>
        <w:t>c</w:t>
      </w:r>
      <w:r>
        <w:rPr>
          <w:i/>
          <w:color w:val="231F20"/>
          <w:sz w:val="16"/>
          <w:vertAlign w:val="baseline"/>
        </w:rPr>
        <w:t>Ural</w:t>
      </w:r>
      <w:r>
        <w:rPr>
          <w:i/>
          <w:color w:val="231F20"/>
          <w:spacing w:val="-5"/>
          <w:sz w:val="16"/>
          <w:vertAlign w:val="baseline"/>
        </w:rPr>
        <w:t> </w:t>
      </w:r>
      <w:r>
        <w:rPr>
          <w:i/>
          <w:color w:val="231F20"/>
          <w:sz w:val="16"/>
          <w:vertAlign w:val="baseline"/>
        </w:rPr>
        <w:t>Chemical</w:t>
      </w:r>
      <w:r>
        <w:rPr>
          <w:i/>
          <w:color w:val="231F20"/>
          <w:spacing w:val="-6"/>
          <w:sz w:val="16"/>
          <w:vertAlign w:val="baseline"/>
        </w:rPr>
        <w:t> </w:t>
      </w:r>
      <w:r>
        <w:rPr>
          <w:i/>
          <w:color w:val="231F20"/>
          <w:sz w:val="16"/>
          <w:vertAlign w:val="baseline"/>
        </w:rPr>
        <w:t>Machine</w:t>
      </w:r>
      <w:r>
        <w:rPr>
          <w:i/>
          <w:color w:val="231F20"/>
          <w:spacing w:val="-6"/>
          <w:sz w:val="16"/>
          <w:vertAlign w:val="baseline"/>
        </w:rPr>
        <w:t> </w:t>
      </w:r>
      <w:r>
        <w:rPr>
          <w:i/>
          <w:color w:val="231F20"/>
          <w:sz w:val="16"/>
          <w:vertAlign w:val="baseline"/>
        </w:rPr>
        <w:t>Building</w:t>
      </w:r>
      <w:r>
        <w:rPr>
          <w:i/>
          <w:color w:val="231F20"/>
          <w:spacing w:val="-7"/>
          <w:sz w:val="16"/>
          <w:vertAlign w:val="baseline"/>
        </w:rPr>
        <w:t> </w:t>
      </w:r>
      <w:r>
        <w:rPr>
          <w:i/>
          <w:color w:val="231F20"/>
          <w:sz w:val="16"/>
          <w:vertAlign w:val="baseline"/>
        </w:rPr>
        <w:t>Plant,</w:t>
      </w:r>
      <w:r>
        <w:rPr>
          <w:i/>
          <w:color w:val="231F20"/>
          <w:spacing w:val="-6"/>
          <w:sz w:val="16"/>
          <w:vertAlign w:val="baseline"/>
        </w:rPr>
        <w:t> </w:t>
      </w:r>
      <w:r>
        <w:rPr>
          <w:i/>
          <w:color w:val="231F20"/>
          <w:sz w:val="16"/>
          <w:vertAlign w:val="baseline"/>
        </w:rPr>
        <w:t>33</w:t>
      </w:r>
      <w:r>
        <w:rPr>
          <w:i/>
          <w:color w:val="231F20"/>
          <w:spacing w:val="-6"/>
          <w:sz w:val="16"/>
          <w:vertAlign w:val="baseline"/>
        </w:rPr>
        <w:t> </w:t>
      </w:r>
      <w:r>
        <w:rPr>
          <w:i/>
          <w:color w:val="231F20"/>
          <w:sz w:val="16"/>
          <w:vertAlign w:val="baseline"/>
        </w:rPr>
        <w:t>Khibinogorskii</w:t>
      </w:r>
      <w:r>
        <w:rPr>
          <w:i/>
          <w:color w:val="231F20"/>
          <w:spacing w:val="-6"/>
          <w:sz w:val="16"/>
          <w:vertAlign w:val="baseline"/>
        </w:rPr>
        <w:t> </w:t>
      </w:r>
      <w:r>
        <w:rPr>
          <w:i/>
          <w:color w:val="231F20"/>
          <w:sz w:val="16"/>
          <w:vertAlign w:val="baseline"/>
        </w:rPr>
        <w:t>Lane,</w:t>
      </w:r>
      <w:r>
        <w:rPr>
          <w:i/>
          <w:color w:val="231F20"/>
          <w:spacing w:val="-5"/>
          <w:sz w:val="16"/>
          <w:vertAlign w:val="baseline"/>
        </w:rPr>
        <w:t> </w:t>
      </w:r>
      <w:r>
        <w:rPr>
          <w:i/>
          <w:color w:val="231F20"/>
          <w:sz w:val="16"/>
          <w:vertAlign w:val="baseline"/>
        </w:rPr>
        <w:t>Ekaterinburg,</w:t>
      </w:r>
      <w:r>
        <w:rPr>
          <w:i/>
          <w:color w:val="231F20"/>
          <w:spacing w:val="-6"/>
          <w:sz w:val="16"/>
          <w:vertAlign w:val="baseline"/>
        </w:rPr>
        <w:t> </w:t>
      </w:r>
      <w:r>
        <w:rPr>
          <w:i/>
          <w:color w:val="231F20"/>
          <w:sz w:val="16"/>
          <w:vertAlign w:val="baseline"/>
        </w:rPr>
        <w:t>620010,</w:t>
      </w:r>
      <w:r>
        <w:rPr>
          <w:i/>
          <w:color w:val="231F20"/>
          <w:spacing w:val="-6"/>
          <w:sz w:val="16"/>
          <w:vertAlign w:val="baseline"/>
        </w:rPr>
        <w:t> </w:t>
      </w:r>
      <w:r>
        <w:rPr>
          <w:i/>
          <w:color w:val="231F20"/>
          <w:spacing w:val="-2"/>
          <w:sz w:val="16"/>
          <w:vertAlign w:val="baseline"/>
        </w:rPr>
        <w:t>Russia</w:t>
      </w:r>
    </w:p>
    <w:p>
      <w:pPr>
        <w:pStyle w:val="BodyText"/>
        <w:rPr>
          <w:i/>
        </w:rPr>
      </w:pPr>
    </w:p>
    <w:p>
      <w:pPr>
        <w:pStyle w:val="BodyText"/>
        <w:rPr>
          <w:i/>
        </w:rPr>
      </w:pPr>
    </w:p>
    <w:p>
      <w:pPr>
        <w:pStyle w:val="BodyText"/>
        <w:spacing w:before="10"/>
        <w:rPr>
          <w:i/>
        </w:rPr>
      </w:pPr>
      <w:r>
        <w:rPr/>
        <mc:AlternateContent>
          <mc:Choice Requires="wps">
            <w:drawing>
              <wp:anchor distT="0" distB="0" distL="0" distR="0" allowOverlap="1" layoutInCell="1" locked="0" behindDoc="1" simplePos="0" relativeHeight="487588352">
                <wp:simplePos x="0" y="0"/>
                <wp:positionH relativeFrom="page">
                  <wp:posOffset>498259</wp:posOffset>
                </wp:positionH>
                <wp:positionV relativeFrom="paragraph">
                  <wp:posOffset>167936</wp:posOffset>
                </wp:positionV>
                <wp:extent cx="5652770" cy="635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652770" cy="6350"/>
                        </a:xfrm>
                        <a:custGeom>
                          <a:avLst/>
                          <a:gdLst/>
                          <a:ahLst/>
                          <a:cxnLst/>
                          <a:rect l="l" t="t" r="r" b="b"/>
                          <a:pathLst>
                            <a:path w="5652770" h="6350">
                              <a:moveTo>
                                <a:pt x="5652516" y="0"/>
                              </a:moveTo>
                              <a:lnTo>
                                <a:pt x="0" y="0"/>
                              </a:lnTo>
                              <a:lnTo>
                                <a:pt x="0" y="6096"/>
                              </a:lnTo>
                              <a:lnTo>
                                <a:pt x="5652516" y="6096"/>
                              </a:lnTo>
                              <a:lnTo>
                                <a:pt x="5652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233002pt;margin-top:13.223385pt;width:445.08pt;height:.48pt;mso-position-horizontal-relative:page;mso-position-vertical-relative:paragraph;z-index:-15728128;mso-wrap-distance-left:0;mso-wrap-distance-right:0" id="docshape1" filled="true" fillcolor="#000000" stroked="false">
                <v:fill type="solid"/>
                <w10:wrap type="topAndBottom"/>
              </v:rect>
            </w:pict>
          </mc:Fallback>
        </mc:AlternateContent>
      </w:r>
    </w:p>
    <w:p>
      <w:pPr>
        <w:pStyle w:val="BodyText"/>
        <w:spacing w:before="22"/>
        <w:rPr>
          <w:i/>
          <w:sz w:val="16"/>
        </w:rPr>
      </w:pPr>
    </w:p>
    <w:p>
      <w:pPr>
        <w:spacing w:before="0"/>
        <w:ind w:left="353" w:right="0" w:firstLine="0"/>
        <w:jc w:val="left"/>
        <w:rPr>
          <w:sz w:val="18"/>
        </w:rPr>
      </w:pPr>
      <w:r>
        <w:rPr>
          <w:color w:val="231F20"/>
          <w:spacing w:val="-2"/>
          <w:w w:val="110"/>
          <w:sz w:val="18"/>
        </w:rPr>
        <w:t>Abstract</w:t>
      </w:r>
    </w:p>
    <w:p>
      <w:pPr>
        <w:pStyle w:val="BodyText"/>
        <w:spacing w:before="28"/>
        <w:rPr>
          <w:sz w:val="18"/>
        </w:rPr>
      </w:pPr>
    </w:p>
    <w:p>
      <w:pPr>
        <w:spacing w:line="254" w:lineRule="auto" w:before="0"/>
        <w:ind w:left="353" w:right="618" w:firstLine="0"/>
        <w:jc w:val="both"/>
        <w:rPr>
          <w:sz w:val="18"/>
        </w:rPr>
      </w:pPr>
      <w:r>
        <w:rPr>
          <w:color w:val="231F20"/>
          <w:sz w:val="18"/>
        </w:rPr>
        <w:t>On the basis of the results obtained for joints of dissimilar metals such as copper-tantalum, iron-silver, it has been cleared out</w:t>
      </w:r>
      <w:r>
        <w:rPr>
          <w:color w:val="231F20"/>
          <w:spacing w:val="-1"/>
          <w:sz w:val="18"/>
        </w:rPr>
        <w:t> </w:t>
      </w:r>
      <w:r>
        <w:rPr>
          <w:color w:val="231F20"/>
          <w:sz w:val="18"/>
        </w:rPr>
        <w:t>the reason</w:t>
      </w:r>
      <w:r>
        <w:rPr>
          <w:color w:val="231F20"/>
          <w:spacing w:val="-1"/>
          <w:sz w:val="18"/>
        </w:rPr>
        <w:t> </w:t>
      </w:r>
      <w:r>
        <w:rPr>
          <w:color w:val="231F20"/>
          <w:sz w:val="18"/>
        </w:rPr>
        <w:t>of</w:t>
      </w:r>
      <w:r>
        <w:rPr>
          <w:color w:val="231F20"/>
          <w:spacing w:val="-2"/>
          <w:sz w:val="18"/>
        </w:rPr>
        <w:t> </w:t>
      </w:r>
      <w:r>
        <w:rPr>
          <w:color w:val="231F20"/>
          <w:sz w:val="18"/>
        </w:rPr>
        <w:t>immiscible suspensions</w:t>
      </w:r>
      <w:r>
        <w:rPr>
          <w:color w:val="231F20"/>
          <w:spacing w:val="-2"/>
          <w:sz w:val="18"/>
        </w:rPr>
        <w:t> </w:t>
      </w:r>
      <w:r>
        <w:rPr>
          <w:color w:val="231F20"/>
          <w:sz w:val="18"/>
        </w:rPr>
        <w:t>mixing</w:t>
      </w:r>
      <w:r>
        <w:rPr>
          <w:color w:val="231F20"/>
          <w:spacing w:val="-1"/>
          <w:sz w:val="18"/>
        </w:rPr>
        <w:t> </w:t>
      </w:r>
      <w:r>
        <w:rPr>
          <w:color w:val="231F20"/>
          <w:sz w:val="18"/>
        </w:rPr>
        <w:t>upon</w:t>
      </w:r>
      <w:r>
        <w:rPr>
          <w:color w:val="231F20"/>
          <w:spacing w:val="-1"/>
          <w:sz w:val="18"/>
        </w:rPr>
        <w:t> </w:t>
      </w:r>
      <w:r>
        <w:rPr>
          <w:color w:val="231F20"/>
          <w:sz w:val="18"/>
        </w:rPr>
        <w:t>explosion</w:t>
      </w:r>
      <w:r>
        <w:rPr>
          <w:color w:val="231F20"/>
          <w:spacing w:val="-3"/>
          <w:sz w:val="18"/>
        </w:rPr>
        <w:t> </w:t>
      </w:r>
      <w:r>
        <w:rPr>
          <w:color w:val="231F20"/>
          <w:sz w:val="18"/>
        </w:rPr>
        <w:t>welding.</w:t>
      </w:r>
      <w:r>
        <w:rPr>
          <w:color w:val="231F20"/>
          <w:spacing w:val="-1"/>
          <w:sz w:val="18"/>
        </w:rPr>
        <w:t> </w:t>
      </w:r>
      <w:r>
        <w:rPr>
          <w:color w:val="231F20"/>
          <w:sz w:val="18"/>
        </w:rPr>
        <w:t>It</w:t>
      </w:r>
      <w:r>
        <w:rPr>
          <w:color w:val="231F20"/>
          <w:spacing w:val="-2"/>
          <w:sz w:val="18"/>
        </w:rPr>
        <w:t> </w:t>
      </w:r>
      <w:r>
        <w:rPr>
          <w:color w:val="231F20"/>
          <w:sz w:val="18"/>
        </w:rPr>
        <w:t>has</w:t>
      </w:r>
      <w:r>
        <w:rPr>
          <w:color w:val="231F20"/>
          <w:spacing w:val="-3"/>
          <w:sz w:val="18"/>
        </w:rPr>
        <w:t> </w:t>
      </w:r>
      <w:r>
        <w:rPr>
          <w:color w:val="231F20"/>
          <w:sz w:val="18"/>
        </w:rPr>
        <w:t>been found</w:t>
      </w:r>
      <w:r>
        <w:rPr>
          <w:color w:val="231F20"/>
          <w:spacing w:val="-1"/>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interface (waveless or wavy) is not smooth and contains inhomogeneities, namely, cusps and local melting zones. The role of granulating fragmentation providing</w:t>
      </w:r>
      <w:r>
        <w:rPr>
          <w:color w:val="231F20"/>
          <w:spacing w:val="-2"/>
          <w:sz w:val="18"/>
        </w:rPr>
        <w:t> </w:t>
      </w:r>
      <w:r>
        <w:rPr>
          <w:color w:val="231F20"/>
          <w:sz w:val="18"/>
        </w:rPr>
        <w:t>partitioning</w:t>
      </w:r>
      <w:r>
        <w:rPr>
          <w:color w:val="231F20"/>
          <w:spacing w:val="-2"/>
          <w:sz w:val="18"/>
        </w:rPr>
        <w:t> </w:t>
      </w:r>
      <w:r>
        <w:rPr>
          <w:color w:val="231F20"/>
          <w:sz w:val="18"/>
        </w:rPr>
        <w:t>of</w:t>
      </w:r>
      <w:r>
        <w:rPr>
          <w:color w:val="231F20"/>
          <w:spacing w:val="-3"/>
          <w:sz w:val="18"/>
        </w:rPr>
        <w:t> </w:t>
      </w:r>
      <w:r>
        <w:rPr>
          <w:color w:val="231F20"/>
          <w:sz w:val="18"/>
        </w:rPr>
        <w:t>initial materials as a</w:t>
      </w:r>
      <w:r>
        <w:rPr>
          <w:color w:val="231F20"/>
          <w:spacing w:val="-1"/>
          <w:sz w:val="18"/>
        </w:rPr>
        <w:t> </w:t>
      </w:r>
      <w:r>
        <w:rPr>
          <w:color w:val="231F20"/>
          <w:sz w:val="18"/>
        </w:rPr>
        <w:t>main channel of</w:t>
      </w:r>
      <w:r>
        <w:rPr>
          <w:color w:val="231F20"/>
          <w:spacing w:val="-3"/>
          <w:sz w:val="18"/>
        </w:rPr>
        <w:t> </w:t>
      </w:r>
      <w:r>
        <w:rPr>
          <w:color w:val="231F20"/>
          <w:sz w:val="18"/>
        </w:rPr>
        <w:t>input energy</w:t>
      </w:r>
      <w:r>
        <w:rPr>
          <w:color w:val="231F20"/>
          <w:spacing w:val="-4"/>
          <w:sz w:val="18"/>
        </w:rPr>
        <w:t> </w:t>
      </w:r>
      <w:r>
        <w:rPr>
          <w:color w:val="231F20"/>
          <w:sz w:val="18"/>
        </w:rPr>
        <w:t>dissipation</w:t>
      </w:r>
      <w:r>
        <w:rPr>
          <w:color w:val="231F20"/>
          <w:spacing w:val="-2"/>
          <w:sz w:val="18"/>
        </w:rPr>
        <w:t> </w:t>
      </w:r>
      <w:r>
        <w:rPr>
          <w:color w:val="231F20"/>
          <w:sz w:val="18"/>
        </w:rPr>
        <w:t>has</w:t>
      </w:r>
      <w:r>
        <w:rPr>
          <w:color w:val="231F20"/>
          <w:spacing w:val="-1"/>
          <w:sz w:val="18"/>
        </w:rPr>
        <w:t> </w:t>
      </w:r>
      <w:r>
        <w:rPr>
          <w:color w:val="231F20"/>
          <w:sz w:val="18"/>
        </w:rPr>
        <w:t>been revealed. It has been shown that in joints of metals possessing normal solubility the local melting zones are true solutions, but if</w:t>
      </w:r>
      <w:r>
        <w:rPr>
          <w:color w:val="231F20"/>
          <w:spacing w:val="40"/>
          <w:sz w:val="18"/>
        </w:rPr>
        <w:t> </w:t>
      </w:r>
      <w:r>
        <w:rPr>
          <w:color w:val="231F20"/>
          <w:sz w:val="18"/>
        </w:rPr>
        <w:t>metals possess no mutual solubility the local melting zones are colloidal solutions. During the solidification emulsion is a danger to the joint continuity because of possible delamination, and suspension, by contrast, can contribute to the dispersion hardening of joint.</w:t>
      </w:r>
    </w:p>
    <w:p>
      <w:pPr>
        <w:pStyle w:val="BodyText"/>
        <w:spacing w:before="16"/>
        <w:rPr>
          <w:sz w:val="18"/>
        </w:rPr>
      </w:pPr>
    </w:p>
    <w:p>
      <w:pPr>
        <w:spacing w:line="202" w:lineRule="exact" w:before="0"/>
        <w:ind w:left="350" w:right="0" w:firstLine="0"/>
        <w:jc w:val="left"/>
        <w:rPr>
          <w:sz w:val="16"/>
        </w:rPr>
      </w:pPr>
      <w:r>
        <w:rPr/>
        <mc:AlternateContent>
          <mc:Choice Requires="wps">
            <w:drawing>
              <wp:anchor distT="0" distB="0" distL="0" distR="0" allowOverlap="1" layoutInCell="1" locked="0" behindDoc="1" simplePos="0" relativeHeight="487475200">
                <wp:simplePos x="0" y="0"/>
                <wp:positionH relativeFrom="page">
                  <wp:posOffset>516550</wp:posOffset>
                </wp:positionH>
                <wp:positionV relativeFrom="paragraph">
                  <wp:posOffset>4332</wp:posOffset>
                </wp:positionV>
                <wp:extent cx="5165725" cy="28702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165725" cy="287020"/>
                        </a:xfrm>
                        <a:prstGeom prst="rect">
                          <a:avLst/>
                        </a:prstGeom>
                      </wps:spPr>
                      <wps:txbx>
                        <w:txbxContent>
                          <w:p>
                            <w:pPr>
                              <w:pStyle w:val="BodyText"/>
                            </w:pPr>
                            <w:r>
                              <w:rPr>
                                <w:color w:val="231F20"/>
                              </w:rPr>
                              <w:t>©</w:t>
                            </w:r>
                            <w:r>
                              <w:rPr>
                                <w:color w:val="231F20"/>
                                <w:spacing w:val="-3"/>
                              </w:rPr>
                              <w:t> </w:t>
                            </w:r>
                            <w:r>
                              <w:rPr>
                                <w:color w:val="231F20"/>
                              </w:rPr>
                              <w:t>2012</w:t>
                            </w:r>
                            <w:r>
                              <w:rPr>
                                <w:color w:val="231F20"/>
                                <w:spacing w:val="-5"/>
                              </w:rPr>
                              <w:t> </w:t>
                            </w:r>
                            <w:r>
                              <w:rPr>
                                <w:color w:val="231F20"/>
                              </w:rPr>
                              <w:t>The</w:t>
                            </w:r>
                            <w:r>
                              <w:rPr>
                                <w:color w:val="231F20"/>
                                <w:spacing w:val="-2"/>
                              </w:rPr>
                              <w:t> </w:t>
                            </w:r>
                            <w:r>
                              <w:rPr>
                                <w:color w:val="231F20"/>
                              </w:rPr>
                              <w:t>Authors.</w:t>
                            </w:r>
                            <w:r>
                              <w:rPr>
                                <w:color w:val="231F20"/>
                                <w:spacing w:val="-2"/>
                              </w:rPr>
                              <w:t> </w:t>
                            </w:r>
                            <w:r>
                              <w:rPr>
                                <w:color w:val="231F20"/>
                              </w:rPr>
                              <w:t>Published</w:t>
                            </w:r>
                            <w:r>
                              <w:rPr>
                                <w:color w:val="231F20"/>
                                <w:spacing w:val="-2"/>
                              </w:rPr>
                              <w:t> </w:t>
                            </w:r>
                            <w:r>
                              <w:rPr>
                                <w:color w:val="231F20"/>
                              </w:rPr>
                              <w:t>by</w:t>
                            </w:r>
                            <w:r>
                              <w:rPr>
                                <w:color w:val="231F20"/>
                                <w:spacing w:val="-6"/>
                              </w:rPr>
                              <w:t> </w:t>
                            </w:r>
                            <w:r>
                              <w:rPr>
                                <w:color w:val="231F20"/>
                              </w:rPr>
                              <w:t>Elsevier</w:t>
                            </w:r>
                            <w:r>
                              <w:rPr>
                                <w:color w:val="231F20"/>
                                <w:spacing w:val="-2"/>
                              </w:rPr>
                              <w:t> </w:t>
                            </w:r>
                            <w:r>
                              <w:rPr>
                                <w:color w:val="231F20"/>
                              </w:rPr>
                              <w:t>B.V.</w:t>
                            </w:r>
                            <w:r>
                              <w:rPr>
                                <w:color w:val="231F20"/>
                                <w:spacing w:val="-2"/>
                              </w:rPr>
                              <w:t> </w:t>
                            </w:r>
                            <w:r>
                              <w:rPr>
                                <w:color w:val="231F20"/>
                              </w:rPr>
                              <w:t>Selection</w:t>
                            </w:r>
                            <w:r>
                              <w:rPr>
                                <w:color w:val="231F20"/>
                                <w:spacing w:val="-4"/>
                              </w:rPr>
                              <w:t> </w:t>
                            </w:r>
                            <w:r>
                              <w:rPr>
                                <w:color w:val="231F20"/>
                              </w:rPr>
                              <w:t>a</w:t>
                            </w:r>
                            <w:hyperlink r:id="rId10">
                              <w:r>
                                <w:rPr>
                                  <w:color w:val="231F20"/>
                                </w:rPr>
                                <w:t>nd/or</w:t>
                              </w:r>
                              <w:r>
                                <w:rPr>
                                  <w:color w:val="231F20"/>
                                  <w:spacing w:val="-2"/>
                                </w:rPr>
                                <w:t> </w:t>
                              </w:r>
                              <w:r>
                                <w:rPr>
                                  <w:color w:val="231F20"/>
                                </w:rPr>
                                <w:t>peer</w:t>
                              </w:r>
                              <w:r>
                                <w:rPr>
                                  <w:color w:val="231F20"/>
                                  <w:spacing w:val="-2"/>
                                </w:rPr>
                                <w:t> </w:t>
                              </w:r>
                              <w:r>
                                <w:rPr>
                                  <w:color w:val="231F20"/>
                                </w:rPr>
                                <w:t>review</w:t>
                              </w:r>
                            </w:hyperlink>
                            <w:r>
                              <w:rPr>
                                <w:color w:val="231F20"/>
                                <w:spacing w:val="-8"/>
                              </w:rPr>
                              <w:t> </w:t>
                            </w:r>
                            <w:r>
                              <w:rPr>
                                <w:color w:val="231F20"/>
                              </w:rPr>
                              <w:t>under</w:t>
                            </w:r>
                            <w:r>
                              <w:rPr>
                                <w:color w:val="231F20"/>
                                <w:spacing w:val="-2"/>
                              </w:rPr>
                              <w:t> </w:t>
                            </w:r>
                            <w:r>
                              <w:rPr>
                                <w:color w:val="231F20"/>
                              </w:rPr>
                              <w:t>responsibility</w:t>
                            </w:r>
                            <w:r>
                              <w:rPr>
                                <w:color w:val="231F20"/>
                                <w:spacing w:val="-6"/>
                              </w:rPr>
                              <w:t> </w:t>
                            </w:r>
                            <w:r>
                              <w:rPr>
                                <w:color w:val="231F20"/>
                              </w:rPr>
                              <w:t>of American Applied Science Research 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673302pt;margin-top:.341103pt;width:406.75pt;height:22.6pt;mso-position-horizontal-relative:page;mso-position-vertical-relative:paragraph;z-index:-15841280" type="#_x0000_t202" id="docshape2" filled="false" stroked="false">
                <v:textbox inset="0,0,0,0">
                  <w:txbxContent>
                    <w:p>
                      <w:pPr>
                        <w:pStyle w:val="BodyText"/>
                      </w:pPr>
                      <w:r>
                        <w:rPr>
                          <w:color w:val="231F20"/>
                        </w:rPr>
                        <w:t>©</w:t>
                      </w:r>
                      <w:r>
                        <w:rPr>
                          <w:color w:val="231F20"/>
                          <w:spacing w:val="-3"/>
                        </w:rPr>
                        <w:t> </w:t>
                      </w:r>
                      <w:r>
                        <w:rPr>
                          <w:color w:val="231F20"/>
                        </w:rPr>
                        <w:t>2012</w:t>
                      </w:r>
                      <w:r>
                        <w:rPr>
                          <w:color w:val="231F20"/>
                          <w:spacing w:val="-5"/>
                        </w:rPr>
                        <w:t> </w:t>
                      </w:r>
                      <w:r>
                        <w:rPr>
                          <w:color w:val="231F20"/>
                        </w:rPr>
                        <w:t>The</w:t>
                      </w:r>
                      <w:r>
                        <w:rPr>
                          <w:color w:val="231F20"/>
                          <w:spacing w:val="-2"/>
                        </w:rPr>
                        <w:t> </w:t>
                      </w:r>
                      <w:r>
                        <w:rPr>
                          <w:color w:val="231F20"/>
                        </w:rPr>
                        <w:t>Authors.</w:t>
                      </w:r>
                      <w:r>
                        <w:rPr>
                          <w:color w:val="231F20"/>
                          <w:spacing w:val="-2"/>
                        </w:rPr>
                        <w:t> </w:t>
                      </w:r>
                      <w:r>
                        <w:rPr>
                          <w:color w:val="231F20"/>
                        </w:rPr>
                        <w:t>Published</w:t>
                      </w:r>
                      <w:r>
                        <w:rPr>
                          <w:color w:val="231F20"/>
                          <w:spacing w:val="-2"/>
                        </w:rPr>
                        <w:t> </w:t>
                      </w:r>
                      <w:r>
                        <w:rPr>
                          <w:color w:val="231F20"/>
                        </w:rPr>
                        <w:t>by</w:t>
                      </w:r>
                      <w:r>
                        <w:rPr>
                          <w:color w:val="231F20"/>
                          <w:spacing w:val="-6"/>
                        </w:rPr>
                        <w:t> </w:t>
                      </w:r>
                      <w:r>
                        <w:rPr>
                          <w:color w:val="231F20"/>
                        </w:rPr>
                        <w:t>Elsevier</w:t>
                      </w:r>
                      <w:r>
                        <w:rPr>
                          <w:color w:val="231F20"/>
                          <w:spacing w:val="-2"/>
                        </w:rPr>
                        <w:t> </w:t>
                      </w:r>
                      <w:r>
                        <w:rPr>
                          <w:color w:val="231F20"/>
                        </w:rPr>
                        <w:t>B.V.</w:t>
                      </w:r>
                      <w:r>
                        <w:rPr>
                          <w:color w:val="231F20"/>
                          <w:spacing w:val="-2"/>
                        </w:rPr>
                        <w:t> </w:t>
                      </w:r>
                      <w:r>
                        <w:rPr>
                          <w:color w:val="231F20"/>
                        </w:rPr>
                        <w:t>Selection</w:t>
                      </w:r>
                      <w:r>
                        <w:rPr>
                          <w:color w:val="231F20"/>
                          <w:spacing w:val="-4"/>
                        </w:rPr>
                        <w:t> </w:t>
                      </w:r>
                      <w:r>
                        <w:rPr>
                          <w:color w:val="231F20"/>
                        </w:rPr>
                        <w:t>a</w:t>
                      </w:r>
                      <w:hyperlink r:id="rId10">
                        <w:r>
                          <w:rPr>
                            <w:color w:val="231F20"/>
                          </w:rPr>
                          <w:t>nd/or</w:t>
                        </w:r>
                        <w:r>
                          <w:rPr>
                            <w:color w:val="231F20"/>
                            <w:spacing w:val="-2"/>
                          </w:rPr>
                          <w:t> </w:t>
                        </w:r>
                        <w:r>
                          <w:rPr>
                            <w:color w:val="231F20"/>
                          </w:rPr>
                          <w:t>peer</w:t>
                        </w:r>
                        <w:r>
                          <w:rPr>
                            <w:color w:val="231F20"/>
                            <w:spacing w:val="-2"/>
                          </w:rPr>
                          <w:t> </w:t>
                        </w:r>
                        <w:r>
                          <w:rPr>
                            <w:color w:val="231F20"/>
                          </w:rPr>
                          <w:t>review</w:t>
                        </w:r>
                      </w:hyperlink>
                      <w:r>
                        <w:rPr>
                          <w:color w:val="231F20"/>
                          <w:spacing w:val="-8"/>
                        </w:rPr>
                        <w:t> </w:t>
                      </w:r>
                      <w:r>
                        <w:rPr>
                          <w:color w:val="231F20"/>
                        </w:rPr>
                        <w:t>under</w:t>
                      </w:r>
                      <w:r>
                        <w:rPr>
                          <w:color w:val="231F20"/>
                          <w:spacing w:val="-2"/>
                        </w:rPr>
                        <w:t> </w:t>
                      </w:r>
                      <w:r>
                        <w:rPr>
                          <w:color w:val="231F20"/>
                        </w:rPr>
                        <w:t>responsibility</w:t>
                      </w:r>
                      <w:r>
                        <w:rPr>
                          <w:color w:val="231F20"/>
                          <w:spacing w:val="-6"/>
                        </w:rPr>
                        <w:t> </w:t>
                      </w:r>
                      <w:r>
                        <w:rPr>
                          <w:color w:val="231F20"/>
                        </w:rPr>
                        <w:t>of American Applied Science Research Institute</w:t>
                      </w:r>
                    </w:p>
                  </w:txbxContent>
                </v:textbox>
                <w10:wrap type="none"/>
              </v:shape>
            </w:pict>
          </mc:Fallback>
        </mc:AlternateContent>
      </w:r>
      <w:r>
        <w:rPr/>
        <mc:AlternateContent>
          <mc:Choice Requires="wps">
            <w:drawing>
              <wp:anchor distT="0" distB="0" distL="0" distR="0" allowOverlap="1" layoutInCell="1" locked="0" behindDoc="1" simplePos="0" relativeHeight="487476736">
                <wp:simplePos x="0" y="0"/>
                <wp:positionH relativeFrom="page">
                  <wp:posOffset>514794</wp:posOffset>
                </wp:positionH>
                <wp:positionV relativeFrom="paragraph">
                  <wp:posOffset>-73179</wp:posOffset>
                </wp:positionV>
                <wp:extent cx="5947410" cy="39370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47410" cy="393700"/>
                        </a:xfrm>
                        <a:custGeom>
                          <a:avLst/>
                          <a:gdLst/>
                          <a:ahLst/>
                          <a:cxnLst/>
                          <a:rect l="l" t="t" r="r" b="b"/>
                          <a:pathLst>
                            <a:path w="5947410" h="393700">
                              <a:moveTo>
                                <a:pt x="5947194" y="0"/>
                              </a:moveTo>
                              <a:lnTo>
                                <a:pt x="0" y="0"/>
                              </a:lnTo>
                              <a:lnTo>
                                <a:pt x="0" y="393433"/>
                              </a:lnTo>
                              <a:lnTo>
                                <a:pt x="5947194" y="393433"/>
                              </a:lnTo>
                              <a:lnTo>
                                <a:pt x="594719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0.535pt;margin-top:-5.762129pt;width:468.283pt;height:30.979pt;mso-position-horizontal-relative:page;mso-position-vertical-relative:paragraph;z-index:-15839744" id="docshape3" filled="true" fillcolor="#ffffff" stroked="false">
                <v:fill type="solid"/>
                <w10:wrap type="none"/>
              </v:rect>
            </w:pict>
          </mc:Fallback>
        </mc:AlternateContent>
      </w:r>
      <w:r>
        <w:rPr>
          <w:color w:val="231F20"/>
          <w:sz w:val="18"/>
        </w:rPr>
        <w:t>©</w:t>
      </w:r>
      <w:r>
        <w:rPr>
          <w:color w:val="231F20"/>
          <w:spacing w:val="-1"/>
          <w:sz w:val="18"/>
        </w:rPr>
        <w:t> </w:t>
      </w:r>
      <w:r>
        <w:rPr>
          <w:color w:val="231F20"/>
          <w:sz w:val="18"/>
        </w:rPr>
        <w:t>2012</w:t>
      </w:r>
      <w:r>
        <w:rPr>
          <w:color w:val="231F20"/>
          <w:spacing w:val="-1"/>
          <w:sz w:val="18"/>
        </w:rPr>
        <w:t> </w:t>
      </w:r>
      <w:r>
        <w:rPr>
          <w:color w:val="231F20"/>
          <w:sz w:val="18"/>
        </w:rPr>
        <w:t>The Authors.</w:t>
      </w:r>
      <w:r>
        <w:rPr>
          <w:color w:val="231F20"/>
          <w:spacing w:val="-1"/>
          <w:sz w:val="18"/>
        </w:rPr>
        <w:t> </w:t>
      </w:r>
      <w:r>
        <w:rPr>
          <w:color w:val="231F20"/>
          <w:sz w:val="18"/>
        </w:rPr>
        <w:t>Published by</w:t>
      </w:r>
      <w:r>
        <w:rPr>
          <w:color w:val="231F20"/>
          <w:spacing w:val="-1"/>
          <w:sz w:val="18"/>
        </w:rPr>
        <w:t> </w:t>
      </w:r>
      <w:r>
        <w:rPr>
          <w:color w:val="231F20"/>
          <w:sz w:val="18"/>
        </w:rPr>
        <w:t>Elsevier</w:t>
      </w:r>
      <w:r>
        <w:rPr>
          <w:color w:val="231F20"/>
          <w:spacing w:val="-1"/>
          <w:sz w:val="18"/>
        </w:rPr>
        <w:t> </w:t>
      </w:r>
      <w:r>
        <w:rPr>
          <w:color w:val="231F20"/>
          <w:sz w:val="18"/>
        </w:rPr>
        <w:t>B.V.</w:t>
      </w:r>
      <w:r>
        <w:rPr>
          <w:color w:val="231F20"/>
          <w:spacing w:val="10"/>
          <w:sz w:val="18"/>
        </w:rPr>
        <w:t> </w:t>
      </w:r>
      <w:r>
        <w:rPr>
          <w:sz w:val="16"/>
        </w:rPr>
        <w:t>Open</w:t>
      </w:r>
      <w:r>
        <w:rPr>
          <w:spacing w:val="4"/>
          <w:sz w:val="16"/>
        </w:rPr>
        <w:t> </w:t>
      </w:r>
      <w:r>
        <w:rPr>
          <w:sz w:val="16"/>
        </w:rPr>
        <w:t>access</w:t>
      </w:r>
      <w:r>
        <w:rPr>
          <w:spacing w:val="4"/>
          <w:sz w:val="16"/>
        </w:rPr>
        <w:t> </w:t>
      </w:r>
      <w:r>
        <w:rPr>
          <w:sz w:val="16"/>
        </w:rPr>
        <w:t>under</w:t>
      </w:r>
      <w:r>
        <w:rPr>
          <w:spacing w:val="4"/>
          <w:sz w:val="16"/>
        </w:rPr>
        <w:t> </w:t>
      </w:r>
      <w:hyperlink r:id="rId10">
        <w:r>
          <w:rPr>
            <w:color w:val="0000FF"/>
            <w:sz w:val="16"/>
          </w:rPr>
          <w:t>CC</w:t>
        </w:r>
        <w:r>
          <w:rPr>
            <w:color w:val="0000FF"/>
            <w:spacing w:val="4"/>
            <w:sz w:val="16"/>
          </w:rPr>
          <w:t> </w:t>
        </w:r>
        <w:r>
          <w:rPr>
            <w:color w:val="0000FF"/>
            <w:sz w:val="16"/>
          </w:rPr>
          <w:t>BY-NC-ND</w:t>
        </w:r>
        <w:r>
          <w:rPr>
            <w:color w:val="0000FF"/>
            <w:spacing w:val="5"/>
            <w:sz w:val="16"/>
          </w:rPr>
          <w:t> </w:t>
        </w:r>
        <w:r>
          <w:rPr>
            <w:color w:val="0000FF"/>
            <w:spacing w:val="-2"/>
            <w:sz w:val="16"/>
          </w:rPr>
          <w:t>license.</w:t>
        </w:r>
      </w:hyperlink>
    </w:p>
    <w:p>
      <w:pPr>
        <w:spacing w:line="202" w:lineRule="exact" w:before="0"/>
        <w:ind w:left="350" w:right="0" w:firstLine="0"/>
        <w:jc w:val="left"/>
        <w:rPr>
          <w:sz w:val="18"/>
        </w:rPr>
      </w:pPr>
      <w:r>
        <w:rPr>
          <w:color w:val="231F20"/>
          <w:sz w:val="18"/>
        </w:rPr>
        <w:t>Selection</w:t>
      </w:r>
      <w:r>
        <w:rPr>
          <w:color w:val="231F20"/>
          <w:spacing w:val="-8"/>
          <w:sz w:val="18"/>
        </w:rPr>
        <w:t> </w:t>
      </w:r>
      <w:r>
        <w:rPr>
          <w:color w:val="231F20"/>
          <w:sz w:val="18"/>
        </w:rPr>
        <w:t>and/or</w:t>
      </w:r>
      <w:r>
        <w:rPr>
          <w:color w:val="231F20"/>
          <w:spacing w:val="-8"/>
          <w:sz w:val="18"/>
        </w:rPr>
        <w:t> </w:t>
      </w:r>
      <w:r>
        <w:rPr>
          <w:color w:val="231F20"/>
          <w:sz w:val="18"/>
        </w:rPr>
        <w:t>peer</w:t>
      </w:r>
      <w:r>
        <w:rPr>
          <w:color w:val="231F20"/>
          <w:spacing w:val="-8"/>
          <w:sz w:val="18"/>
        </w:rPr>
        <w:t> </w:t>
      </w:r>
      <w:r>
        <w:rPr>
          <w:color w:val="231F20"/>
          <w:sz w:val="18"/>
        </w:rPr>
        <w:t>review</w:t>
      </w:r>
      <w:r>
        <w:rPr>
          <w:color w:val="231F20"/>
          <w:spacing w:val="-8"/>
          <w:sz w:val="18"/>
        </w:rPr>
        <w:t> </w:t>
      </w:r>
      <w:r>
        <w:rPr>
          <w:color w:val="231F20"/>
          <w:sz w:val="18"/>
        </w:rPr>
        <w:t>under</w:t>
      </w:r>
      <w:r>
        <w:rPr>
          <w:color w:val="231F20"/>
          <w:spacing w:val="-8"/>
          <w:sz w:val="18"/>
        </w:rPr>
        <w:t> </w:t>
      </w:r>
      <w:r>
        <w:rPr>
          <w:color w:val="231F20"/>
          <w:sz w:val="18"/>
        </w:rPr>
        <w:t>responsibility</w:t>
      </w:r>
      <w:r>
        <w:rPr>
          <w:color w:val="231F20"/>
          <w:spacing w:val="-8"/>
          <w:sz w:val="18"/>
        </w:rPr>
        <w:t> </w:t>
      </w:r>
      <w:r>
        <w:rPr>
          <w:color w:val="231F20"/>
          <w:sz w:val="18"/>
        </w:rPr>
        <w:t>of</w:t>
      </w:r>
      <w:r>
        <w:rPr>
          <w:color w:val="231F20"/>
          <w:spacing w:val="-8"/>
          <w:sz w:val="18"/>
        </w:rPr>
        <w:t> </w:t>
      </w:r>
      <w:r>
        <w:rPr>
          <w:color w:val="231F20"/>
          <w:sz w:val="18"/>
        </w:rPr>
        <w:t>American</w:t>
      </w:r>
      <w:r>
        <w:rPr>
          <w:color w:val="231F20"/>
          <w:spacing w:val="-8"/>
          <w:sz w:val="18"/>
        </w:rPr>
        <w:t> </w:t>
      </w:r>
      <w:r>
        <w:rPr>
          <w:color w:val="231F20"/>
          <w:sz w:val="18"/>
        </w:rPr>
        <w:t>Applied</w:t>
      </w:r>
      <w:r>
        <w:rPr>
          <w:color w:val="231F20"/>
          <w:spacing w:val="-8"/>
          <w:sz w:val="18"/>
        </w:rPr>
        <w:t> </w:t>
      </w:r>
      <w:r>
        <w:rPr>
          <w:color w:val="231F20"/>
          <w:sz w:val="18"/>
        </w:rPr>
        <w:t>Science</w:t>
      </w:r>
      <w:r>
        <w:rPr>
          <w:color w:val="231F20"/>
          <w:spacing w:val="-8"/>
          <w:sz w:val="18"/>
        </w:rPr>
        <w:t> </w:t>
      </w:r>
      <w:r>
        <w:rPr>
          <w:color w:val="231F20"/>
          <w:sz w:val="18"/>
        </w:rPr>
        <w:t>Research</w:t>
      </w:r>
      <w:r>
        <w:rPr>
          <w:color w:val="231F20"/>
          <w:spacing w:val="-7"/>
          <w:sz w:val="18"/>
        </w:rPr>
        <w:t> </w:t>
      </w:r>
      <w:r>
        <w:rPr>
          <w:color w:val="231F20"/>
          <w:spacing w:val="-2"/>
          <w:sz w:val="18"/>
        </w:rPr>
        <w:t>Institute</w:t>
      </w:r>
    </w:p>
    <w:p>
      <w:pPr>
        <w:pStyle w:val="BodyText"/>
        <w:spacing w:before="121"/>
        <w:rPr>
          <w:sz w:val="16"/>
        </w:rPr>
      </w:pPr>
    </w:p>
    <w:p>
      <w:pPr>
        <w:spacing w:before="1"/>
        <w:ind w:left="353" w:right="0" w:firstLine="0"/>
        <w:jc w:val="left"/>
        <w:rPr>
          <w:sz w:val="16"/>
        </w:rPr>
      </w:pPr>
      <w:r>
        <w:rPr>
          <w:i/>
          <w:color w:val="231F20"/>
          <w:sz w:val="16"/>
        </w:rPr>
        <w:t>Keywords:</w:t>
      </w:r>
      <w:r>
        <w:rPr>
          <w:i/>
          <w:color w:val="231F20"/>
          <w:spacing w:val="-9"/>
          <w:sz w:val="16"/>
        </w:rPr>
        <w:t> </w:t>
      </w:r>
      <w:r>
        <w:rPr>
          <w:color w:val="231F20"/>
          <w:sz w:val="16"/>
        </w:rPr>
        <w:t>explosion</w:t>
      </w:r>
      <w:r>
        <w:rPr>
          <w:color w:val="231F20"/>
          <w:spacing w:val="-8"/>
          <w:sz w:val="16"/>
        </w:rPr>
        <w:t> </w:t>
      </w:r>
      <w:r>
        <w:rPr>
          <w:color w:val="231F20"/>
          <w:sz w:val="16"/>
        </w:rPr>
        <w:t>welding;</w:t>
      </w:r>
      <w:r>
        <w:rPr>
          <w:color w:val="231F20"/>
          <w:spacing w:val="-8"/>
          <w:sz w:val="16"/>
        </w:rPr>
        <w:t> </w:t>
      </w:r>
      <w:r>
        <w:rPr>
          <w:color w:val="231F20"/>
          <w:sz w:val="16"/>
        </w:rPr>
        <w:t>mutual</w:t>
      </w:r>
      <w:r>
        <w:rPr>
          <w:color w:val="231F20"/>
          <w:spacing w:val="-8"/>
          <w:sz w:val="16"/>
        </w:rPr>
        <w:t> </w:t>
      </w:r>
      <w:r>
        <w:rPr>
          <w:color w:val="231F20"/>
          <w:sz w:val="16"/>
        </w:rPr>
        <w:t>solubility;</w:t>
      </w:r>
      <w:r>
        <w:rPr>
          <w:color w:val="231F20"/>
          <w:spacing w:val="-5"/>
          <w:sz w:val="16"/>
        </w:rPr>
        <w:t> </w:t>
      </w:r>
      <w:r>
        <w:rPr>
          <w:color w:val="231F20"/>
          <w:sz w:val="16"/>
        </w:rPr>
        <w:t>intermixing;</w:t>
      </w:r>
      <w:r>
        <w:rPr>
          <w:color w:val="231F20"/>
          <w:spacing w:val="-7"/>
          <w:sz w:val="16"/>
        </w:rPr>
        <w:t> </w:t>
      </w:r>
      <w:r>
        <w:rPr>
          <w:color w:val="231F20"/>
          <w:sz w:val="16"/>
        </w:rPr>
        <w:t>melting;</w:t>
      </w:r>
      <w:r>
        <w:rPr>
          <w:color w:val="231F20"/>
          <w:spacing w:val="-5"/>
          <w:sz w:val="16"/>
        </w:rPr>
        <w:t> </w:t>
      </w:r>
      <w:r>
        <w:rPr>
          <w:color w:val="231F20"/>
          <w:sz w:val="16"/>
        </w:rPr>
        <w:t>fragmentation;</w:t>
      </w:r>
      <w:r>
        <w:rPr>
          <w:color w:val="231F20"/>
          <w:spacing w:val="-8"/>
          <w:sz w:val="16"/>
        </w:rPr>
        <w:t> </w:t>
      </w:r>
      <w:r>
        <w:rPr>
          <w:color w:val="231F20"/>
          <w:sz w:val="16"/>
        </w:rPr>
        <w:t>colloidal</w:t>
      </w:r>
      <w:r>
        <w:rPr>
          <w:color w:val="231F20"/>
          <w:spacing w:val="-8"/>
          <w:sz w:val="16"/>
        </w:rPr>
        <w:t> </w:t>
      </w:r>
      <w:r>
        <w:rPr>
          <w:color w:val="231F20"/>
          <w:spacing w:val="-2"/>
          <w:sz w:val="16"/>
        </w:rPr>
        <w:t>solution</w:t>
      </w:r>
    </w:p>
    <w:p>
      <w:pPr>
        <w:pStyle w:val="BodyText"/>
        <w:spacing w:before="6"/>
        <w:rPr>
          <w:sz w:val="15"/>
        </w:rPr>
      </w:pPr>
      <w:r>
        <w:rPr/>
        <mc:AlternateContent>
          <mc:Choice Requires="wps">
            <w:drawing>
              <wp:anchor distT="0" distB="0" distL="0" distR="0" allowOverlap="1" layoutInCell="1" locked="0" behindDoc="1" simplePos="0" relativeHeight="487588864">
                <wp:simplePos x="0" y="0"/>
                <wp:positionH relativeFrom="page">
                  <wp:posOffset>498259</wp:posOffset>
                </wp:positionH>
                <wp:positionV relativeFrom="paragraph">
                  <wp:posOffset>128845</wp:posOffset>
                </wp:positionV>
                <wp:extent cx="5652770"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652770" cy="6350"/>
                        </a:xfrm>
                        <a:custGeom>
                          <a:avLst/>
                          <a:gdLst/>
                          <a:ahLst/>
                          <a:cxnLst/>
                          <a:rect l="l" t="t" r="r" b="b"/>
                          <a:pathLst>
                            <a:path w="5652770" h="6350">
                              <a:moveTo>
                                <a:pt x="5652516" y="0"/>
                              </a:moveTo>
                              <a:lnTo>
                                <a:pt x="0" y="0"/>
                              </a:lnTo>
                              <a:lnTo>
                                <a:pt x="0" y="6095"/>
                              </a:lnTo>
                              <a:lnTo>
                                <a:pt x="5652516" y="6095"/>
                              </a:lnTo>
                              <a:lnTo>
                                <a:pt x="5652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233002pt;margin-top:10.145336pt;width:445.08pt;height:.48pt;mso-position-horizontal-relative:page;mso-position-vertical-relative:paragraph;z-index:-15727616;mso-wrap-distance-left:0;mso-wrap-distance-right:0" id="docshape4" filled="true" fillcolor="#000000" stroked="false">
                <v:fill type="solid"/>
                <w10:wrap type="topAndBottom"/>
              </v:rect>
            </w:pict>
          </mc:Fallback>
        </mc:AlternateContent>
      </w:r>
    </w:p>
    <w:p>
      <w:pPr>
        <w:pStyle w:val="BodyText"/>
      </w:pPr>
    </w:p>
    <w:p>
      <w:pPr>
        <w:pStyle w:val="BodyText"/>
      </w:pPr>
    </w:p>
    <w:p>
      <w:pPr>
        <w:pStyle w:val="BodyText"/>
      </w:pPr>
    </w:p>
    <w:p>
      <w:pPr>
        <w:pStyle w:val="BodyText"/>
      </w:pPr>
    </w:p>
    <w:p>
      <w:pPr>
        <w:pStyle w:val="BodyText"/>
        <w:spacing w:before="6"/>
      </w:pPr>
      <w:r>
        <w:rPr/>
        <mc:AlternateContent>
          <mc:Choice Requires="wps">
            <w:drawing>
              <wp:anchor distT="0" distB="0" distL="0" distR="0" allowOverlap="1" layoutInCell="1" locked="0" behindDoc="1" simplePos="0" relativeHeight="487589376">
                <wp:simplePos x="0" y="0"/>
                <wp:positionH relativeFrom="page">
                  <wp:posOffset>522653</wp:posOffset>
                </wp:positionH>
                <wp:positionV relativeFrom="paragraph">
                  <wp:posOffset>165644</wp:posOffset>
                </wp:positionV>
                <wp:extent cx="54165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41655" cy="1270"/>
                        </a:xfrm>
                        <a:custGeom>
                          <a:avLst/>
                          <a:gdLst/>
                          <a:ahLst/>
                          <a:cxnLst/>
                          <a:rect l="l" t="t" r="r" b="b"/>
                          <a:pathLst>
                            <a:path w="541655" h="0">
                              <a:moveTo>
                                <a:pt x="0" y="0"/>
                              </a:moveTo>
                              <a:lnTo>
                                <a:pt x="541029" y="0"/>
                              </a:lnTo>
                            </a:path>
                          </a:pathLst>
                        </a:custGeom>
                        <a:ln w="7169">
                          <a:solidFill>
                            <a:srgbClr val="1E1D20"/>
                          </a:solidFill>
                          <a:prstDash val="solid"/>
                        </a:ln>
                      </wps:spPr>
                      <wps:bodyPr wrap="square" lIns="0" tIns="0" rIns="0" bIns="0" rtlCol="0">
                        <a:prstTxWarp prst="textNoShape">
                          <a:avLst/>
                        </a:prstTxWarp>
                        <a:noAutofit/>
                      </wps:bodyPr>
                    </wps:wsp>
                  </a:graphicData>
                </a:graphic>
              </wp:anchor>
            </w:drawing>
          </mc:Choice>
          <mc:Fallback>
            <w:pict>
              <v:shape style="position:absolute;margin-left:41.153801pt;margin-top:13.042906pt;width:42.65pt;height:.1pt;mso-position-horizontal-relative:page;mso-position-vertical-relative:paragraph;z-index:-15727104;mso-wrap-distance-left:0;mso-wrap-distance-right:0" id="docshape5" coordorigin="823,261" coordsize="853,0" path="m823,261l1675,261e" filled="false" stroked="true" strokeweight=".564533pt" strokecolor="#1e1d20">
                <v:path arrowok="t"/>
                <v:stroke dashstyle="solid"/>
                <w10:wrap type="topAndBottom"/>
              </v:shape>
            </w:pict>
          </mc:Fallback>
        </mc:AlternateContent>
      </w:r>
    </w:p>
    <w:p>
      <w:pPr>
        <w:pStyle w:val="BodyText"/>
        <w:rPr>
          <w:sz w:val="16"/>
        </w:rPr>
      </w:pPr>
    </w:p>
    <w:p>
      <w:pPr>
        <w:pStyle w:val="BodyText"/>
        <w:spacing w:before="122"/>
        <w:rPr>
          <w:sz w:val="16"/>
        </w:rPr>
      </w:pPr>
    </w:p>
    <w:p>
      <w:pPr>
        <w:spacing w:before="0"/>
        <w:ind w:left="593" w:right="0" w:firstLine="0"/>
        <w:jc w:val="left"/>
        <w:rPr>
          <w:sz w:val="16"/>
        </w:rPr>
      </w:pPr>
      <w:r>
        <w:rPr>
          <w:color w:val="231F20"/>
          <w:sz w:val="16"/>
        </w:rPr>
        <w:t>*</w:t>
      </w:r>
      <w:r>
        <w:rPr>
          <w:color w:val="231F20"/>
          <w:spacing w:val="-10"/>
          <w:sz w:val="16"/>
        </w:rPr>
        <w:t> </w:t>
      </w:r>
      <w:r>
        <w:rPr>
          <w:color w:val="231F20"/>
          <w:sz w:val="16"/>
        </w:rPr>
        <w:t>Corresponding</w:t>
      </w:r>
      <w:r>
        <w:rPr>
          <w:color w:val="231F20"/>
          <w:spacing w:val="-9"/>
          <w:sz w:val="16"/>
        </w:rPr>
        <w:t> </w:t>
      </w:r>
      <w:r>
        <w:rPr>
          <w:color w:val="231F20"/>
          <w:sz w:val="16"/>
        </w:rPr>
        <w:t>author.</w:t>
      </w:r>
      <w:r>
        <w:rPr>
          <w:color w:val="231F20"/>
          <w:spacing w:val="-7"/>
          <w:sz w:val="16"/>
        </w:rPr>
        <w:t> </w:t>
      </w:r>
      <w:r>
        <w:rPr>
          <w:color w:val="231F20"/>
          <w:sz w:val="16"/>
        </w:rPr>
        <w:t>Tel.:</w:t>
      </w:r>
      <w:r>
        <w:rPr>
          <w:color w:val="231F20"/>
          <w:spacing w:val="-9"/>
          <w:sz w:val="16"/>
        </w:rPr>
        <w:t> </w:t>
      </w:r>
      <w:r>
        <w:rPr>
          <w:color w:val="231F20"/>
          <w:sz w:val="16"/>
        </w:rPr>
        <w:t>+7-343-378-3572;</w:t>
      </w:r>
      <w:r>
        <w:rPr>
          <w:color w:val="231F20"/>
          <w:spacing w:val="-7"/>
          <w:sz w:val="16"/>
        </w:rPr>
        <w:t> </w:t>
      </w:r>
      <w:r>
        <w:rPr>
          <w:color w:val="231F20"/>
          <w:sz w:val="16"/>
        </w:rPr>
        <w:t>fax:</w:t>
      </w:r>
      <w:r>
        <w:rPr>
          <w:color w:val="231F20"/>
          <w:spacing w:val="-9"/>
          <w:sz w:val="16"/>
        </w:rPr>
        <w:t> </w:t>
      </w:r>
      <w:r>
        <w:rPr>
          <w:color w:val="231F20"/>
          <w:sz w:val="16"/>
        </w:rPr>
        <w:t>+7-343-374-</w:t>
      </w:r>
      <w:r>
        <w:rPr>
          <w:color w:val="231F20"/>
          <w:spacing w:val="-4"/>
          <w:sz w:val="16"/>
        </w:rPr>
        <w:t>5244.</w:t>
      </w:r>
    </w:p>
    <w:p>
      <w:pPr>
        <w:spacing w:before="16"/>
        <w:ind w:left="593" w:right="0" w:firstLine="0"/>
        <w:jc w:val="left"/>
        <w:rPr>
          <w:sz w:val="16"/>
        </w:rPr>
      </w:pPr>
      <w:r>
        <w:rPr>
          <w:i/>
          <w:color w:val="231F20"/>
          <w:sz w:val="16"/>
        </w:rPr>
        <w:t>E-mail</w:t>
      </w:r>
      <w:r>
        <w:rPr>
          <w:i/>
          <w:color w:val="231F20"/>
          <w:spacing w:val="-6"/>
          <w:sz w:val="16"/>
        </w:rPr>
        <w:t> </w:t>
      </w:r>
      <w:r>
        <w:rPr>
          <w:i/>
          <w:color w:val="231F20"/>
          <w:sz w:val="16"/>
        </w:rPr>
        <w:t>address:</w:t>
      </w:r>
      <w:r>
        <w:rPr>
          <w:i/>
          <w:color w:val="231F20"/>
          <w:spacing w:val="-5"/>
          <w:sz w:val="16"/>
        </w:rPr>
        <w:t> </w:t>
      </w:r>
      <w:hyperlink r:id="rId11">
        <w:r>
          <w:rPr>
            <w:color w:val="231F20"/>
            <w:spacing w:val="-2"/>
            <w:sz w:val="16"/>
          </w:rPr>
          <w:t>bella@imp.uran.ru.</w:t>
        </w:r>
      </w:hyperlink>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4"/>
        <w:rPr>
          <w:sz w:val="16"/>
        </w:rPr>
      </w:pPr>
    </w:p>
    <w:p>
      <w:pPr>
        <w:spacing w:line="259" w:lineRule="auto" w:before="0"/>
        <w:ind w:left="111" w:right="2659" w:firstLine="0"/>
        <w:jc w:val="left"/>
        <w:rPr>
          <w:sz w:val="16"/>
        </w:rPr>
      </w:pPr>
      <w:r>
        <w:rPr>
          <w:color w:val="231F20"/>
          <w:sz w:val="16"/>
        </w:rPr>
        <w:t>2212-6716</w:t>
      </w:r>
      <w:r>
        <w:rPr>
          <w:color w:val="231F20"/>
          <w:spacing w:val="-6"/>
          <w:sz w:val="16"/>
        </w:rPr>
        <w:t> </w:t>
      </w:r>
      <w:r>
        <w:rPr>
          <w:color w:val="231F20"/>
          <w:sz w:val="16"/>
        </w:rPr>
        <w:t>©</w:t>
      </w:r>
      <w:r>
        <w:rPr>
          <w:color w:val="231F20"/>
          <w:spacing w:val="-6"/>
          <w:sz w:val="16"/>
        </w:rPr>
        <w:t> </w:t>
      </w:r>
      <w:r>
        <w:rPr>
          <w:color w:val="231F20"/>
          <w:sz w:val="16"/>
        </w:rPr>
        <w:t>2012</w:t>
      </w:r>
      <w:r>
        <w:rPr>
          <w:color w:val="231F20"/>
          <w:spacing w:val="-6"/>
          <w:sz w:val="16"/>
        </w:rPr>
        <w:t> </w:t>
      </w:r>
      <w:r>
        <w:rPr>
          <w:color w:val="231F20"/>
          <w:sz w:val="16"/>
        </w:rPr>
        <w:t>The</w:t>
      </w:r>
      <w:r>
        <w:rPr>
          <w:color w:val="231F20"/>
          <w:spacing w:val="-6"/>
          <w:sz w:val="16"/>
        </w:rPr>
        <w:t> </w:t>
      </w:r>
      <w:r>
        <w:rPr>
          <w:color w:val="231F20"/>
          <w:sz w:val="16"/>
        </w:rPr>
        <w:t>Authors.</w:t>
      </w:r>
      <w:r>
        <w:rPr>
          <w:color w:val="231F20"/>
          <w:spacing w:val="-6"/>
          <w:sz w:val="16"/>
        </w:rPr>
        <w:t> </w:t>
      </w:r>
      <w:r>
        <w:rPr>
          <w:color w:val="231F20"/>
          <w:sz w:val="16"/>
        </w:rPr>
        <w:t>Published</w:t>
      </w:r>
      <w:r>
        <w:rPr>
          <w:color w:val="231F20"/>
          <w:spacing w:val="-6"/>
          <w:sz w:val="16"/>
        </w:rPr>
        <w:t> </w:t>
      </w:r>
      <w:r>
        <w:rPr>
          <w:color w:val="231F20"/>
          <w:sz w:val="16"/>
        </w:rPr>
        <w:t>by</w:t>
      </w:r>
      <w:r>
        <w:rPr>
          <w:color w:val="231F20"/>
          <w:spacing w:val="-6"/>
          <w:sz w:val="16"/>
        </w:rPr>
        <w:t> </w:t>
      </w:r>
      <w:r>
        <w:rPr>
          <w:color w:val="231F20"/>
          <w:sz w:val="16"/>
        </w:rPr>
        <w:t>Elsevier</w:t>
      </w:r>
      <w:r>
        <w:rPr>
          <w:color w:val="231F20"/>
          <w:spacing w:val="-6"/>
          <w:sz w:val="16"/>
        </w:rPr>
        <w:t> </w:t>
      </w:r>
      <w:r>
        <w:rPr>
          <w:color w:val="231F20"/>
          <w:sz w:val="16"/>
        </w:rPr>
        <w:t>B.V. </w:t>
      </w:r>
      <w:r>
        <w:rPr>
          <w:sz w:val="16"/>
        </w:rPr>
        <w:t>Open access under</w:t>
      </w:r>
      <w:r>
        <w:rPr>
          <w:spacing w:val="-1"/>
          <w:sz w:val="16"/>
        </w:rPr>
        <w:t> </w:t>
      </w:r>
      <w:hyperlink r:id="rId10">
        <w:r>
          <w:rPr>
            <w:color w:val="0000FF"/>
            <w:sz w:val="16"/>
          </w:rPr>
          <w:t>CC BY-NC-ND license.</w:t>
        </w:r>
      </w:hyperlink>
      <w:r>
        <w:rPr>
          <w:color w:val="0000FF"/>
          <w:spacing w:val="40"/>
          <w:sz w:val="16"/>
        </w:rPr>
        <w:t> </w:t>
      </w:r>
      <w:r>
        <w:rPr>
          <w:color w:val="231F20"/>
          <w:sz w:val="16"/>
        </w:rPr>
        <w:t>Selection and/or peer review under responsibility of American Applied Science Research Institute</w:t>
      </w:r>
      <w:r>
        <w:rPr>
          <w:color w:val="231F20"/>
          <w:spacing w:val="40"/>
          <w:sz w:val="16"/>
        </w:rPr>
        <w:t> </w:t>
      </w:r>
      <w:r>
        <w:rPr>
          <w:color w:val="231F20"/>
          <w:spacing w:val="-2"/>
          <w:sz w:val="16"/>
        </w:rPr>
        <w:t>doi:10.1016/j.aasri.2012.11.012</w:t>
      </w:r>
    </w:p>
    <w:p>
      <w:pPr>
        <w:spacing w:after="0" w:line="259" w:lineRule="auto"/>
        <w:jc w:val="left"/>
        <w:rPr>
          <w:sz w:val="16"/>
        </w:rPr>
        <w:sectPr>
          <w:footerReference w:type="even" r:id="rId5"/>
          <w:type w:val="continuous"/>
          <w:pgSz w:w="10890" w:h="14860"/>
          <w:pgMar w:header="0" w:footer="0" w:top="780" w:bottom="280" w:left="460" w:right="600"/>
          <w:pgNumType w:start="66"/>
        </w:sectPr>
      </w:pPr>
    </w:p>
    <w:p>
      <w:pPr>
        <w:pStyle w:val="BodyText"/>
        <w:spacing w:before="156"/>
      </w:pPr>
    </w:p>
    <w:p>
      <w:pPr>
        <w:pStyle w:val="ListParagraph"/>
        <w:numPr>
          <w:ilvl w:val="0"/>
          <w:numId w:val="1"/>
        </w:numPr>
        <w:tabs>
          <w:tab w:pos="615" w:val="left" w:leader="none"/>
        </w:tabs>
        <w:spacing w:line="240" w:lineRule="auto" w:before="1" w:after="0"/>
        <w:ind w:left="615" w:right="0" w:hanging="205"/>
        <w:jc w:val="left"/>
        <w:rPr>
          <w:sz w:val="20"/>
        </w:rPr>
      </w:pPr>
      <w:r>
        <w:rPr>
          <w:color w:val="231F20"/>
          <w:spacing w:val="-2"/>
          <w:w w:val="110"/>
          <w:sz w:val="20"/>
        </w:rPr>
        <w:t>Introduction</w:t>
      </w:r>
    </w:p>
    <w:p>
      <w:pPr>
        <w:pStyle w:val="BodyText"/>
        <w:spacing w:before="22"/>
      </w:pPr>
    </w:p>
    <w:p>
      <w:pPr>
        <w:pStyle w:val="BodyText"/>
        <w:spacing w:line="249" w:lineRule="auto"/>
        <w:ind w:left="410" w:right="534" w:firstLine="237"/>
        <w:jc w:val="both"/>
      </w:pPr>
      <w:r>
        <w:rPr>
          <w:color w:val="231F20"/>
        </w:rPr>
        <w:t>Explosion welding process is very high-velocity and a little similar to other ways of materials junction, but some of joints could not be obtained in other manner. The characteristic times: duration of the welding approximately 10</w:t>
      </w:r>
      <w:r>
        <w:rPr>
          <w:color w:val="231F20"/>
          <w:vertAlign w:val="superscript"/>
        </w:rPr>
        <w:t>-6</w:t>
      </w:r>
      <w:r>
        <w:rPr>
          <w:color w:val="231F20"/>
          <w:vertAlign w:val="baseline"/>
        </w:rPr>
        <w:t> s, rate of deformation 10</w:t>
      </w:r>
      <w:r>
        <w:rPr>
          <w:color w:val="231F20"/>
          <w:vertAlign w:val="superscript"/>
        </w:rPr>
        <w:t>4</w:t>
      </w:r>
      <w:r>
        <w:rPr>
          <w:color w:val="231F20"/>
          <w:vertAlign w:val="baseline"/>
        </w:rPr>
        <w:t>-10</w:t>
      </w:r>
      <w:r>
        <w:rPr>
          <w:color w:val="231F20"/>
          <w:vertAlign w:val="superscript"/>
        </w:rPr>
        <w:t>7</w:t>
      </w:r>
      <w:r>
        <w:rPr>
          <w:color w:val="231F20"/>
          <w:vertAlign w:val="baseline"/>
        </w:rPr>
        <w:t> s</w:t>
      </w:r>
      <w:r>
        <w:rPr>
          <w:color w:val="231F20"/>
          <w:vertAlign w:val="superscript"/>
        </w:rPr>
        <w:t>-1</w:t>
      </w:r>
      <w:r>
        <w:rPr>
          <w:color w:val="231F20"/>
          <w:vertAlign w:val="baseline"/>
        </w:rPr>
        <w:t>, cooling rate 10</w:t>
      </w:r>
      <w:r>
        <w:rPr>
          <w:color w:val="231F20"/>
          <w:vertAlign w:val="superscript"/>
        </w:rPr>
        <w:t>5</w:t>
      </w:r>
      <w:r>
        <w:rPr>
          <w:color w:val="231F20"/>
          <w:vertAlign w:val="baseline"/>
        </w:rPr>
        <w:t> K/s. This process, being outwardly simple one, has a very complex physical nature, and thus requires not only a detailed structural analysis, but also a new approach.</w:t>
      </w:r>
    </w:p>
    <w:p>
      <w:pPr>
        <w:pStyle w:val="BodyText"/>
        <w:spacing w:line="249" w:lineRule="auto" w:before="4"/>
        <w:ind w:left="410" w:right="536" w:firstLine="237"/>
        <w:jc w:val="both"/>
      </w:pPr>
      <w:r>
        <w:rPr>
          <w:color w:val="231F20"/>
        </w:rPr>
        <w:t>Welded joints of metal-intermetallic possessing a normal mutual solubility in both liquid and solid states had been investigated previously [1-4]. Commercially pure titanium was chosen as a metal, and orthorhombic titanium aluminide based alloys (“aluminide” for short) were selected as an intermetallic compound. Depending on welding conditions, different joints have been obtained and for convenience are entitled as follows: (A</w:t>
      </w:r>
      <w:r>
        <w:rPr>
          <w:color w:val="231F20"/>
          <w:vertAlign w:val="subscript"/>
        </w:rPr>
        <w:t>w</w:t>
      </w:r>
      <w:r>
        <w:rPr>
          <w:color w:val="231F20"/>
          <w:vertAlign w:val="baseline"/>
        </w:rPr>
        <w:t>), (A</w:t>
      </w:r>
      <w:r>
        <w:rPr>
          <w:color w:val="231F20"/>
          <w:vertAlign w:val="subscript"/>
        </w:rPr>
        <w:t>p</w:t>
      </w:r>
      <w:r>
        <w:rPr>
          <w:color w:val="231F20"/>
          <w:vertAlign w:val="baseline"/>
        </w:rPr>
        <w:t>), (B</w:t>
      </w:r>
      <w:r>
        <w:rPr>
          <w:color w:val="231F20"/>
          <w:vertAlign w:val="subscript"/>
        </w:rPr>
        <w:t>w</w:t>
      </w:r>
      <w:r>
        <w:rPr>
          <w:color w:val="231F20"/>
          <w:vertAlign w:val="baseline"/>
        </w:rPr>
        <w:t>), (B</w:t>
      </w:r>
      <w:r>
        <w:rPr>
          <w:color w:val="231F20"/>
          <w:vertAlign w:val="subscript"/>
        </w:rPr>
        <w:t>p</w:t>
      </w:r>
      <w:r>
        <w:rPr>
          <w:color w:val="231F20"/>
          <w:vertAlign w:val="baseline"/>
        </w:rPr>
        <w:t>), where the subscript indicates the interface shape (waveless or wavy). Orthorhombic alloys containing 16 at.% Nb and 23 at.% Nb were used in joints of A type and B type, correspondingly. In some joints a melting along entire interface was observed, while the local melting zones with vortex structure take place for others. In any case, the melts are true solutions with the intermixing at atomic level.</w:t>
      </w:r>
    </w:p>
    <w:p>
      <w:pPr>
        <w:pStyle w:val="BodyText"/>
        <w:spacing w:line="249" w:lineRule="auto" w:before="8"/>
        <w:ind w:left="410" w:right="536" w:firstLine="237"/>
        <w:jc w:val="both"/>
      </w:pPr>
      <w:r>
        <w:rPr>
          <w:color w:val="231F20"/>
        </w:rPr>
        <w:t>To find out how important is the presence of mutual solubility of the starting materials for explosion welding, metals (copper-tantalum, iron-silver), possessing little or no mutual solubility in normal conditions and forming immiscible suspension in liquid state, were selected. "Why the intermixing of immiscible suspensions occurs?" is the question which we try to answer in this paper.</w:t>
      </w:r>
    </w:p>
    <w:p>
      <w:pPr>
        <w:pStyle w:val="BodyText"/>
        <w:spacing w:before="13"/>
      </w:pPr>
    </w:p>
    <w:p>
      <w:pPr>
        <w:pStyle w:val="ListParagraph"/>
        <w:numPr>
          <w:ilvl w:val="0"/>
          <w:numId w:val="1"/>
        </w:numPr>
        <w:tabs>
          <w:tab w:pos="615" w:val="left" w:leader="none"/>
        </w:tabs>
        <w:spacing w:line="240" w:lineRule="auto" w:before="0" w:after="0"/>
        <w:ind w:left="615" w:right="0" w:hanging="205"/>
        <w:jc w:val="left"/>
        <w:rPr>
          <w:sz w:val="20"/>
        </w:rPr>
      </w:pPr>
      <w:r>
        <w:rPr>
          <w:color w:val="231F20"/>
          <w:spacing w:val="-2"/>
          <w:w w:val="110"/>
          <w:sz w:val="20"/>
        </w:rPr>
        <w:t>Experimental</w:t>
      </w:r>
    </w:p>
    <w:p>
      <w:pPr>
        <w:pStyle w:val="BodyText"/>
        <w:spacing w:before="20"/>
      </w:pPr>
    </w:p>
    <w:p>
      <w:pPr>
        <w:pStyle w:val="BodyText"/>
        <w:spacing w:line="249" w:lineRule="auto"/>
        <w:ind w:left="409" w:right="570" w:firstLine="237"/>
        <w:jc w:val="both"/>
      </w:pPr>
      <w:r>
        <w:rPr>
          <w:color w:val="231F20"/>
        </w:rPr>
        <w:t>The welding was carried out using different schemes and parameters, and on the basis of the results obtained, joints to be studied had been selected. We restrict our considerations by giving only the basic welding parameters here: γ, the collision angle; V</w:t>
      </w:r>
      <w:r>
        <w:rPr>
          <w:color w:val="231F20"/>
          <w:vertAlign w:val="subscript"/>
        </w:rPr>
        <w:t>c</w:t>
      </w:r>
      <w:r>
        <w:rPr>
          <w:color w:val="231F20"/>
          <w:vertAlign w:val="baseline"/>
        </w:rPr>
        <w:t>, collision velocity, V</w:t>
      </w:r>
      <w:r>
        <w:rPr>
          <w:color w:val="231F20"/>
          <w:vertAlign w:val="subscript"/>
        </w:rPr>
        <w:t>i</w:t>
      </w:r>
      <w:r>
        <w:rPr>
          <w:color w:val="231F20"/>
          <w:vertAlign w:val="baseline"/>
        </w:rPr>
        <w:t>, impact velocity.</w:t>
      </w:r>
    </w:p>
    <w:p>
      <w:pPr>
        <w:pStyle w:val="BodyText"/>
        <w:spacing w:line="249" w:lineRule="auto" w:before="2"/>
        <w:ind w:left="647" w:right="2659"/>
      </w:pPr>
      <w:r>
        <w:rPr>
          <w:color w:val="231F20"/>
        </w:rPr>
        <w:t>(C</w:t>
      </w:r>
      <w:r>
        <w:rPr>
          <w:color w:val="231F20"/>
          <w:vertAlign w:val="subscript"/>
        </w:rPr>
        <w:t>p</w:t>
      </w:r>
      <w:r>
        <w:rPr>
          <w:color w:val="231F20"/>
          <w:vertAlign w:val="baseline"/>
        </w:rPr>
        <w:t>)</w:t>
      </w:r>
      <w:r>
        <w:rPr>
          <w:color w:val="231F20"/>
          <w:spacing w:val="-2"/>
          <w:vertAlign w:val="baseline"/>
        </w:rPr>
        <w:t> </w:t>
      </w:r>
      <w:r>
        <w:rPr>
          <w:color w:val="231F20"/>
          <w:vertAlign w:val="baseline"/>
        </w:rPr>
        <w:t>copper-tantalum,</w:t>
      </w:r>
      <w:r>
        <w:rPr>
          <w:color w:val="231F20"/>
          <w:spacing w:val="40"/>
          <w:vertAlign w:val="baseline"/>
        </w:rPr>
        <w:t> </w:t>
      </w:r>
      <w:r>
        <w:rPr>
          <w:color w:val="231F20"/>
          <w:vertAlign w:val="baseline"/>
        </w:rPr>
        <w:t>γ</w:t>
      </w:r>
      <w:r>
        <w:rPr>
          <w:color w:val="231F20"/>
          <w:spacing w:val="-2"/>
          <w:vertAlign w:val="baseline"/>
        </w:rPr>
        <w:t> </w:t>
      </w:r>
      <w:r>
        <w:rPr>
          <w:color w:val="231F20"/>
          <w:vertAlign w:val="baseline"/>
        </w:rPr>
        <w:t>=</w:t>
      </w:r>
      <w:r>
        <w:rPr>
          <w:color w:val="231F20"/>
          <w:spacing w:val="-2"/>
          <w:vertAlign w:val="baseline"/>
        </w:rPr>
        <w:t> </w:t>
      </w:r>
      <w:r>
        <w:rPr>
          <w:color w:val="231F20"/>
          <w:vertAlign w:val="baseline"/>
        </w:rPr>
        <w:t>5.22°,</w:t>
      </w:r>
      <w:r>
        <w:rPr>
          <w:color w:val="231F20"/>
          <w:spacing w:val="-2"/>
          <w:vertAlign w:val="baseline"/>
        </w:rPr>
        <w:t> </w:t>
      </w:r>
      <w:r>
        <w:rPr>
          <w:color w:val="231F20"/>
          <w:vertAlign w:val="baseline"/>
        </w:rPr>
        <w:t>V</w:t>
      </w:r>
      <w:r>
        <w:rPr>
          <w:color w:val="231F20"/>
          <w:vertAlign w:val="subscript"/>
        </w:rPr>
        <w:t>c</w:t>
      </w:r>
      <w:r>
        <w:rPr>
          <w:color w:val="231F20"/>
          <w:vertAlign w:val="baseline"/>
        </w:rPr>
        <w:t>=2680</w:t>
      </w:r>
      <w:r>
        <w:rPr>
          <w:color w:val="231F20"/>
          <w:spacing w:val="-4"/>
          <w:vertAlign w:val="baseline"/>
        </w:rPr>
        <w:t> </w:t>
      </w:r>
      <w:r>
        <w:rPr>
          <w:color w:val="231F20"/>
          <w:vertAlign w:val="baseline"/>
        </w:rPr>
        <w:t>m/s,</w:t>
      </w:r>
      <w:r>
        <w:rPr>
          <w:color w:val="231F20"/>
          <w:spacing w:val="-2"/>
          <w:vertAlign w:val="baseline"/>
        </w:rPr>
        <w:t> </w:t>
      </w:r>
      <w:r>
        <w:rPr>
          <w:color w:val="231F20"/>
          <w:vertAlign w:val="baseline"/>
        </w:rPr>
        <w:t>V</w:t>
      </w:r>
      <w:r>
        <w:rPr>
          <w:color w:val="231F20"/>
          <w:vertAlign w:val="subscript"/>
        </w:rPr>
        <w:t>i</w:t>
      </w:r>
      <w:r>
        <w:rPr>
          <w:color w:val="231F20"/>
          <w:vertAlign w:val="baseline"/>
        </w:rPr>
        <w:t>=234</w:t>
      </w:r>
      <w:r>
        <w:rPr>
          <w:color w:val="231F20"/>
          <w:spacing w:val="-3"/>
          <w:vertAlign w:val="baseline"/>
        </w:rPr>
        <w:t> </w:t>
      </w:r>
      <w:r>
        <w:rPr>
          <w:color w:val="231F20"/>
          <w:vertAlign w:val="baseline"/>
        </w:rPr>
        <w:t>m/s; waveless</w:t>
      </w:r>
      <w:r>
        <w:rPr>
          <w:color w:val="231F20"/>
          <w:spacing w:val="-4"/>
          <w:vertAlign w:val="baseline"/>
        </w:rPr>
        <w:t> </w:t>
      </w:r>
      <w:r>
        <w:rPr>
          <w:color w:val="231F20"/>
          <w:vertAlign w:val="baseline"/>
        </w:rPr>
        <w:t>interface; (C</w:t>
      </w:r>
      <w:r>
        <w:rPr>
          <w:color w:val="231F20"/>
          <w:vertAlign w:val="subscript"/>
        </w:rPr>
        <w:t>w</w:t>
      </w:r>
      <w:r>
        <w:rPr>
          <w:color w:val="231F20"/>
          <w:vertAlign w:val="baseline"/>
        </w:rPr>
        <w:t>) copper-tantalum,</w:t>
      </w:r>
      <w:r>
        <w:rPr>
          <w:color w:val="231F20"/>
          <w:spacing w:val="40"/>
          <w:vertAlign w:val="baseline"/>
        </w:rPr>
        <w:t> </w:t>
      </w:r>
      <w:r>
        <w:rPr>
          <w:color w:val="231F20"/>
          <w:vertAlign w:val="baseline"/>
        </w:rPr>
        <w:t>γ = 11.8°, V</w:t>
      </w:r>
      <w:r>
        <w:rPr>
          <w:color w:val="231F20"/>
          <w:vertAlign w:val="subscript"/>
        </w:rPr>
        <w:t>c</w:t>
      </w:r>
      <w:r>
        <w:rPr>
          <w:color w:val="231F20"/>
          <w:vertAlign w:val="baseline"/>
        </w:rPr>
        <w:t>=2125 m/s, V</w:t>
      </w:r>
      <w:r>
        <w:rPr>
          <w:color w:val="231F20"/>
          <w:vertAlign w:val="subscript"/>
        </w:rPr>
        <w:t>i</w:t>
      </w:r>
      <w:r>
        <w:rPr>
          <w:color w:val="231F20"/>
          <w:vertAlign w:val="baseline"/>
        </w:rPr>
        <w:t>= 440 m/s; wavy interface; (D</w:t>
      </w:r>
      <w:r>
        <w:rPr>
          <w:color w:val="231F20"/>
          <w:vertAlign w:val="subscript"/>
        </w:rPr>
        <w:t>w</w:t>
      </w:r>
      <w:r>
        <w:rPr>
          <w:color w:val="231F20"/>
          <w:vertAlign w:val="baseline"/>
        </w:rPr>
        <w:t>) iron-silver,</w:t>
      </w:r>
      <w:r>
        <w:rPr>
          <w:color w:val="231F20"/>
          <w:spacing w:val="40"/>
          <w:vertAlign w:val="baseline"/>
        </w:rPr>
        <w:t> </w:t>
      </w:r>
      <w:r>
        <w:rPr>
          <w:color w:val="231F20"/>
          <w:vertAlign w:val="baseline"/>
        </w:rPr>
        <w:t>γ = 15.6°, V</w:t>
      </w:r>
      <w:r>
        <w:rPr>
          <w:color w:val="231F20"/>
          <w:vertAlign w:val="subscript"/>
        </w:rPr>
        <w:t>c</w:t>
      </w:r>
      <w:r>
        <w:rPr>
          <w:color w:val="231F20"/>
          <w:vertAlign w:val="baseline"/>
        </w:rPr>
        <w:t>=1910 m/s, V</w:t>
      </w:r>
      <w:r>
        <w:rPr>
          <w:color w:val="231F20"/>
          <w:vertAlign w:val="subscript"/>
        </w:rPr>
        <w:t>i</w:t>
      </w:r>
      <w:r>
        <w:rPr>
          <w:color w:val="231F20"/>
          <w:vertAlign w:val="baseline"/>
        </w:rPr>
        <w:t>= 520 m/s; wavy interface;</w:t>
      </w:r>
    </w:p>
    <w:p>
      <w:pPr>
        <w:pStyle w:val="BodyText"/>
        <w:spacing w:before="3"/>
        <w:ind w:left="647"/>
      </w:pPr>
      <w:r>
        <w:rPr>
          <w:color w:val="231F20"/>
        </w:rPr>
        <w:t>(E</w:t>
      </w:r>
      <w:r>
        <w:rPr>
          <w:color w:val="231F20"/>
          <w:vertAlign w:val="subscript"/>
        </w:rPr>
        <w:t>p</w:t>
      </w:r>
      <w:r>
        <w:rPr>
          <w:color w:val="231F20"/>
          <w:vertAlign w:val="baseline"/>
        </w:rPr>
        <w:t>)</w:t>
      </w:r>
      <w:r>
        <w:rPr>
          <w:color w:val="231F20"/>
          <w:spacing w:val="-5"/>
          <w:vertAlign w:val="baseline"/>
        </w:rPr>
        <w:t> </w:t>
      </w:r>
      <w:r>
        <w:rPr>
          <w:color w:val="231F20"/>
          <w:vertAlign w:val="baseline"/>
        </w:rPr>
        <w:t>aluminum-tantalum,</w:t>
      </w:r>
      <w:r>
        <w:rPr>
          <w:color w:val="231F20"/>
          <w:spacing w:val="39"/>
          <w:vertAlign w:val="baseline"/>
        </w:rPr>
        <w:t> </w:t>
      </w:r>
      <w:r>
        <w:rPr>
          <w:color w:val="231F20"/>
          <w:vertAlign w:val="baseline"/>
        </w:rPr>
        <w:t>γ</w:t>
      </w:r>
      <w:r>
        <w:rPr>
          <w:color w:val="231F20"/>
          <w:spacing w:val="-5"/>
          <w:vertAlign w:val="baseline"/>
        </w:rPr>
        <w:t> </w:t>
      </w:r>
      <w:r>
        <w:rPr>
          <w:color w:val="231F20"/>
          <w:vertAlign w:val="baseline"/>
        </w:rPr>
        <w:t>=</w:t>
      </w:r>
      <w:r>
        <w:rPr>
          <w:color w:val="231F20"/>
          <w:spacing w:val="-5"/>
          <w:vertAlign w:val="baseline"/>
        </w:rPr>
        <w:t> </w:t>
      </w:r>
      <w:r>
        <w:rPr>
          <w:color w:val="231F20"/>
          <w:vertAlign w:val="baseline"/>
        </w:rPr>
        <w:t>8.6°,</w:t>
      </w:r>
      <w:r>
        <w:rPr>
          <w:color w:val="231F20"/>
          <w:spacing w:val="-5"/>
          <w:vertAlign w:val="baseline"/>
        </w:rPr>
        <w:t> </w:t>
      </w:r>
      <w:r>
        <w:rPr>
          <w:color w:val="231F20"/>
          <w:vertAlign w:val="baseline"/>
        </w:rPr>
        <w:t>V</w:t>
      </w:r>
      <w:r>
        <w:rPr>
          <w:color w:val="231F20"/>
          <w:vertAlign w:val="subscript"/>
        </w:rPr>
        <w:t>c</w:t>
      </w:r>
      <w:r>
        <w:rPr>
          <w:color w:val="231F20"/>
          <w:vertAlign w:val="baseline"/>
        </w:rPr>
        <w:t>=2000</w:t>
      </w:r>
      <w:r>
        <w:rPr>
          <w:color w:val="231F20"/>
          <w:spacing w:val="-4"/>
          <w:vertAlign w:val="baseline"/>
        </w:rPr>
        <w:t> </w:t>
      </w:r>
      <w:r>
        <w:rPr>
          <w:color w:val="231F20"/>
          <w:vertAlign w:val="baseline"/>
        </w:rPr>
        <w:t>m/s,</w:t>
      </w:r>
      <w:r>
        <w:rPr>
          <w:color w:val="231F20"/>
          <w:spacing w:val="-5"/>
          <w:vertAlign w:val="baseline"/>
        </w:rPr>
        <w:t> </w:t>
      </w:r>
      <w:r>
        <w:rPr>
          <w:color w:val="231F20"/>
          <w:vertAlign w:val="baseline"/>
        </w:rPr>
        <w:t>V</w:t>
      </w:r>
      <w:r>
        <w:rPr>
          <w:color w:val="231F20"/>
          <w:vertAlign w:val="subscript"/>
        </w:rPr>
        <w:t>i</w:t>
      </w:r>
      <w:r>
        <w:rPr>
          <w:color w:val="231F20"/>
          <w:vertAlign w:val="baseline"/>
        </w:rPr>
        <w:t>=300</w:t>
      </w:r>
      <w:r>
        <w:rPr>
          <w:color w:val="231F20"/>
          <w:spacing w:val="-3"/>
          <w:vertAlign w:val="baseline"/>
        </w:rPr>
        <w:t> </w:t>
      </w:r>
      <w:r>
        <w:rPr>
          <w:color w:val="231F20"/>
          <w:vertAlign w:val="baseline"/>
        </w:rPr>
        <w:t>m/s;</w:t>
      </w:r>
      <w:r>
        <w:rPr>
          <w:color w:val="231F20"/>
          <w:spacing w:val="-4"/>
          <w:vertAlign w:val="baseline"/>
        </w:rPr>
        <w:t> </w:t>
      </w:r>
      <w:r>
        <w:rPr>
          <w:color w:val="231F20"/>
          <w:vertAlign w:val="baseline"/>
        </w:rPr>
        <w:t>waveless</w:t>
      </w:r>
      <w:r>
        <w:rPr>
          <w:color w:val="231F20"/>
          <w:spacing w:val="-7"/>
          <w:vertAlign w:val="baseline"/>
        </w:rPr>
        <w:t> </w:t>
      </w:r>
      <w:r>
        <w:rPr>
          <w:color w:val="231F20"/>
          <w:spacing w:val="-2"/>
          <w:vertAlign w:val="baseline"/>
        </w:rPr>
        <w:t>interface;</w:t>
      </w:r>
    </w:p>
    <w:p>
      <w:pPr>
        <w:pStyle w:val="BodyText"/>
        <w:spacing w:line="249" w:lineRule="auto" w:before="10"/>
        <w:ind w:left="410" w:right="565" w:firstLine="237"/>
        <w:jc w:val="both"/>
      </w:pPr>
      <w:r>
        <w:rPr>
          <w:color w:val="231F20"/>
        </w:rPr>
        <w:t>The choice of parameters (C</w:t>
      </w:r>
      <w:r>
        <w:rPr>
          <w:color w:val="231F20"/>
          <w:vertAlign w:val="subscript"/>
        </w:rPr>
        <w:t>p</w:t>
      </w:r>
      <w:r>
        <w:rPr>
          <w:color w:val="231F20"/>
          <w:vertAlign w:val="baseline"/>
        </w:rPr>
        <w:t>) corresponds to the lower limit of domain of weldability, while (C</w:t>
      </w:r>
      <w:r>
        <w:rPr>
          <w:color w:val="231F20"/>
          <w:vertAlign w:val="subscript"/>
        </w:rPr>
        <w:t>w</w:t>
      </w:r>
      <w:r>
        <w:rPr>
          <w:color w:val="231F20"/>
          <w:vertAlign w:val="baseline"/>
        </w:rPr>
        <w:t>) parameters</w:t>
      </w:r>
      <w:r>
        <w:rPr>
          <w:color w:val="231F20"/>
          <w:spacing w:val="-3"/>
          <w:vertAlign w:val="baseline"/>
        </w:rPr>
        <w:t> </w:t>
      </w:r>
      <w:r>
        <w:rPr>
          <w:color w:val="231F20"/>
          <w:vertAlign w:val="baseline"/>
        </w:rPr>
        <w:t>fall</w:t>
      </w:r>
      <w:r>
        <w:rPr>
          <w:color w:val="231F20"/>
          <w:spacing w:val="-2"/>
          <w:vertAlign w:val="baseline"/>
        </w:rPr>
        <w:t> </w:t>
      </w:r>
      <w:r>
        <w:rPr>
          <w:color w:val="231F20"/>
          <w:vertAlign w:val="baseline"/>
        </w:rPr>
        <w:t>into</w:t>
      </w:r>
      <w:r>
        <w:rPr>
          <w:color w:val="231F20"/>
          <w:spacing w:val="-1"/>
          <w:vertAlign w:val="baseline"/>
        </w:rPr>
        <w:t> </w:t>
      </w:r>
      <w:r>
        <w:rPr>
          <w:color w:val="231F20"/>
          <w:vertAlign w:val="baseline"/>
        </w:rPr>
        <w:t>it.</w:t>
      </w:r>
      <w:r>
        <w:rPr>
          <w:color w:val="231F20"/>
          <w:spacing w:val="-2"/>
          <w:vertAlign w:val="baseline"/>
        </w:rPr>
        <w:t> </w:t>
      </w:r>
      <w:r>
        <w:rPr>
          <w:color w:val="231F20"/>
          <w:vertAlign w:val="baseline"/>
        </w:rPr>
        <w:t>The</w:t>
      </w:r>
      <w:r>
        <w:rPr>
          <w:color w:val="231F20"/>
          <w:spacing w:val="-2"/>
          <w:vertAlign w:val="baseline"/>
        </w:rPr>
        <w:t> </w:t>
      </w:r>
      <w:r>
        <w:rPr>
          <w:color w:val="231F20"/>
          <w:vertAlign w:val="baseline"/>
        </w:rPr>
        <w:t>joint</w:t>
      </w:r>
      <w:r>
        <w:rPr>
          <w:color w:val="231F20"/>
          <w:spacing w:val="-2"/>
          <w:vertAlign w:val="baseline"/>
        </w:rPr>
        <w:t> </w:t>
      </w:r>
      <w:r>
        <w:rPr>
          <w:color w:val="231F20"/>
          <w:vertAlign w:val="baseline"/>
        </w:rPr>
        <w:t>(E</w:t>
      </w:r>
      <w:r>
        <w:rPr>
          <w:color w:val="231F20"/>
          <w:vertAlign w:val="subscript"/>
        </w:rPr>
        <w:t>p</w:t>
      </w:r>
      <w:r>
        <w:rPr>
          <w:color w:val="231F20"/>
          <w:vertAlign w:val="baseline"/>
        </w:rPr>
        <w:t>)</w:t>
      </w:r>
      <w:r>
        <w:rPr>
          <w:color w:val="231F20"/>
          <w:spacing w:val="-1"/>
          <w:vertAlign w:val="baseline"/>
        </w:rPr>
        <w:t> </w:t>
      </w:r>
      <w:r>
        <w:rPr>
          <w:color w:val="231F20"/>
          <w:vertAlign w:val="baseline"/>
        </w:rPr>
        <w:t>of</w:t>
      </w:r>
      <w:r>
        <w:rPr>
          <w:color w:val="231F20"/>
          <w:spacing w:val="-4"/>
          <w:vertAlign w:val="baseline"/>
        </w:rPr>
        <w:t> </w:t>
      </w:r>
      <w:r>
        <w:rPr>
          <w:color w:val="231F20"/>
          <w:vertAlign w:val="baseline"/>
        </w:rPr>
        <w:t>aluminum-tantalum</w:t>
      </w:r>
      <w:r>
        <w:rPr>
          <w:color w:val="231F20"/>
          <w:spacing w:val="-3"/>
          <w:vertAlign w:val="baseline"/>
        </w:rPr>
        <w:t> </w:t>
      </w:r>
      <w:r>
        <w:rPr>
          <w:color w:val="231F20"/>
          <w:vertAlign w:val="baseline"/>
        </w:rPr>
        <w:t>metals, which</w:t>
      </w:r>
      <w:r>
        <w:rPr>
          <w:color w:val="231F20"/>
          <w:spacing w:val="-3"/>
          <w:vertAlign w:val="baseline"/>
        </w:rPr>
        <w:t> </w:t>
      </w:r>
      <w:r>
        <w:rPr>
          <w:color w:val="231F20"/>
          <w:vertAlign w:val="baseline"/>
        </w:rPr>
        <w:t>possess</w:t>
      </w:r>
      <w:r>
        <w:rPr>
          <w:color w:val="231F20"/>
          <w:spacing w:val="-1"/>
          <w:vertAlign w:val="baseline"/>
        </w:rPr>
        <w:t> </w:t>
      </w:r>
      <w:r>
        <w:rPr>
          <w:color w:val="231F20"/>
          <w:vertAlign w:val="baseline"/>
        </w:rPr>
        <w:t>normal mutual solubility,</w:t>
      </w:r>
      <w:r>
        <w:rPr>
          <w:color w:val="231F20"/>
          <w:spacing w:val="-1"/>
          <w:vertAlign w:val="baseline"/>
        </w:rPr>
        <w:t> </w:t>
      </w:r>
      <w:r>
        <w:rPr>
          <w:color w:val="231F20"/>
          <w:vertAlign w:val="baseline"/>
        </w:rPr>
        <w:t>is used for comparison with joint (C</w:t>
      </w:r>
      <w:r>
        <w:rPr>
          <w:color w:val="231F20"/>
          <w:vertAlign w:val="subscript"/>
        </w:rPr>
        <w:t>p</w:t>
      </w:r>
      <w:r>
        <w:rPr>
          <w:color w:val="231F20"/>
          <w:vertAlign w:val="baseline"/>
        </w:rPr>
        <w:t>) copper-tantalum metals which possess no mutual solubility. Waveless interface was observed for both joints. The metallographic analysis was carried out using an Epiquant optical microscope equipped with a computing system SIAMS. The study of the microstructure was performed employing JEM 200CX and SM-30 Super Twin transmission electron microscopes, Quanta 200 3D and Quanta 600 scanning electron microscopes.</w:t>
      </w:r>
    </w:p>
    <w:p>
      <w:pPr>
        <w:pStyle w:val="BodyText"/>
        <w:spacing w:before="16"/>
      </w:pPr>
    </w:p>
    <w:p>
      <w:pPr>
        <w:pStyle w:val="ListParagraph"/>
        <w:numPr>
          <w:ilvl w:val="0"/>
          <w:numId w:val="1"/>
        </w:numPr>
        <w:tabs>
          <w:tab w:pos="615" w:val="left" w:leader="none"/>
        </w:tabs>
        <w:spacing w:line="240" w:lineRule="auto" w:before="0" w:after="0"/>
        <w:ind w:left="615" w:right="0" w:hanging="205"/>
        <w:jc w:val="left"/>
        <w:rPr>
          <w:sz w:val="20"/>
        </w:rPr>
      </w:pPr>
      <w:r>
        <w:rPr>
          <w:color w:val="231F20"/>
          <w:spacing w:val="-2"/>
          <w:w w:val="105"/>
          <w:sz w:val="20"/>
        </w:rPr>
        <w:t>Results</w:t>
      </w:r>
    </w:p>
    <w:p>
      <w:pPr>
        <w:pStyle w:val="BodyText"/>
        <w:spacing w:before="20"/>
      </w:pPr>
    </w:p>
    <w:p>
      <w:pPr>
        <w:pStyle w:val="ListParagraph"/>
        <w:numPr>
          <w:ilvl w:val="1"/>
          <w:numId w:val="1"/>
        </w:numPr>
        <w:tabs>
          <w:tab w:pos="763" w:val="left" w:leader="none"/>
        </w:tabs>
        <w:spacing w:line="240" w:lineRule="auto" w:before="0" w:after="0"/>
        <w:ind w:left="763" w:right="0" w:hanging="354"/>
        <w:jc w:val="left"/>
        <w:rPr>
          <w:i/>
          <w:sz w:val="20"/>
        </w:rPr>
      </w:pPr>
      <w:r>
        <w:rPr>
          <w:i/>
          <w:color w:val="231F20"/>
          <w:sz w:val="20"/>
        </w:rPr>
        <w:t>(C</w:t>
      </w:r>
      <w:r>
        <w:rPr>
          <w:i/>
          <w:color w:val="231F20"/>
          <w:sz w:val="20"/>
          <w:vertAlign w:val="subscript"/>
        </w:rPr>
        <w:t>p</w:t>
      </w:r>
      <w:r>
        <w:rPr>
          <w:i/>
          <w:color w:val="231F20"/>
          <w:sz w:val="20"/>
          <w:vertAlign w:val="baseline"/>
        </w:rPr>
        <w:t>)</w:t>
      </w:r>
      <w:r>
        <w:rPr>
          <w:i/>
          <w:color w:val="231F20"/>
          <w:spacing w:val="-12"/>
          <w:sz w:val="20"/>
          <w:vertAlign w:val="baseline"/>
        </w:rPr>
        <w:t> </w:t>
      </w:r>
      <w:r>
        <w:rPr>
          <w:i/>
          <w:color w:val="231F20"/>
          <w:sz w:val="20"/>
          <w:vertAlign w:val="baseline"/>
        </w:rPr>
        <w:t>copper-tantalum</w:t>
      </w:r>
      <w:r>
        <w:rPr>
          <w:i/>
          <w:color w:val="231F20"/>
          <w:spacing w:val="-9"/>
          <w:sz w:val="20"/>
          <w:vertAlign w:val="baseline"/>
        </w:rPr>
        <w:t> </w:t>
      </w:r>
      <w:r>
        <w:rPr>
          <w:i/>
          <w:color w:val="231F20"/>
          <w:sz w:val="20"/>
          <w:vertAlign w:val="baseline"/>
        </w:rPr>
        <w:t>joint</w:t>
      </w:r>
      <w:r>
        <w:rPr>
          <w:i/>
          <w:color w:val="231F20"/>
          <w:spacing w:val="-10"/>
          <w:sz w:val="20"/>
          <w:vertAlign w:val="baseline"/>
        </w:rPr>
        <w:t> </w:t>
      </w:r>
      <w:r>
        <w:rPr>
          <w:i/>
          <w:color w:val="231F20"/>
          <w:sz w:val="20"/>
          <w:vertAlign w:val="baseline"/>
        </w:rPr>
        <w:t>(waveless</w:t>
      </w:r>
      <w:r>
        <w:rPr>
          <w:i/>
          <w:color w:val="231F20"/>
          <w:spacing w:val="-11"/>
          <w:sz w:val="20"/>
          <w:vertAlign w:val="baseline"/>
        </w:rPr>
        <w:t> </w:t>
      </w:r>
      <w:r>
        <w:rPr>
          <w:i/>
          <w:color w:val="231F20"/>
          <w:spacing w:val="-2"/>
          <w:sz w:val="20"/>
          <w:vertAlign w:val="baseline"/>
        </w:rPr>
        <w:t>interface)</w:t>
      </w:r>
    </w:p>
    <w:p>
      <w:pPr>
        <w:pStyle w:val="BodyText"/>
        <w:spacing w:before="20"/>
        <w:rPr>
          <w:i/>
        </w:rPr>
      </w:pPr>
    </w:p>
    <w:p>
      <w:pPr>
        <w:pStyle w:val="BodyText"/>
        <w:spacing w:line="249" w:lineRule="auto"/>
        <w:ind w:left="410" w:right="566" w:firstLine="237"/>
        <w:jc w:val="both"/>
      </w:pPr>
      <w:r>
        <w:rPr>
          <w:color w:val="231F20"/>
        </w:rPr>
        <w:t>The</w:t>
      </w:r>
      <w:r>
        <w:rPr>
          <w:color w:val="231F20"/>
          <w:spacing w:val="-1"/>
        </w:rPr>
        <w:t> </w:t>
      </w:r>
      <w:r>
        <w:rPr>
          <w:color w:val="231F20"/>
        </w:rPr>
        <w:t>interface of</w:t>
      </w:r>
      <w:r>
        <w:rPr>
          <w:color w:val="231F20"/>
          <w:spacing w:val="-3"/>
        </w:rPr>
        <w:t> </w:t>
      </w:r>
      <w:r>
        <w:rPr>
          <w:color w:val="231F20"/>
        </w:rPr>
        <w:t>(C</w:t>
      </w:r>
      <w:r>
        <w:rPr>
          <w:color w:val="231F20"/>
          <w:vertAlign w:val="subscript"/>
        </w:rPr>
        <w:t>p</w:t>
      </w:r>
      <w:r>
        <w:rPr>
          <w:color w:val="231F20"/>
          <w:vertAlign w:val="baseline"/>
        </w:rPr>
        <w:t>) joint</w:t>
      </w:r>
      <w:r>
        <w:rPr>
          <w:color w:val="231F20"/>
          <w:spacing w:val="-1"/>
          <w:vertAlign w:val="baseline"/>
        </w:rPr>
        <w:t> </w:t>
      </w:r>
      <w:r>
        <w:rPr>
          <w:color w:val="231F20"/>
          <w:vertAlign w:val="baseline"/>
        </w:rPr>
        <w:t>is not wavy;</w:t>
      </w:r>
      <w:r>
        <w:rPr>
          <w:color w:val="231F20"/>
          <w:spacing w:val="-1"/>
          <w:vertAlign w:val="baseline"/>
        </w:rPr>
        <w:t> </w:t>
      </w:r>
      <w:r>
        <w:rPr>
          <w:color w:val="231F20"/>
          <w:vertAlign w:val="baseline"/>
        </w:rPr>
        <w:t>thus,</w:t>
      </w:r>
      <w:r>
        <w:rPr>
          <w:color w:val="231F20"/>
          <w:spacing w:val="-1"/>
          <w:vertAlign w:val="baseline"/>
        </w:rPr>
        <w:t> </w:t>
      </w:r>
      <w:r>
        <w:rPr>
          <w:color w:val="231F20"/>
          <w:vertAlign w:val="baseline"/>
        </w:rPr>
        <w:t>the interface</w:t>
      </w:r>
      <w:r>
        <w:rPr>
          <w:color w:val="231F20"/>
          <w:spacing w:val="-1"/>
          <w:vertAlign w:val="baseline"/>
        </w:rPr>
        <w:t> </w:t>
      </w:r>
      <w:r>
        <w:rPr>
          <w:color w:val="231F20"/>
          <w:vertAlign w:val="baseline"/>
        </w:rPr>
        <w:t>is not</w:t>
      </w:r>
      <w:r>
        <w:rPr>
          <w:color w:val="231F20"/>
          <w:spacing w:val="-1"/>
          <w:vertAlign w:val="baseline"/>
        </w:rPr>
        <w:t> </w:t>
      </w:r>
      <w:r>
        <w:rPr>
          <w:color w:val="231F20"/>
          <w:vertAlign w:val="baseline"/>
        </w:rPr>
        <w:t>corrugated.</w:t>
      </w:r>
      <w:r>
        <w:rPr>
          <w:color w:val="231F20"/>
          <w:spacing w:val="-1"/>
          <w:vertAlign w:val="baseline"/>
        </w:rPr>
        <w:t> </w:t>
      </w:r>
      <w:r>
        <w:rPr>
          <w:color w:val="231F20"/>
          <w:vertAlign w:val="baseline"/>
        </w:rPr>
        <w:t>Instead of</w:t>
      </w:r>
      <w:r>
        <w:rPr>
          <w:color w:val="231F20"/>
          <w:spacing w:val="-3"/>
          <w:vertAlign w:val="baseline"/>
        </w:rPr>
        <w:t> </w:t>
      </w:r>
      <w:r>
        <w:rPr>
          <w:color w:val="231F20"/>
          <w:vertAlign w:val="baseline"/>
        </w:rPr>
        <w:t>image, which for the corrugated surface would consist of parallel bands, we can see an image, consisting of spots of three shades (Fig. 1a). It means that the transition zone is composed by randomly distributed regions of three types. The observation</w:t>
      </w:r>
      <w:r>
        <w:rPr>
          <w:color w:val="231F20"/>
          <w:spacing w:val="16"/>
          <w:vertAlign w:val="baseline"/>
        </w:rPr>
        <w:t> </w:t>
      </w:r>
      <w:r>
        <w:rPr>
          <w:color w:val="231F20"/>
          <w:vertAlign w:val="baseline"/>
        </w:rPr>
        <w:t>of</w:t>
      </w:r>
      <w:r>
        <w:rPr>
          <w:color w:val="231F20"/>
          <w:spacing w:val="16"/>
          <w:vertAlign w:val="baseline"/>
        </w:rPr>
        <w:t> </w:t>
      </w:r>
      <w:r>
        <w:rPr>
          <w:color w:val="231F20"/>
          <w:vertAlign w:val="baseline"/>
        </w:rPr>
        <w:t>these</w:t>
      </w:r>
      <w:r>
        <w:rPr>
          <w:color w:val="231F20"/>
          <w:spacing w:val="18"/>
          <w:vertAlign w:val="baseline"/>
        </w:rPr>
        <w:t> </w:t>
      </w:r>
      <w:r>
        <w:rPr>
          <w:color w:val="231F20"/>
          <w:vertAlign w:val="baseline"/>
        </w:rPr>
        <w:t>three</w:t>
      </w:r>
      <w:r>
        <w:rPr>
          <w:color w:val="231F20"/>
          <w:spacing w:val="18"/>
          <w:vertAlign w:val="baseline"/>
        </w:rPr>
        <w:t> </w:t>
      </w:r>
      <w:r>
        <w:rPr>
          <w:color w:val="231F20"/>
          <w:vertAlign w:val="baseline"/>
        </w:rPr>
        <w:t>types</w:t>
      </w:r>
      <w:r>
        <w:rPr>
          <w:color w:val="231F20"/>
          <w:spacing w:val="16"/>
          <w:vertAlign w:val="baseline"/>
        </w:rPr>
        <w:t> </w:t>
      </w:r>
      <w:r>
        <w:rPr>
          <w:color w:val="231F20"/>
          <w:vertAlign w:val="baseline"/>
        </w:rPr>
        <w:t>of</w:t>
      </w:r>
      <w:r>
        <w:rPr>
          <w:color w:val="231F20"/>
          <w:spacing w:val="16"/>
          <w:vertAlign w:val="baseline"/>
        </w:rPr>
        <w:t> </w:t>
      </w:r>
      <w:r>
        <w:rPr>
          <w:color w:val="231F20"/>
          <w:vertAlign w:val="baseline"/>
        </w:rPr>
        <w:t>regions</w:t>
      </w:r>
      <w:r>
        <w:rPr>
          <w:color w:val="231F20"/>
          <w:spacing w:val="16"/>
          <w:vertAlign w:val="baseline"/>
        </w:rPr>
        <w:t> </w:t>
      </w:r>
      <w:r>
        <w:rPr>
          <w:color w:val="231F20"/>
          <w:vertAlign w:val="baseline"/>
        </w:rPr>
        <w:t>is</w:t>
      </w:r>
      <w:r>
        <w:rPr>
          <w:color w:val="231F20"/>
          <w:spacing w:val="16"/>
          <w:vertAlign w:val="baseline"/>
        </w:rPr>
        <w:t> </w:t>
      </w:r>
      <w:r>
        <w:rPr>
          <w:color w:val="231F20"/>
          <w:vertAlign w:val="baseline"/>
        </w:rPr>
        <w:t>a</w:t>
      </w:r>
      <w:r>
        <w:rPr>
          <w:color w:val="231F20"/>
          <w:spacing w:val="18"/>
          <w:vertAlign w:val="baseline"/>
        </w:rPr>
        <w:t> </w:t>
      </w:r>
      <w:r>
        <w:rPr>
          <w:color w:val="231F20"/>
          <w:vertAlign w:val="baseline"/>
        </w:rPr>
        <w:t>convincing</w:t>
      </w:r>
      <w:r>
        <w:rPr>
          <w:color w:val="231F20"/>
          <w:spacing w:val="18"/>
          <w:vertAlign w:val="baseline"/>
        </w:rPr>
        <w:t> </w:t>
      </w:r>
      <w:r>
        <w:rPr>
          <w:color w:val="231F20"/>
          <w:vertAlign w:val="baseline"/>
        </w:rPr>
        <w:t>proof</w:t>
      </w:r>
      <w:r>
        <w:rPr>
          <w:color w:val="231F20"/>
          <w:spacing w:val="16"/>
          <w:vertAlign w:val="baseline"/>
        </w:rPr>
        <w:t> </w:t>
      </w:r>
      <w:r>
        <w:rPr>
          <w:color w:val="231F20"/>
          <w:vertAlign w:val="baseline"/>
        </w:rPr>
        <w:t>of</w:t>
      </w:r>
      <w:r>
        <w:rPr>
          <w:color w:val="231F20"/>
          <w:spacing w:val="16"/>
          <w:vertAlign w:val="baseline"/>
        </w:rPr>
        <w:t> </w:t>
      </w:r>
      <w:r>
        <w:rPr>
          <w:color w:val="231F20"/>
          <w:vertAlign w:val="baseline"/>
        </w:rPr>
        <w:t>the</w:t>
      </w:r>
      <w:r>
        <w:rPr>
          <w:color w:val="231F20"/>
          <w:spacing w:val="17"/>
          <w:vertAlign w:val="baseline"/>
        </w:rPr>
        <w:t> </w:t>
      </w:r>
      <w:r>
        <w:rPr>
          <w:color w:val="231F20"/>
          <w:vertAlign w:val="baseline"/>
        </w:rPr>
        <w:t>existence</w:t>
      </w:r>
      <w:r>
        <w:rPr>
          <w:color w:val="231F20"/>
          <w:spacing w:val="17"/>
          <w:vertAlign w:val="baseline"/>
        </w:rPr>
        <w:t> </w:t>
      </w:r>
      <w:r>
        <w:rPr>
          <w:color w:val="231F20"/>
          <w:vertAlign w:val="baseline"/>
        </w:rPr>
        <w:t>of</w:t>
      </w:r>
      <w:r>
        <w:rPr>
          <w:color w:val="231F20"/>
          <w:spacing w:val="16"/>
          <w:vertAlign w:val="baseline"/>
        </w:rPr>
        <w:t> </w:t>
      </w:r>
      <w:r>
        <w:rPr>
          <w:color w:val="231F20"/>
          <w:vertAlign w:val="baseline"/>
        </w:rPr>
        <w:t>cusps</w:t>
      </w:r>
      <w:r>
        <w:rPr>
          <w:color w:val="231F20"/>
          <w:spacing w:val="17"/>
          <w:vertAlign w:val="baseline"/>
        </w:rPr>
        <w:t> </w:t>
      </w:r>
      <w:r>
        <w:rPr>
          <w:color w:val="231F20"/>
          <w:vertAlign w:val="baseline"/>
        </w:rPr>
        <w:t>on</w:t>
      </w:r>
      <w:r>
        <w:rPr>
          <w:color w:val="231F20"/>
          <w:spacing w:val="16"/>
          <w:vertAlign w:val="baseline"/>
        </w:rPr>
        <w:t> </w:t>
      </w:r>
      <w:r>
        <w:rPr>
          <w:color w:val="231F20"/>
          <w:vertAlign w:val="baseline"/>
        </w:rPr>
        <w:t>the</w:t>
      </w:r>
      <w:r>
        <w:rPr>
          <w:color w:val="231F20"/>
          <w:spacing w:val="17"/>
          <w:vertAlign w:val="baseline"/>
        </w:rPr>
        <w:t> </w:t>
      </w:r>
      <w:r>
        <w:rPr>
          <w:color w:val="231F20"/>
          <w:vertAlign w:val="baseline"/>
        </w:rPr>
        <w:t>transition</w:t>
      </w:r>
    </w:p>
    <w:p>
      <w:pPr>
        <w:spacing w:after="0" w:line="249" w:lineRule="auto"/>
        <w:jc w:val="both"/>
        <w:sectPr>
          <w:headerReference w:type="default" r:id="rId12"/>
          <w:headerReference w:type="even" r:id="rId13"/>
          <w:pgSz w:w="10890" w:h="14860"/>
          <w:pgMar w:header="713" w:footer="0" w:top="900" w:bottom="280" w:left="460" w:right="600"/>
          <w:pgNumType w:start="67"/>
        </w:sectPr>
      </w:pPr>
    </w:p>
    <w:p>
      <w:pPr>
        <w:pStyle w:val="BodyText"/>
        <w:spacing w:before="159"/>
      </w:pPr>
    </w:p>
    <w:p>
      <w:pPr>
        <w:pStyle w:val="BodyText"/>
        <w:spacing w:line="249" w:lineRule="auto"/>
        <w:ind w:left="353" w:right="622"/>
        <w:jc w:val="both"/>
      </w:pPr>
      <w:r>
        <w:rPr>
          <w:color w:val="231F20"/>
        </w:rPr>
        <w:t>zone. The cusps are visible in transverse section also (Fig. 1b). For the first time cusps had been found in titanium-aluminide joint [2]. The depth of their penetration from one material to another is about tens of microns. The cusps are believed to be the typical inhomogeneities of the interface which play an important role in the adhesion of materials. Profilometer was used to measure the surface roughness of metals prepared for welding. The average roughness is approximately 0.61 µm for tantalum and 0.41 µm for copper. It means the size of cusps on the surfaces after welding is 10-20 times greater than the initial roughness.</w:t>
      </w:r>
    </w:p>
    <w:p>
      <w:pPr>
        <w:pStyle w:val="BodyText"/>
        <w:spacing w:before="8"/>
        <w:rPr>
          <w:sz w:val="18"/>
        </w:rPr>
      </w:pPr>
      <w:r>
        <w:rPr/>
        <w:drawing>
          <wp:anchor distT="0" distB="0" distL="0" distR="0" allowOverlap="1" layoutInCell="1" locked="0" behindDoc="1" simplePos="0" relativeHeight="487591936">
            <wp:simplePos x="0" y="0"/>
            <wp:positionH relativeFrom="page">
              <wp:posOffset>516610</wp:posOffset>
            </wp:positionH>
            <wp:positionV relativeFrom="paragraph">
              <wp:posOffset>152286</wp:posOffset>
            </wp:positionV>
            <wp:extent cx="5656305" cy="258775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656305" cy="2587752"/>
                    </a:xfrm>
                    <a:prstGeom prst="rect">
                      <a:avLst/>
                    </a:prstGeom>
                  </pic:spPr>
                </pic:pic>
              </a:graphicData>
            </a:graphic>
          </wp:anchor>
        </w:drawing>
      </w:r>
    </w:p>
    <w:p>
      <w:pPr>
        <w:spacing w:line="254" w:lineRule="auto" w:before="190"/>
        <w:ind w:left="353" w:right="737" w:hanging="1"/>
        <w:jc w:val="left"/>
        <w:rPr>
          <w:sz w:val="16"/>
        </w:rPr>
      </w:pPr>
      <w:r>
        <w:rPr>
          <w:color w:val="231F20"/>
          <w:position w:val="2"/>
          <w:sz w:val="16"/>
        </w:rPr>
        <w:t>Fig. 1.Sections of</w:t>
      </w:r>
      <w:r>
        <w:rPr>
          <w:color w:val="231F20"/>
          <w:spacing w:val="-1"/>
          <w:position w:val="2"/>
          <w:sz w:val="16"/>
        </w:rPr>
        <w:t> </w:t>
      </w:r>
      <w:r>
        <w:rPr>
          <w:color w:val="231F20"/>
          <w:position w:val="2"/>
          <w:sz w:val="16"/>
        </w:rPr>
        <w:t>the</w:t>
      </w:r>
      <w:r>
        <w:rPr>
          <w:color w:val="231F20"/>
          <w:spacing w:val="-2"/>
          <w:position w:val="2"/>
          <w:sz w:val="16"/>
        </w:rPr>
        <w:t> </w:t>
      </w:r>
      <w:r>
        <w:rPr>
          <w:color w:val="231F20"/>
          <w:position w:val="2"/>
          <w:sz w:val="16"/>
        </w:rPr>
        <w:t>interface</w:t>
      </w:r>
      <w:r>
        <w:rPr>
          <w:color w:val="231F20"/>
          <w:spacing w:val="-2"/>
          <w:position w:val="2"/>
          <w:sz w:val="16"/>
        </w:rPr>
        <w:t> </w:t>
      </w:r>
      <w:r>
        <w:rPr>
          <w:color w:val="231F20"/>
          <w:position w:val="2"/>
          <w:sz w:val="16"/>
        </w:rPr>
        <w:t>in (C</w:t>
      </w:r>
      <w:r>
        <w:rPr>
          <w:color w:val="231F20"/>
          <w:sz w:val="10"/>
        </w:rPr>
        <w:t>p</w:t>
      </w:r>
      <w:r>
        <w:rPr>
          <w:color w:val="231F20"/>
          <w:position w:val="2"/>
          <w:sz w:val="16"/>
        </w:rPr>
        <w:t>)</w:t>
      </w:r>
      <w:r>
        <w:rPr>
          <w:color w:val="231F20"/>
          <w:spacing w:val="-4"/>
          <w:position w:val="2"/>
          <w:sz w:val="16"/>
        </w:rPr>
        <w:t> </w:t>
      </w:r>
      <w:r>
        <w:rPr>
          <w:color w:val="231F20"/>
          <w:position w:val="2"/>
          <w:sz w:val="16"/>
        </w:rPr>
        <w:t>copper-tantalum</w:t>
      </w:r>
      <w:r>
        <w:rPr>
          <w:color w:val="231F20"/>
          <w:spacing w:val="-3"/>
          <w:position w:val="2"/>
          <w:sz w:val="16"/>
        </w:rPr>
        <w:t> </w:t>
      </w:r>
      <w:r>
        <w:rPr>
          <w:color w:val="231F20"/>
          <w:position w:val="2"/>
          <w:sz w:val="16"/>
        </w:rPr>
        <w:t>joint (SEM):</w:t>
      </w:r>
      <w:r>
        <w:rPr>
          <w:color w:val="231F20"/>
          <w:spacing w:val="-2"/>
          <w:position w:val="2"/>
          <w:sz w:val="16"/>
        </w:rPr>
        <w:t> </w:t>
      </w:r>
      <w:r>
        <w:rPr>
          <w:color w:val="231F20"/>
          <w:position w:val="2"/>
          <w:sz w:val="16"/>
        </w:rPr>
        <w:t>(a)</w:t>
      </w:r>
      <w:r>
        <w:rPr>
          <w:color w:val="231F20"/>
          <w:spacing w:val="-1"/>
          <w:position w:val="2"/>
          <w:sz w:val="16"/>
        </w:rPr>
        <w:t> </w:t>
      </w:r>
      <w:r>
        <w:rPr>
          <w:color w:val="231F20"/>
          <w:position w:val="2"/>
          <w:sz w:val="16"/>
        </w:rPr>
        <w:t>longitudinal</w:t>
      </w:r>
      <w:r>
        <w:rPr>
          <w:color w:val="231F20"/>
          <w:spacing w:val="-2"/>
          <w:position w:val="2"/>
          <w:sz w:val="16"/>
        </w:rPr>
        <w:t> </w:t>
      </w:r>
      <w:r>
        <w:rPr>
          <w:color w:val="231F20"/>
          <w:position w:val="2"/>
          <w:sz w:val="16"/>
        </w:rPr>
        <w:t>section, white</w:t>
      </w:r>
      <w:r>
        <w:rPr>
          <w:color w:val="231F20"/>
          <w:spacing w:val="-2"/>
          <w:position w:val="2"/>
          <w:sz w:val="16"/>
        </w:rPr>
        <w:t> </w:t>
      </w:r>
      <w:r>
        <w:rPr>
          <w:color w:val="231F20"/>
          <w:position w:val="2"/>
          <w:sz w:val="16"/>
        </w:rPr>
        <w:t>spots</w:t>
      </w:r>
      <w:r>
        <w:rPr>
          <w:color w:val="231F20"/>
          <w:spacing w:val="-3"/>
          <w:position w:val="2"/>
          <w:sz w:val="16"/>
        </w:rPr>
        <w:t> </w:t>
      </w:r>
      <w:r>
        <w:rPr>
          <w:color w:val="231F20"/>
          <w:position w:val="2"/>
          <w:sz w:val="16"/>
        </w:rPr>
        <w:t>correspond</w:t>
      </w:r>
      <w:r>
        <w:rPr>
          <w:color w:val="231F20"/>
          <w:spacing w:val="-2"/>
          <w:position w:val="2"/>
          <w:sz w:val="16"/>
        </w:rPr>
        <w:t> </w:t>
      </w:r>
      <w:r>
        <w:rPr>
          <w:color w:val="231F20"/>
          <w:position w:val="2"/>
          <w:sz w:val="16"/>
        </w:rPr>
        <w:t>to</w:t>
      </w:r>
      <w:r>
        <w:rPr>
          <w:color w:val="231F20"/>
          <w:spacing w:val="-2"/>
          <w:position w:val="2"/>
          <w:sz w:val="16"/>
        </w:rPr>
        <w:t> </w:t>
      </w:r>
      <w:r>
        <w:rPr>
          <w:color w:val="231F20"/>
          <w:position w:val="2"/>
          <w:sz w:val="16"/>
        </w:rPr>
        <w:t>Ta;</w:t>
      </w:r>
      <w:r>
        <w:rPr>
          <w:color w:val="231F20"/>
          <w:spacing w:val="-2"/>
          <w:position w:val="2"/>
          <w:sz w:val="16"/>
        </w:rPr>
        <w:t> </w:t>
      </w:r>
      <w:r>
        <w:rPr>
          <w:color w:val="231F20"/>
          <w:position w:val="2"/>
          <w:sz w:val="16"/>
        </w:rPr>
        <w:t>blue</w:t>
      </w:r>
      <w:r>
        <w:rPr>
          <w:color w:val="231F20"/>
          <w:spacing w:val="-2"/>
          <w:position w:val="2"/>
          <w:sz w:val="16"/>
        </w:rPr>
        <w:t> </w:t>
      </w:r>
      <w:r>
        <w:rPr>
          <w:color w:val="231F20"/>
          <w:position w:val="2"/>
          <w:sz w:val="16"/>
        </w:rPr>
        <w:t>spots</w:t>
      </w:r>
      <w:r>
        <w:rPr>
          <w:color w:val="231F20"/>
          <w:spacing w:val="-3"/>
          <w:position w:val="2"/>
          <w:sz w:val="16"/>
        </w:rPr>
        <w:t> </w:t>
      </w:r>
      <w:r>
        <w:rPr>
          <w:color w:val="231F20"/>
          <w:position w:val="2"/>
          <w:sz w:val="16"/>
        </w:rPr>
        <w:t>to</w:t>
      </w:r>
      <w:r>
        <w:rPr>
          <w:color w:val="231F20"/>
          <w:spacing w:val="40"/>
          <w:position w:val="2"/>
          <w:sz w:val="16"/>
        </w:rPr>
        <w:t> </w:t>
      </w:r>
      <w:r>
        <w:rPr>
          <w:color w:val="231F20"/>
          <w:sz w:val="16"/>
        </w:rPr>
        <w:t>Cu; intermediate spots to a mixture of Ta and Cu; (b) transverse section, cusps of three shades</w:t>
      </w:r>
    </w:p>
    <w:p>
      <w:pPr>
        <w:pStyle w:val="BodyText"/>
        <w:spacing w:before="55"/>
        <w:rPr>
          <w:sz w:val="16"/>
        </w:rPr>
      </w:pPr>
    </w:p>
    <w:p>
      <w:pPr>
        <w:pStyle w:val="BodyText"/>
        <w:spacing w:line="249" w:lineRule="auto"/>
        <w:ind w:left="353" w:right="622" w:firstLine="237"/>
        <w:jc w:val="both"/>
      </w:pPr>
      <w:r>
        <w:rPr>
          <w:color w:val="231F20"/>
        </w:rPr>
        <w:t>Chemical composition of three types of areas forming a transition zone was obtained by numerous SEM- measurements.</w:t>
      </w:r>
      <w:r>
        <w:rPr>
          <w:color w:val="231F20"/>
          <w:spacing w:val="-2"/>
        </w:rPr>
        <w:t> </w:t>
      </w:r>
      <w:r>
        <w:rPr>
          <w:color w:val="231F20"/>
        </w:rPr>
        <w:t>It</w:t>
      </w:r>
      <w:r>
        <w:rPr>
          <w:color w:val="231F20"/>
          <w:spacing w:val="-2"/>
        </w:rPr>
        <w:t> </w:t>
      </w:r>
      <w:r>
        <w:rPr>
          <w:color w:val="231F20"/>
        </w:rPr>
        <w:t>has</w:t>
      </w:r>
      <w:r>
        <w:rPr>
          <w:color w:val="231F20"/>
          <w:spacing w:val="-3"/>
        </w:rPr>
        <w:t> </w:t>
      </w:r>
      <w:r>
        <w:rPr>
          <w:color w:val="231F20"/>
        </w:rPr>
        <w:t>been</w:t>
      </w:r>
      <w:r>
        <w:rPr>
          <w:color w:val="231F20"/>
          <w:spacing w:val="-1"/>
        </w:rPr>
        <w:t> </w:t>
      </w:r>
      <w:r>
        <w:rPr>
          <w:color w:val="231F20"/>
        </w:rPr>
        <w:t>shown</w:t>
      </w:r>
      <w:r>
        <w:rPr>
          <w:color w:val="231F20"/>
          <w:spacing w:val="-1"/>
        </w:rPr>
        <w:t> </w:t>
      </w:r>
      <w:r>
        <w:rPr>
          <w:color w:val="231F20"/>
        </w:rPr>
        <w:t>that</w:t>
      </w:r>
      <w:r>
        <w:rPr>
          <w:color w:val="231F20"/>
          <w:spacing w:val="-2"/>
        </w:rPr>
        <w:t> </w:t>
      </w:r>
      <w:r>
        <w:rPr>
          <w:color w:val="231F20"/>
        </w:rPr>
        <w:t>the white shade</w:t>
      </w:r>
      <w:r>
        <w:rPr>
          <w:color w:val="231F20"/>
          <w:spacing w:val="-2"/>
        </w:rPr>
        <w:t> </w:t>
      </w:r>
      <w:r>
        <w:rPr>
          <w:color w:val="231F20"/>
        </w:rPr>
        <w:t>corresponds</w:t>
      </w:r>
      <w:r>
        <w:rPr>
          <w:color w:val="231F20"/>
          <w:spacing w:val="-3"/>
        </w:rPr>
        <w:t> </w:t>
      </w:r>
      <w:r>
        <w:rPr>
          <w:color w:val="231F20"/>
        </w:rPr>
        <w:t>to</w:t>
      </w:r>
      <w:r>
        <w:rPr>
          <w:color w:val="231F20"/>
          <w:spacing w:val="-2"/>
        </w:rPr>
        <w:t> </w:t>
      </w:r>
      <w:r>
        <w:rPr>
          <w:color w:val="231F20"/>
        </w:rPr>
        <w:t>the</w:t>
      </w:r>
      <w:r>
        <w:rPr>
          <w:color w:val="231F20"/>
          <w:spacing w:val="-2"/>
        </w:rPr>
        <w:t> </w:t>
      </w:r>
      <w:r>
        <w:rPr>
          <w:color w:val="231F20"/>
        </w:rPr>
        <w:t>zone</w:t>
      </w:r>
      <w:r>
        <w:rPr>
          <w:color w:val="231F20"/>
          <w:spacing w:val="-2"/>
        </w:rPr>
        <w:t> </w:t>
      </w:r>
      <w:r>
        <w:rPr>
          <w:color w:val="231F20"/>
        </w:rPr>
        <w:t>of</w:t>
      </w:r>
      <w:r>
        <w:rPr>
          <w:color w:val="231F20"/>
          <w:spacing w:val="-4"/>
        </w:rPr>
        <w:t> </w:t>
      </w:r>
      <w:r>
        <w:rPr>
          <w:color w:val="231F20"/>
        </w:rPr>
        <w:t>tantalum; the</w:t>
      </w:r>
      <w:r>
        <w:rPr>
          <w:color w:val="231F20"/>
          <w:spacing w:val="-2"/>
        </w:rPr>
        <w:t> </w:t>
      </w:r>
      <w:r>
        <w:rPr>
          <w:color w:val="231F20"/>
        </w:rPr>
        <w:t>black</w:t>
      </w:r>
      <w:r>
        <w:rPr>
          <w:color w:val="231F20"/>
          <w:spacing w:val="-3"/>
        </w:rPr>
        <w:t> </w:t>
      </w:r>
      <w:r>
        <w:rPr>
          <w:color w:val="231F20"/>
        </w:rPr>
        <w:t>shade,</w:t>
      </w:r>
      <w:r>
        <w:rPr>
          <w:color w:val="231F20"/>
          <w:spacing w:val="-2"/>
        </w:rPr>
        <w:t> </w:t>
      </w:r>
      <w:r>
        <w:rPr>
          <w:color w:val="231F20"/>
        </w:rPr>
        <w:t>to the zone of copper. Special attention was paid to regions having grey shade on SEM-micrographs ("grey</w:t>
      </w:r>
      <w:r>
        <w:rPr>
          <w:color w:val="231F20"/>
          <w:spacing w:val="40"/>
        </w:rPr>
        <w:t> </w:t>
      </w:r>
      <w:r>
        <w:rPr>
          <w:color w:val="231F20"/>
        </w:rPr>
        <w:t>zone" for short). To elucidate the structure of grey zone, Fig. 2 is extremely important, because it shows a longitudinal section of the transition zone obtained after the copper was completely etched away. Tantalum particles, poured out of the grey zone during copper etching, are visible on the surface of tantalum. A meltdown during the explosion welding of refractory metal such as tantalum possessing a melting point of about 3300 K is unlikely; thereby</w:t>
      </w:r>
      <w:r>
        <w:rPr>
          <w:color w:val="231F20"/>
          <w:spacing w:val="-1"/>
        </w:rPr>
        <w:t> </w:t>
      </w:r>
      <w:r>
        <w:rPr>
          <w:color w:val="231F20"/>
        </w:rPr>
        <w:t>the formation of particles occurs in the solid state. Therefore, the formation of tantalum particles can be a direct evidence of special type fragmentation [3, 5] which was named granulating fragmentation.</w:t>
      </w:r>
    </w:p>
    <w:p>
      <w:pPr>
        <w:pStyle w:val="BodyText"/>
        <w:spacing w:line="249" w:lineRule="auto" w:before="8"/>
        <w:ind w:left="353" w:right="621" w:firstLine="237"/>
        <w:jc w:val="both"/>
      </w:pPr>
      <w:r>
        <w:rPr>
          <w:color w:val="231F20"/>
        </w:rPr>
        <w:t>The zone will appear grey, if</w:t>
      </w:r>
      <w:r>
        <w:rPr>
          <w:color w:val="231F20"/>
          <w:spacing w:val="-2"/>
        </w:rPr>
        <w:t> </w:t>
      </w:r>
      <w:r>
        <w:rPr>
          <w:color w:val="231F20"/>
        </w:rPr>
        <w:t>the higher magnification</w:t>
      </w:r>
      <w:r>
        <w:rPr>
          <w:color w:val="231F20"/>
          <w:spacing w:val="-2"/>
        </w:rPr>
        <w:t> </w:t>
      </w:r>
      <w:r>
        <w:rPr>
          <w:color w:val="231F20"/>
        </w:rPr>
        <w:t>is</w:t>
      </w:r>
      <w:r>
        <w:rPr>
          <w:color w:val="231F20"/>
          <w:spacing w:val="-1"/>
        </w:rPr>
        <w:t> </w:t>
      </w:r>
      <w:r>
        <w:rPr>
          <w:color w:val="231F20"/>
        </w:rPr>
        <w:t>not used. In</w:t>
      </w:r>
      <w:r>
        <w:rPr>
          <w:color w:val="231F20"/>
          <w:spacing w:val="-2"/>
        </w:rPr>
        <w:t> </w:t>
      </w:r>
      <w:r>
        <w:rPr>
          <w:color w:val="231F20"/>
        </w:rPr>
        <w:t>the higher magnification micrographs (Fig. 3) is clearly visible microheterogeneous structure of the grey zone. In the bright-field image (Fig. 3b) a lot of dark particles are presented. Their dimensions are approximately 30-50 nm. In the diffraction pattern (Fig. 3c) a ring system consisting of individual reflections, belonging to tantalum, according to further identification, is observed. The strong point reflections belong to copper.</w:t>
      </w:r>
    </w:p>
    <w:p>
      <w:pPr>
        <w:pStyle w:val="BodyText"/>
        <w:spacing w:line="249" w:lineRule="auto" w:before="5"/>
        <w:ind w:left="353" w:right="621" w:firstLine="237"/>
        <w:jc w:val="both"/>
      </w:pPr>
      <w:r>
        <w:rPr>
          <w:color w:val="231F20"/>
        </w:rPr>
        <w:t>In addition to the grey zone the transition one contains zones of copper and tantalum. According to TEM analysis, these zones do not experience melting and have typical structure produced by severe plastic deformation. Cellular structure, stripped structure, high dislocation density and recrystallized areas are </w:t>
      </w:r>
      <w:r>
        <w:rPr>
          <w:color w:val="231F20"/>
          <w:spacing w:val="-2"/>
        </w:rPr>
        <w:t>observed.</w:t>
      </w:r>
    </w:p>
    <w:p>
      <w:pPr>
        <w:spacing w:after="0" w:line="249" w:lineRule="auto"/>
        <w:jc w:val="both"/>
        <w:sectPr>
          <w:pgSz w:w="10890" w:h="14860"/>
          <w:pgMar w:header="713" w:footer="0" w:top="900" w:bottom="280" w:left="460" w:right="600"/>
        </w:sectPr>
      </w:pPr>
    </w:p>
    <w:p>
      <w:pPr>
        <w:pStyle w:val="BodyText"/>
        <w:spacing w:before="159"/>
      </w:pPr>
    </w:p>
    <w:p>
      <w:pPr>
        <w:pStyle w:val="BodyText"/>
        <w:spacing w:line="249" w:lineRule="auto"/>
        <w:ind w:left="410" w:right="566" w:firstLine="237"/>
        <w:jc w:val="both"/>
      </w:pPr>
      <w:r>
        <w:rPr>
          <w:color w:val="231F20"/>
        </w:rPr>
        <w:t>The local melting zone (grey zone) is not a true solution, but it is a solidified colloidal solution of two immiscible</w:t>
      </w:r>
      <w:r>
        <w:rPr>
          <w:color w:val="231F20"/>
          <w:spacing w:val="-1"/>
        </w:rPr>
        <w:t> </w:t>
      </w:r>
      <w:r>
        <w:rPr>
          <w:color w:val="231F20"/>
        </w:rPr>
        <w:t>phases.</w:t>
      </w:r>
      <w:r>
        <w:rPr>
          <w:color w:val="231F20"/>
          <w:spacing w:val="-1"/>
        </w:rPr>
        <w:t> </w:t>
      </w:r>
      <w:r>
        <w:rPr>
          <w:color w:val="231F20"/>
        </w:rPr>
        <w:t>The</w:t>
      </w:r>
      <w:r>
        <w:rPr>
          <w:color w:val="231F20"/>
          <w:spacing w:val="-1"/>
        </w:rPr>
        <w:t> </w:t>
      </w:r>
      <w:r>
        <w:rPr>
          <w:color w:val="231F20"/>
        </w:rPr>
        <w:t>dispersed</w:t>
      </w:r>
      <w:r>
        <w:rPr>
          <w:color w:val="231F20"/>
          <w:spacing w:val="-1"/>
        </w:rPr>
        <w:t> </w:t>
      </w:r>
      <w:r>
        <w:rPr>
          <w:color w:val="231F20"/>
        </w:rPr>
        <w:t>phase</w:t>
      </w:r>
      <w:r>
        <w:rPr>
          <w:color w:val="231F20"/>
          <w:spacing w:val="-1"/>
        </w:rPr>
        <w:t> </w:t>
      </w:r>
      <w:r>
        <w:rPr>
          <w:color w:val="231F20"/>
        </w:rPr>
        <w:t>is</w:t>
      </w:r>
      <w:r>
        <w:rPr>
          <w:color w:val="231F20"/>
          <w:spacing w:val="-1"/>
        </w:rPr>
        <w:t> </w:t>
      </w:r>
      <w:r>
        <w:rPr>
          <w:color w:val="231F20"/>
        </w:rPr>
        <w:t>tantalum</w:t>
      </w:r>
      <w:r>
        <w:rPr>
          <w:color w:val="231F20"/>
          <w:spacing w:val="-2"/>
        </w:rPr>
        <w:t> </w:t>
      </w:r>
      <w:r>
        <w:rPr>
          <w:color w:val="231F20"/>
        </w:rPr>
        <w:t>nanoparticles with</w:t>
      </w:r>
      <w:r>
        <w:rPr>
          <w:color w:val="231F20"/>
          <w:spacing w:val="-2"/>
        </w:rPr>
        <w:t> </w:t>
      </w:r>
      <w:r>
        <w:rPr>
          <w:color w:val="231F20"/>
        </w:rPr>
        <w:t>linear</w:t>
      </w:r>
      <w:r>
        <w:rPr>
          <w:color w:val="231F20"/>
          <w:spacing w:val="-1"/>
        </w:rPr>
        <w:t> </w:t>
      </w:r>
      <w:r>
        <w:rPr>
          <w:color w:val="231F20"/>
        </w:rPr>
        <w:t>dimensions</w:t>
      </w:r>
      <w:r>
        <w:rPr>
          <w:color w:val="231F20"/>
          <w:spacing w:val="-1"/>
        </w:rPr>
        <w:t> </w:t>
      </w:r>
      <w:r>
        <w:rPr>
          <w:color w:val="231F20"/>
        </w:rPr>
        <w:t>considerably</w:t>
      </w:r>
      <w:r>
        <w:rPr>
          <w:color w:val="231F20"/>
          <w:spacing w:val="-4"/>
        </w:rPr>
        <w:t> </w:t>
      </w:r>
      <w:r>
        <w:rPr>
          <w:color w:val="231F20"/>
        </w:rPr>
        <w:t>smaller 100 nm, and a dispersion medium is a homogeneous material (copper) in which the dispersed phase is </w:t>
      </w:r>
      <w:r>
        <w:rPr>
          <w:color w:val="231F20"/>
          <w:spacing w:val="-2"/>
        </w:rPr>
        <w:t>distributed.</w:t>
      </w:r>
    </w:p>
    <w:p>
      <w:pPr>
        <w:tabs>
          <w:tab w:pos="5457" w:val="left" w:leader="none"/>
        </w:tabs>
        <w:spacing w:line="240" w:lineRule="auto"/>
        <w:ind w:left="844" w:right="0" w:firstLine="0"/>
        <w:rPr>
          <w:sz w:val="20"/>
        </w:rPr>
      </w:pPr>
      <w:r>
        <w:rPr>
          <w:sz w:val="20"/>
        </w:rPr>
        <w:drawing>
          <wp:inline distT="0" distB="0" distL="0" distR="0">
            <wp:extent cx="2250979" cy="206654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2250979" cy="2066544"/>
                    </a:xfrm>
                    <a:prstGeom prst="rect">
                      <a:avLst/>
                    </a:prstGeom>
                  </pic:spPr>
                </pic:pic>
              </a:graphicData>
            </a:graphic>
          </wp:inline>
        </w:drawing>
      </w:r>
      <w:r>
        <w:rPr>
          <w:sz w:val="20"/>
        </w:rPr>
      </w:r>
      <w:r>
        <w:rPr>
          <w:sz w:val="20"/>
        </w:rPr>
        <w:tab/>
      </w:r>
      <w:r>
        <w:rPr>
          <w:position w:val="1"/>
          <w:sz w:val="20"/>
        </w:rPr>
        <w:drawing>
          <wp:inline distT="0" distB="0" distL="0" distR="0">
            <wp:extent cx="1914489" cy="205740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1914489" cy="2057400"/>
                    </a:xfrm>
                    <a:prstGeom prst="rect">
                      <a:avLst/>
                    </a:prstGeom>
                  </pic:spPr>
                </pic:pic>
              </a:graphicData>
            </a:graphic>
          </wp:inline>
        </w:drawing>
      </w:r>
      <w:r>
        <w:rPr>
          <w:position w:val="1"/>
          <w:sz w:val="20"/>
        </w:rPr>
      </w:r>
    </w:p>
    <w:p>
      <w:pPr>
        <w:pStyle w:val="BodyText"/>
        <w:spacing w:before="3"/>
        <w:rPr>
          <w:sz w:val="9"/>
        </w:rPr>
      </w:pPr>
    </w:p>
    <w:p>
      <w:pPr>
        <w:spacing w:after="0"/>
        <w:rPr>
          <w:sz w:val="9"/>
        </w:rPr>
        <w:sectPr>
          <w:pgSz w:w="10890" w:h="14860"/>
          <w:pgMar w:header="713" w:footer="0" w:top="900" w:bottom="280" w:left="460" w:right="600"/>
        </w:sectPr>
      </w:pPr>
    </w:p>
    <w:p>
      <w:pPr>
        <w:spacing w:line="254" w:lineRule="auto" w:before="94"/>
        <w:ind w:left="597" w:right="170" w:hanging="1"/>
        <w:jc w:val="left"/>
        <w:rPr>
          <w:sz w:val="16"/>
        </w:rPr>
      </w:pPr>
      <w:r>
        <w:rPr>
          <w:color w:val="231F20"/>
          <w:position w:val="2"/>
          <w:sz w:val="16"/>
        </w:rPr>
        <w:t>Fig.</w:t>
      </w:r>
      <w:r>
        <w:rPr>
          <w:color w:val="231F20"/>
          <w:spacing w:val="-2"/>
          <w:position w:val="2"/>
          <w:sz w:val="16"/>
        </w:rPr>
        <w:t> </w:t>
      </w:r>
      <w:r>
        <w:rPr>
          <w:color w:val="231F20"/>
          <w:position w:val="2"/>
          <w:sz w:val="16"/>
        </w:rPr>
        <w:t>2.</w:t>
      </w:r>
      <w:r>
        <w:rPr>
          <w:color w:val="231F20"/>
          <w:spacing w:val="-2"/>
          <w:position w:val="2"/>
          <w:sz w:val="16"/>
        </w:rPr>
        <w:t> </w:t>
      </w:r>
      <w:r>
        <w:rPr>
          <w:color w:val="231F20"/>
          <w:position w:val="2"/>
          <w:sz w:val="16"/>
        </w:rPr>
        <w:t>Longitudinal</w:t>
      </w:r>
      <w:r>
        <w:rPr>
          <w:color w:val="231F20"/>
          <w:spacing w:val="-4"/>
          <w:position w:val="2"/>
          <w:sz w:val="16"/>
        </w:rPr>
        <w:t> </w:t>
      </w:r>
      <w:r>
        <w:rPr>
          <w:color w:val="231F20"/>
          <w:position w:val="2"/>
          <w:sz w:val="16"/>
        </w:rPr>
        <w:t>section</w:t>
      </w:r>
      <w:r>
        <w:rPr>
          <w:color w:val="231F20"/>
          <w:spacing w:val="-1"/>
          <w:position w:val="2"/>
          <w:sz w:val="16"/>
        </w:rPr>
        <w:t> </w:t>
      </w:r>
      <w:r>
        <w:rPr>
          <w:color w:val="231F20"/>
          <w:position w:val="2"/>
          <w:sz w:val="16"/>
        </w:rPr>
        <w:t>of</w:t>
      </w:r>
      <w:r>
        <w:rPr>
          <w:color w:val="231F20"/>
          <w:spacing w:val="-6"/>
          <w:position w:val="2"/>
          <w:sz w:val="16"/>
        </w:rPr>
        <w:t> </w:t>
      </w:r>
      <w:r>
        <w:rPr>
          <w:color w:val="231F20"/>
          <w:position w:val="2"/>
          <w:sz w:val="16"/>
        </w:rPr>
        <w:t>a</w:t>
      </w:r>
      <w:r>
        <w:rPr>
          <w:color w:val="231F20"/>
          <w:spacing w:val="-4"/>
          <w:position w:val="2"/>
          <w:sz w:val="16"/>
        </w:rPr>
        <w:t> </w:t>
      </w:r>
      <w:r>
        <w:rPr>
          <w:color w:val="231F20"/>
          <w:position w:val="2"/>
          <w:sz w:val="16"/>
        </w:rPr>
        <w:t>Cu–Ta</w:t>
      </w:r>
      <w:r>
        <w:rPr>
          <w:color w:val="231F20"/>
          <w:spacing w:val="-2"/>
          <w:position w:val="2"/>
          <w:sz w:val="16"/>
        </w:rPr>
        <w:t> </w:t>
      </w:r>
      <w:r>
        <w:rPr>
          <w:color w:val="231F20"/>
          <w:position w:val="2"/>
          <w:sz w:val="16"/>
        </w:rPr>
        <w:t>interface</w:t>
      </w:r>
      <w:r>
        <w:rPr>
          <w:color w:val="231F20"/>
          <w:spacing w:val="-4"/>
          <w:position w:val="2"/>
          <w:sz w:val="16"/>
        </w:rPr>
        <w:t> </w:t>
      </w:r>
      <w:r>
        <w:rPr>
          <w:color w:val="231F20"/>
          <w:position w:val="2"/>
          <w:sz w:val="16"/>
        </w:rPr>
        <w:t>in</w:t>
      </w:r>
      <w:r>
        <w:rPr>
          <w:color w:val="231F20"/>
          <w:spacing w:val="-4"/>
          <w:position w:val="2"/>
          <w:sz w:val="16"/>
        </w:rPr>
        <w:t> </w:t>
      </w:r>
      <w:r>
        <w:rPr>
          <w:color w:val="231F20"/>
          <w:position w:val="2"/>
          <w:sz w:val="16"/>
        </w:rPr>
        <w:t>(C</w:t>
      </w:r>
      <w:r>
        <w:rPr>
          <w:color w:val="231F20"/>
          <w:sz w:val="10"/>
        </w:rPr>
        <w:t>p</w:t>
      </w:r>
      <w:r>
        <w:rPr>
          <w:color w:val="231F20"/>
          <w:position w:val="2"/>
          <w:sz w:val="16"/>
        </w:rPr>
        <w:t>)</w:t>
      </w:r>
      <w:r>
        <w:rPr>
          <w:color w:val="231F20"/>
          <w:spacing w:val="40"/>
          <w:position w:val="2"/>
          <w:sz w:val="16"/>
        </w:rPr>
        <w:t> </w:t>
      </w:r>
      <w:r>
        <w:rPr>
          <w:color w:val="231F20"/>
          <w:sz w:val="16"/>
        </w:rPr>
        <w:t>copper-tantalum joint with copper etched away (SEM)</w:t>
      </w:r>
    </w:p>
    <w:p>
      <w:pPr>
        <w:spacing w:before="94"/>
        <w:ind w:left="425" w:right="0" w:firstLine="0"/>
        <w:jc w:val="left"/>
        <w:rPr>
          <w:sz w:val="16"/>
        </w:rPr>
      </w:pPr>
      <w:r>
        <w:rPr/>
        <w:br w:type="column"/>
      </w:r>
      <w:r>
        <w:rPr>
          <w:color w:val="231F20"/>
          <w:position w:val="2"/>
          <w:sz w:val="16"/>
        </w:rPr>
        <w:t>Fig.</w:t>
      </w:r>
      <w:r>
        <w:rPr>
          <w:color w:val="231F20"/>
          <w:spacing w:val="-2"/>
          <w:position w:val="2"/>
          <w:sz w:val="16"/>
        </w:rPr>
        <w:t> </w:t>
      </w:r>
      <w:r>
        <w:rPr>
          <w:color w:val="231F20"/>
          <w:position w:val="2"/>
          <w:sz w:val="16"/>
        </w:rPr>
        <w:t>3.</w:t>
      </w:r>
      <w:r>
        <w:rPr>
          <w:color w:val="231F20"/>
          <w:spacing w:val="-3"/>
          <w:position w:val="2"/>
          <w:sz w:val="16"/>
        </w:rPr>
        <w:t> </w:t>
      </w:r>
      <w:r>
        <w:rPr>
          <w:color w:val="231F20"/>
          <w:position w:val="2"/>
          <w:sz w:val="16"/>
        </w:rPr>
        <w:t>Microstructure</w:t>
      </w:r>
      <w:r>
        <w:rPr>
          <w:color w:val="231F20"/>
          <w:spacing w:val="-3"/>
          <w:position w:val="2"/>
          <w:sz w:val="16"/>
        </w:rPr>
        <w:t> </w:t>
      </w:r>
      <w:r>
        <w:rPr>
          <w:color w:val="231F20"/>
          <w:position w:val="2"/>
          <w:sz w:val="16"/>
        </w:rPr>
        <w:t>of</w:t>
      </w:r>
      <w:r>
        <w:rPr>
          <w:color w:val="231F20"/>
          <w:spacing w:val="-2"/>
          <w:position w:val="2"/>
          <w:sz w:val="16"/>
        </w:rPr>
        <w:t> </w:t>
      </w:r>
      <w:r>
        <w:rPr>
          <w:color w:val="231F20"/>
          <w:position w:val="2"/>
          <w:sz w:val="16"/>
        </w:rPr>
        <w:t>the</w:t>
      </w:r>
      <w:r>
        <w:rPr>
          <w:color w:val="231F20"/>
          <w:spacing w:val="-3"/>
          <w:position w:val="2"/>
          <w:sz w:val="16"/>
        </w:rPr>
        <w:t> </w:t>
      </w:r>
      <w:r>
        <w:rPr>
          <w:color w:val="231F20"/>
          <w:position w:val="2"/>
          <w:sz w:val="16"/>
        </w:rPr>
        <w:t>grey</w:t>
      </w:r>
      <w:r>
        <w:rPr>
          <w:color w:val="231F20"/>
          <w:spacing w:val="-5"/>
          <w:position w:val="2"/>
          <w:sz w:val="16"/>
        </w:rPr>
        <w:t> </w:t>
      </w:r>
      <w:r>
        <w:rPr>
          <w:color w:val="231F20"/>
          <w:position w:val="2"/>
          <w:sz w:val="16"/>
        </w:rPr>
        <w:t>zone</w:t>
      </w:r>
      <w:r>
        <w:rPr>
          <w:color w:val="231F20"/>
          <w:spacing w:val="-3"/>
          <w:position w:val="2"/>
          <w:sz w:val="16"/>
        </w:rPr>
        <w:t> </w:t>
      </w:r>
      <w:r>
        <w:rPr>
          <w:color w:val="231F20"/>
          <w:position w:val="2"/>
          <w:sz w:val="16"/>
        </w:rPr>
        <w:t>in</w:t>
      </w:r>
      <w:r>
        <w:rPr>
          <w:color w:val="231F20"/>
          <w:spacing w:val="-1"/>
          <w:position w:val="2"/>
          <w:sz w:val="16"/>
        </w:rPr>
        <w:t> </w:t>
      </w:r>
      <w:r>
        <w:rPr>
          <w:color w:val="231F20"/>
          <w:position w:val="2"/>
          <w:sz w:val="16"/>
        </w:rPr>
        <w:t>(C</w:t>
      </w:r>
      <w:r>
        <w:rPr>
          <w:color w:val="231F20"/>
          <w:sz w:val="10"/>
        </w:rPr>
        <w:t>p</w:t>
      </w:r>
      <w:r>
        <w:rPr>
          <w:color w:val="231F20"/>
          <w:position w:val="2"/>
          <w:sz w:val="16"/>
        </w:rPr>
        <w:t>)</w:t>
      </w:r>
      <w:r>
        <w:rPr>
          <w:color w:val="231F20"/>
          <w:spacing w:val="-5"/>
          <w:position w:val="2"/>
          <w:sz w:val="16"/>
        </w:rPr>
        <w:t> </w:t>
      </w:r>
      <w:r>
        <w:rPr>
          <w:color w:val="231F20"/>
          <w:position w:val="2"/>
          <w:sz w:val="16"/>
        </w:rPr>
        <w:t>Cu–Ta</w:t>
      </w:r>
      <w:r>
        <w:rPr>
          <w:color w:val="231F20"/>
          <w:spacing w:val="-3"/>
          <w:position w:val="2"/>
          <w:sz w:val="16"/>
        </w:rPr>
        <w:t> </w:t>
      </w:r>
      <w:r>
        <w:rPr>
          <w:color w:val="231F20"/>
          <w:spacing w:val="-2"/>
          <w:position w:val="2"/>
          <w:sz w:val="16"/>
        </w:rPr>
        <w:t>interface:</w:t>
      </w:r>
    </w:p>
    <w:p>
      <w:pPr>
        <w:spacing w:line="259" w:lineRule="auto" w:before="11"/>
        <w:ind w:left="425" w:right="641" w:firstLine="0"/>
        <w:jc w:val="left"/>
        <w:rPr>
          <w:sz w:val="16"/>
        </w:rPr>
      </w:pPr>
      <w:r>
        <w:rPr>
          <w:color w:val="231F20"/>
          <w:sz w:val="16"/>
        </w:rPr>
        <w:t>(a)</w:t>
      </w:r>
      <w:r>
        <w:rPr>
          <w:color w:val="231F20"/>
          <w:spacing w:val="-5"/>
          <w:sz w:val="16"/>
        </w:rPr>
        <w:t> </w:t>
      </w:r>
      <w:r>
        <w:rPr>
          <w:color w:val="231F20"/>
          <w:sz w:val="16"/>
        </w:rPr>
        <w:t>(SEM);</w:t>
      </w:r>
      <w:r>
        <w:rPr>
          <w:color w:val="231F20"/>
          <w:spacing w:val="-4"/>
          <w:sz w:val="16"/>
        </w:rPr>
        <w:t> </w:t>
      </w:r>
      <w:r>
        <w:rPr>
          <w:color w:val="231F20"/>
          <w:sz w:val="16"/>
        </w:rPr>
        <w:t>(b)</w:t>
      </w:r>
      <w:r>
        <w:rPr>
          <w:color w:val="231F20"/>
          <w:spacing w:val="-7"/>
          <w:sz w:val="16"/>
        </w:rPr>
        <w:t> </w:t>
      </w:r>
      <w:r>
        <w:rPr>
          <w:color w:val="231F20"/>
          <w:sz w:val="16"/>
        </w:rPr>
        <w:t>bright-field</w:t>
      </w:r>
      <w:r>
        <w:rPr>
          <w:color w:val="231F20"/>
          <w:spacing w:val="-3"/>
          <w:sz w:val="16"/>
        </w:rPr>
        <w:t> </w:t>
      </w:r>
      <w:r>
        <w:rPr>
          <w:color w:val="231F20"/>
          <w:sz w:val="16"/>
        </w:rPr>
        <w:t>image</w:t>
      </w:r>
      <w:r>
        <w:rPr>
          <w:color w:val="231F20"/>
          <w:spacing w:val="-5"/>
          <w:sz w:val="16"/>
        </w:rPr>
        <w:t> </w:t>
      </w:r>
      <w:r>
        <w:rPr>
          <w:color w:val="231F20"/>
          <w:sz w:val="16"/>
        </w:rPr>
        <w:t>(TEM),</w:t>
      </w:r>
      <w:r>
        <w:rPr>
          <w:color w:val="231F20"/>
          <w:spacing w:val="-4"/>
          <w:sz w:val="16"/>
        </w:rPr>
        <w:t> </w:t>
      </w:r>
      <w:r>
        <w:rPr>
          <w:color w:val="231F20"/>
          <w:sz w:val="16"/>
        </w:rPr>
        <w:t>(c)</w:t>
      </w:r>
      <w:r>
        <w:rPr>
          <w:color w:val="231F20"/>
          <w:spacing w:val="-7"/>
          <w:sz w:val="16"/>
        </w:rPr>
        <w:t> </w:t>
      </w:r>
      <w:r>
        <w:rPr>
          <w:color w:val="231F20"/>
          <w:sz w:val="16"/>
        </w:rPr>
        <w:t>microdiffraction</w:t>
      </w:r>
      <w:r>
        <w:rPr>
          <w:color w:val="231F20"/>
          <w:spacing w:val="40"/>
          <w:sz w:val="16"/>
        </w:rPr>
        <w:t> </w:t>
      </w:r>
      <w:r>
        <w:rPr>
          <w:color w:val="231F20"/>
          <w:sz w:val="16"/>
        </w:rPr>
        <w:t>pattern (TEM)</w:t>
      </w:r>
    </w:p>
    <w:p>
      <w:pPr>
        <w:spacing w:after="0" w:line="259" w:lineRule="auto"/>
        <w:jc w:val="left"/>
        <w:rPr>
          <w:sz w:val="16"/>
        </w:rPr>
        <w:sectPr>
          <w:type w:val="continuous"/>
          <w:pgSz w:w="10890" w:h="14860"/>
          <w:pgMar w:header="713" w:footer="0" w:top="780" w:bottom="280" w:left="460" w:right="600"/>
          <w:cols w:num="2" w:equalWidth="0">
            <w:col w:w="4380" w:space="40"/>
            <w:col w:w="5410"/>
          </w:cols>
        </w:sectPr>
      </w:pPr>
    </w:p>
    <w:p>
      <w:pPr>
        <w:pStyle w:val="BodyText"/>
      </w:pPr>
    </w:p>
    <w:p>
      <w:pPr>
        <w:pStyle w:val="BodyText"/>
        <w:spacing w:before="15"/>
      </w:pPr>
    </w:p>
    <w:p>
      <w:pPr>
        <w:pStyle w:val="ListParagraph"/>
        <w:numPr>
          <w:ilvl w:val="1"/>
          <w:numId w:val="1"/>
        </w:numPr>
        <w:tabs>
          <w:tab w:pos="764" w:val="left" w:leader="none"/>
        </w:tabs>
        <w:spacing w:line="240" w:lineRule="auto" w:before="0" w:after="0"/>
        <w:ind w:left="764" w:right="0" w:hanging="354"/>
        <w:jc w:val="left"/>
        <w:rPr>
          <w:i/>
          <w:sz w:val="20"/>
        </w:rPr>
      </w:pPr>
      <w:r>
        <w:rPr>
          <w:i/>
          <w:color w:val="231F20"/>
          <w:sz w:val="20"/>
        </w:rPr>
        <w:t>(E</w:t>
      </w:r>
      <w:r>
        <w:rPr>
          <w:i/>
          <w:color w:val="231F20"/>
          <w:sz w:val="20"/>
          <w:vertAlign w:val="subscript"/>
        </w:rPr>
        <w:t>p</w:t>
      </w:r>
      <w:r>
        <w:rPr>
          <w:i/>
          <w:color w:val="231F20"/>
          <w:sz w:val="20"/>
          <w:vertAlign w:val="baseline"/>
        </w:rPr>
        <w:t>)</w:t>
      </w:r>
      <w:r>
        <w:rPr>
          <w:i/>
          <w:color w:val="231F20"/>
          <w:spacing w:val="-5"/>
          <w:sz w:val="20"/>
          <w:vertAlign w:val="baseline"/>
        </w:rPr>
        <w:t> </w:t>
      </w:r>
      <w:r>
        <w:rPr>
          <w:i/>
          <w:color w:val="231F20"/>
          <w:sz w:val="20"/>
          <w:vertAlign w:val="baseline"/>
        </w:rPr>
        <w:t>aluminum-tantalum</w:t>
      </w:r>
      <w:r>
        <w:rPr>
          <w:i/>
          <w:color w:val="231F20"/>
          <w:spacing w:val="-3"/>
          <w:sz w:val="20"/>
          <w:vertAlign w:val="baseline"/>
        </w:rPr>
        <w:t> </w:t>
      </w:r>
      <w:r>
        <w:rPr>
          <w:i/>
          <w:color w:val="231F20"/>
          <w:sz w:val="20"/>
          <w:vertAlign w:val="baseline"/>
        </w:rPr>
        <w:t>joint</w:t>
      </w:r>
      <w:r>
        <w:rPr>
          <w:i/>
          <w:color w:val="231F20"/>
          <w:spacing w:val="-7"/>
          <w:sz w:val="20"/>
          <w:vertAlign w:val="baseline"/>
        </w:rPr>
        <w:t> </w:t>
      </w:r>
      <w:r>
        <w:rPr>
          <w:i/>
          <w:color w:val="231F20"/>
          <w:sz w:val="20"/>
          <w:vertAlign w:val="baseline"/>
        </w:rPr>
        <w:t>(waveless</w:t>
      </w:r>
      <w:r>
        <w:rPr>
          <w:i/>
          <w:color w:val="231F20"/>
          <w:spacing w:val="-5"/>
          <w:sz w:val="20"/>
          <w:vertAlign w:val="baseline"/>
        </w:rPr>
        <w:t> </w:t>
      </w:r>
      <w:r>
        <w:rPr>
          <w:i/>
          <w:color w:val="231F20"/>
          <w:spacing w:val="-2"/>
          <w:sz w:val="20"/>
          <w:vertAlign w:val="baseline"/>
        </w:rPr>
        <w:t>interface)</w:t>
      </w:r>
    </w:p>
    <w:p>
      <w:pPr>
        <w:pStyle w:val="BodyText"/>
        <w:spacing w:before="20"/>
        <w:rPr>
          <w:i/>
        </w:rPr>
      </w:pPr>
    </w:p>
    <w:p>
      <w:pPr>
        <w:pStyle w:val="BodyText"/>
        <w:spacing w:line="249" w:lineRule="auto"/>
        <w:ind w:left="410" w:right="566" w:firstLine="237"/>
        <w:jc w:val="both"/>
      </w:pPr>
      <w:r>
        <w:rPr>
          <w:color w:val="231F20"/>
        </w:rPr>
        <w:t>Explosive welding was carried out near lower limit of domain of weldability. The longitudinal section of the transition</w:t>
      </w:r>
      <w:r>
        <w:rPr>
          <w:color w:val="231F20"/>
          <w:spacing w:val="-1"/>
        </w:rPr>
        <w:t> </w:t>
      </w:r>
      <w:r>
        <w:rPr>
          <w:color w:val="231F20"/>
        </w:rPr>
        <w:t>zone in</w:t>
      </w:r>
      <w:r>
        <w:rPr>
          <w:color w:val="231F20"/>
          <w:spacing w:val="-1"/>
        </w:rPr>
        <w:t> </w:t>
      </w:r>
      <w:r>
        <w:rPr>
          <w:color w:val="231F20"/>
        </w:rPr>
        <w:t>(E</w:t>
      </w:r>
      <w:r>
        <w:rPr>
          <w:color w:val="231F20"/>
          <w:vertAlign w:val="subscript"/>
        </w:rPr>
        <w:t>p</w:t>
      </w:r>
      <w:r>
        <w:rPr>
          <w:color w:val="231F20"/>
          <w:vertAlign w:val="baseline"/>
        </w:rPr>
        <w:t>) joint of</w:t>
      </w:r>
      <w:r>
        <w:rPr>
          <w:color w:val="231F20"/>
          <w:spacing w:val="-1"/>
          <w:vertAlign w:val="baseline"/>
        </w:rPr>
        <w:t> </w:t>
      </w:r>
      <w:r>
        <w:rPr>
          <w:color w:val="231F20"/>
          <w:vertAlign w:val="baseline"/>
        </w:rPr>
        <w:t>aluminum-tantalum metals, possessing</w:t>
      </w:r>
      <w:r>
        <w:rPr>
          <w:color w:val="231F20"/>
          <w:spacing w:val="-1"/>
          <w:vertAlign w:val="baseline"/>
        </w:rPr>
        <w:t> </w:t>
      </w:r>
      <w:r>
        <w:rPr>
          <w:color w:val="231F20"/>
          <w:vertAlign w:val="baseline"/>
        </w:rPr>
        <w:t>normal mutual solubility, is given</w:t>
      </w:r>
      <w:r>
        <w:rPr>
          <w:color w:val="231F20"/>
          <w:spacing w:val="-1"/>
          <w:vertAlign w:val="baseline"/>
        </w:rPr>
        <w:t> </w:t>
      </w:r>
      <w:r>
        <w:rPr>
          <w:color w:val="231F20"/>
          <w:vertAlign w:val="baseline"/>
        </w:rPr>
        <w:t>in Fig. 4. Like in (C</w:t>
      </w:r>
      <w:r>
        <w:rPr>
          <w:color w:val="231F20"/>
          <w:vertAlign w:val="subscript"/>
        </w:rPr>
        <w:t>p</w:t>
      </w:r>
      <w:r>
        <w:rPr>
          <w:color w:val="231F20"/>
          <w:vertAlign w:val="baseline"/>
        </w:rPr>
        <w:t>) joint, the transition zone is composed by randomly distributed regions of three types: aluminum, tantalum, and grey</w:t>
      </w:r>
      <w:r>
        <w:rPr>
          <w:color w:val="231F20"/>
          <w:spacing w:val="-1"/>
          <w:vertAlign w:val="baseline"/>
        </w:rPr>
        <w:t> </w:t>
      </w:r>
      <w:r>
        <w:rPr>
          <w:color w:val="231F20"/>
          <w:vertAlign w:val="baseline"/>
        </w:rPr>
        <w:t>zone containing</w:t>
      </w:r>
      <w:r>
        <w:rPr>
          <w:color w:val="231F20"/>
          <w:spacing w:val="-1"/>
          <w:vertAlign w:val="baseline"/>
        </w:rPr>
        <w:t> </w:t>
      </w:r>
      <w:r>
        <w:rPr>
          <w:color w:val="231F20"/>
          <w:vertAlign w:val="baseline"/>
        </w:rPr>
        <w:t>both</w:t>
      </w:r>
      <w:r>
        <w:rPr>
          <w:color w:val="231F20"/>
          <w:spacing w:val="-1"/>
          <w:vertAlign w:val="baseline"/>
        </w:rPr>
        <w:t> </w:t>
      </w:r>
      <w:r>
        <w:rPr>
          <w:color w:val="231F20"/>
          <w:vertAlign w:val="baseline"/>
        </w:rPr>
        <w:t>of metals. In</w:t>
      </w:r>
      <w:r>
        <w:rPr>
          <w:color w:val="231F20"/>
          <w:spacing w:val="-1"/>
          <w:vertAlign w:val="baseline"/>
        </w:rPr>
        <w:t> </w:t>
      </w:r>
      <w:r>
        <w:rPr>
          <w:color w:val="231F20"/>
          <w:vertAlign w:val="baseline"/>
        </w:rPr>
        <w:t>case of</w:t>
      </w:r>
      <w:r>
        <w:rPr>
          <w:color w:val="231F20"/>
          <w:spacing w:val="-1"/>
          <w:vertAlign w:val="baseline"/>
        </w:rPr>
        <w:t> </w:t>
      </w:r>
      <w:r>
        <w:rPr>
          <w:color w:val="231F20"/>
          <w:vertAlign w:val="baseline"/>
        </w:rPr>
        <w:t>cusps</w:t>
      </w:r>
      <w:r>
        <w:rPr>
          <w:color w:val="231F20"/>
          <w:spacing w:val="-1"/>
          <w:vertAlign w:val="baseline"/>
        </w:rPr>
        <w:t> </w:t>
      </w:r>
      <w:r>
        <w:rPr>
          <w:color w:val="231F20"/>
          <w:vertAlign w:val="baseline"/>
        </w:rPr>
        <w:t>appearing</w:t>
      </w:r>
      <w:r>
        <w:rPr>
          <w:color w:val="231F20"/>
          <w:spacing w:val="-1"/>
          <w:vertAlign w:val="baseline"/>
        </w:rPr>
        <w:t> </w:t>
      </w:r>
      <w:r>
        <w:rPr>
          <w:color w:val="231F20"/>
          <w:vertAlign w:val="baseline"/>
        </w:rPr>
        <w:t>(such</w:t>
      </w:r>
      <w:r>
        <w:rPr>
          <w:color w:val="231F20"/>
          <w:spacing w:val="-1"/>
          <w:vertAlign w:val="baseline"/>
        </w:rPr>
        <w:t> </w:t>
      </w:r>
      <w:r>
        <w:rPr>
          <w:color w:val="231F20"/>
          <w:vertAlign w:val="baseline"/>
        </w:rPr>
        <w:t>as</w:t>
      </w:r>
      <w:r>
        <w:rPr>
          <w:color w:val="231F20"/>
          <w:spacing w:val="-1"/>
          <w:vertAlign w:val="baseline"/>
        </w:rPr>
        <w:t> </w:t>
      </w:r>
      <w:r>
        <w:rPr>
          <w:color w:val="231F20"/>
          <w:vertAlign w:val="baseline"/>
        </w:rPr>
        <w:t>a cone with the acute or planarized apex) the surface does not remain smooth (Fig. 5).</w:t>
      </w:r>
    </w:p>
    <w:p>
      <w:pPr>
        <w:pStyle w:val="BodyText"/>
        <w:spacing w:before="8"/>
        <w:rPr>
          <w:sz w:val="18"/>
        </w:rPr>
      </w:pPr>
      <w:r>
        <w:rPr/>
        <w:drawing>
          <wp:anchor distT="0" distB="0" distL="0" distR="0" allowOverlap="1" layoutInCell="1" locked="0" behindDoc="1" simplePos="0" relativeHeight="487592448">
            <wp:simplePos x="0" y="0"/>
            <wp:positionH relativeFrom="page">
              <wp:posOffset>1271892</wp:posOffset>
            </wp:positionH>
            <wp:positionV relativeFrom="paragraph">
              <wp:posOffset>151775</wp:posOffset>
            </wp:positionV>
            <wp:extent cx="1667737" cy="144018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1667737" cy="1440180"/>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3987660</wp:posOffset>
            </wp:positionH>
            <wp:positionV relativeFrom="paragraph">
              <wp:posOffset>151775</wp:posOffset>
            </wp:positionV>
            <wp:extent cx="1573038" cy="144475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1573038" cy="1444752"/>
                    </a:xfrm>
                    <a:prstGeom prst="rect">
                      <a:avLst/>
                    </a:prstGeom>
                  </pic:spPr>
                </pic:pic>
              </a:graphicData>
            </a:graphic>
          </wp:anchor>
        </w:drawing>
      </w:r>
    </w:p>
    <w:p>
      <w:pPr>
        <w:pStyle w:val="BodyText"/>
        <w:spacing w:before="8"/>
        <w:rPr>
          <w:sz w:val="9"/>
        </w:rPr>
      </w:pPr>
    </w:p>
    <w:p>
      <w:pPr>
        <w:spacing w:after="0"/>
        <w:rPr>
          <w:sz w:val="9"/>
        </w:rPr>
        <w:sectPr>
          <w:type w:val="continuous"/>
          <w:pgSz w:w="10890" w:h="14860"/>
          <w:pgMar w:header="713" w:footer="0" w:top="780" w:bottom="280" w:left="460" w:right="600"/>
        </w:sectPr>
      </w:pPr>
    </w:p>
    <w:p>
      <w:pPr>
        <w:spacing w:line="254" w:lineRule="auto" w:before="93"/>
        <w:ind w:left="736" w:right="0" w:firstLine="0"/>
        <w:jc w:val="left"/>
        <w:rPr>
          <w:sz w:val="16"/>
        </w:rPr>
      </w:pPr>
      <w:r>
        <w:rPr>
          <w:color w:val="231F20"/>
          <w:position w:val="2"/>
          <w:sz w:val="16"/>
        </w:rPr>
        <w:t>Fig.</w:t>
      </w:r>
      <w:r>
        <w:rPr>
          <w:color w:val="231F20"/>
          <w:spacing w:val="-2"/>
          <w:position w:val="2"/>
          <w:sz w:val="16"/>
        </w:rPr>
        <w:t> </w:t>
      </w:r>
      <w:r>
        <w:rPr>
          <w:color w:val="231F20"/>
          <w:position w:val="2"/>
          <w:sz w:val="16"/>
        </w:rPr>
        <w:t>4.</w:t>
      </w:r>
      <w:r>
        <w:rPr>
          <w:color w:val="231F20"/>
          <w:spacing w:val="-2"/>
          <w:position w:val="2"/>
          <w:sz w:val="16"/>
        </w:rPr>
        <w:t> </w:t>
      </w:r>
      <w:r>
        <w:rPr>
          <w:color w:val="231F20"/>
          <w:position w:val="2"/>
          <w:sz w:val="16"/>
        </w:rPr>
        <w:t>Transition</w:t>
      </w:r>
      <w:r>
        <w:rPr>
          <w:color w:val="231F20"/>
          <w:spacing w:val="-2"/>
          <w:position w:val="2"/>
          <w:sz w:val="16"/>
        </w:rPr>
        <w:t> </w:t>
      </w:r>
      <w:r>
        <w:rPr>
          <w:color w:val="231F20"/>
          <w:position w:val="2"/>
          <w:sz w:val="16"/>
        </w:rPr>
        <w:t>zone</w:t>
      </w:r>
      <w:r>
        <w:rPr>
          <w:color w:val="231F20"/>
          <w:spacing w:val="-5"/>
          <w:position w:val="2"/>
          <w:sz w:val="16"/>
        </w:rPr>
        <w:t> </w:t>
      </w:r>
      <w:r>
        <w:rPr>
          <w:color w:val="231F20"/>
          <w:position w:val="2"/>
          <w:sz w:val="16"/>
        </w:rPr>
        <w:t>in</w:t>
      </w:r>
      <w:r>
        <w:rPr>
          <w:color w:val="231F20"/>
          <w:spacing w:val="-2"/>
          <w:position w:val="2"/>
          <w:sz w:val="16"/>
        </w:rPr>
        <w:t> </w:t>
      </w:r>
      <w:r>
        <w:rPr>
          <w:color w:val="231F20"/>
          <w:position w:val="2"/>
          <w:sz w:val="16"/>
        </w:rPr>
        <w:t>(E</w:t>
      </w:r>
      <w:r>
        <w:rPr>
          <w:color w:val="231F20"/>
          <w:sz w:val="10"/>
        </w:rPr>
        <w:t>p</w:t>
      </w:r>
      <w:r>
        <w:rPr>
          <w:color w:val="231F20"/>
          <w:position w:val="2"/>
          <w:sz w:val="16"/>
        </w:rPr>
        <w:t>)</w:t>
      </w:r>
      <w:r>
        <w:rPr>
          <w:color w:val="231F20"/>
          <w:spacing w:val="-5"/>
          <w:position w:val="2"/>
          <w:sz w:val="16"/>
        </w:rPr>
        <w:t> </w:t>
      </w:r>
      <w:r>
        <w:rPr>
          <w:color w:val="231F20"/>
          <w:position w:val="2"/>
          <w:sz w:val="16"/>
        </w:rPr>
        <w:t>aluminum-tantalum</w:t>
      </w:r>
      <w:r>
        <w:rPr>
          <w:color w:val="231F20"/>
          <w:spacing w:val="-6"/>
          <w:position w:val="2"/>
          <w:sz w:val="16"/>
        </w:rPr>
        <w:t> </w:t>
      </w:r>
      <w:r>
        <w:rPr>
          <w:color w:val="231F20"/>
          <w:position w:val="2"/>
          <w:sz w:val="16"/>
        </w:rPr>
        <w:t>joint</w:t>
      </w:r>
      <w:r>
        <w:rPr>
          <w:color w:val="231F20"/>
          <w:spacing w:val="-5"/>
          <w:position w:val="2"/>
          <w:sz w:val="16"/>
        </w:rPr>
        <w:t> </w:t>
      </w:r>
      <w:r>
        <w:rPr>
          <w:color w:val="231F20"/>
          <w:position w:val="2"/>
          <w:sz w:val="16"/>
        </w:rPr>
        <w:t>(SEM):</w:t>
      </w:r>
      <w:r>
        <w:rPr>
          <w:color w:val="231F20"/>
          <w:spacing w:val="40"/>
          <w:position w:val="2"/>
          <w:sz w:val="16"/>
        </w:rPr>
        <w:t> </w:t>
      </w:r>
      <w:r>
        <w:rPr>
          <w:color w:val="231F20"/>
          <w:sz w:val="16"/>
        </w:rPr>
        <w:t>Al, Ta and mixture of Ta and Al</w:t>
      </w:r>
    </w:p>
    <w:p>
      <w:pPr>
        <w:spacing w:line="256" w:lineRule="auto" w:before="93"/>
        <w:ind w:left="331" w:right="1207" w:hanging="1"/>
        <w:jc w:val="left"/>
        <w:rPr>
          <w:sz w:val="16"/>
        </w:rPr>
      </w:pPr>
      <w:r>
        <w:rPr/>
        <w:br w:type="column"/>
      </w:r>
      <w:r>
        <w:rPr>
          <w:color w:val="231F20"/>
          <w:position w:val="2"/>
          <w:sz w:val="16"/>
        </w:rPr>
        <w:t>Fig. 5. The longitudinal section of interface in (C</w:t>
      </w:r>
      <w:r>
        <w:rPr>
          <w:color w:val="231F20"/>
          <w:sz w:val="10"/>
        </w:rPr>
        <w:t>w</w:t>
      </w:r>
      <w:r>
        <w:rPr>
          <w:color w:val="231F20"/>
          <w:position w:val="2"/>
          <w:sz w:val="16"/>
        </w:rPr>
        <w:t>)</w:t>
      </w:r>
      <w:r>
        <w:rPr>
          <w:color w:val="231F20"/>
          <w:spacing w:val="40"/>
          <w:position w:val="2"/>
          <w:sz w:val="16"/>
        </w:rPr>
        <w:t> </w:t>
      </w:r>
      <w:r>
        <w:rPr>
          <w:color w:val="231F20"/>
          <w:sz w:val="16"/>
        </w:rPr>
        <w:t>copper-tantalum</w:t>
      </w:r>
      <w:r>
        <w:rPr>
          <w:color w:val="231F20"/>
          <w:spacing w:val="-5"/>
          <w:sz w:val="16"/>
        </w:rPr>
        <w:t> </w:t>
      </w:r>
      <w:r>
        <w:rPr>
          <w:color w:val="231F20"/>
          <w:sz w:val="16"/>
        </w:rPr>
        <w:t>joint:</w:t>
      </w:r>
      <w:r>
        <w:rPr>
          <w:color w:val="231F20"/>
          <w:spacing w:val="-7"/>
          <w:sz w:val="16"/>
        </w:rPr>
        <w:t> </w:t>
      </w:r>
      <w:r>
        <w:rPr>
          <w:color w:val="231F20"/>
          <w:sz w:val="16"/>
        </w:rPr>
        <w:t>bands</w:t>
      </w:r>
      <w:r>
        <w:rPr>
          <w:color w:val="231F20"/>
          <w:spacing w:val="-5"/>
          <w:sz w:val="16"/>
        </w:rPr>
        <w:t> </w:t>
      </w:r>
      <w:r>
        <w:rPr>
          <w:color w:val="231F20"/>
          <w:sz w:val="16"/>
        </w:rPr>
        <w:t>of</w:t>
      </w:r>
      <w:r>
        <w:rPr>
          <w:color w:val="231F20"/>
          <w:spacing w:val="-3"/>
          <w:sz w:val="16"/>
        </w:rPr>
        <w:t> </w:t>
      </w:r>
      <w:r>
        <w:rPr>
          <w:color w:val="231F20"/>
          <w:sz w:val="16"/>
        </w:rPr>
        <w:t>Cu</w:t>
      </w:r>
      <w:r>
        <w:rPr>
          <w:color w:val="231F20"/>
          <w:spacing w:val="-4"/>
          <w:sz w:val="16"/>
        </w:rPr>
        <w:t> </w:t>
      </w:r>
      <w:r>
        <w:rPr>
          <w:color w:val="231F20"/>
          <w:sz w:val="16"/>
        </w:rPr>
        <w:t>and</w:t>
      </w:r>
      <w:r>
        <w:rPr>
          <w:color w:val="231F20"/>
          <w:spacing w:val="-1"/>
          <w:sz w:val="16"/>
        </w:rPr>
        <w:t> </w:t>
      </w:r>
      <w:r>
        <w:rPr>
          <w:color w:val="231F20"/>
          <w:sz w:val="16"/>
        </w:rPr>
        <w:t>Ta,</w:t>
      </w:r>
      <w:r>
        <w:rPr>
          <w:color w:val="231F20"/>
          <w:spacing w:val="-4"/>
          <w:sz w:val="16"/>
        </w:rPr>
        <w:t> </w:t>
      </w:r>
      <w:r>
        <w:rPr>
          <w:color w:val="231F20"/>
          <w:sz w:val="16"/>
        </w:rPr>
        <w:t>cusps</w:t>
      </w:r>
      <w:r>
        <w:rPr>
          <w:color w:val="231F20"/>
          <w:spacing w:val="-5"/>
          <w:sz w:val="16"/>
        </w:rPr>
        <w:t> </w:t>
      </w:r>
      <w:r>
        <w:rPr>
          <w:color w:val="231F20"/>
          <w:sz w:val="16"/>
        </w:rPr>
        <w:t>and</w:t>
      </w:r>
      <w:r>
        <w:rPr>
          <w:color w:val="231F20"/>
          <w:spacing w:val="40"/>
          <w:sz w:val="16"/>
        </w:rPr>
        <w:t> </w:t>
      </w:r>
      <w:r>
        <w:rPr>
          <w:color w:val="231F20"/>
          <w:sz w:val="16"/>
        </w:rPr>
        <w:t>zones of local melting</w:t>
      </w:r>
    </w:p>
    <w:p>
      <w:pPr>
        <w:spacing w:after="0" w:line="256" w:lineRule="auto"/>
        <w:jc w:val="left"/>
        <w:rPr>
          <w:sz w:val="16"/>
        </w:rPr>
        <w:sectPr>
          <w:type w:val="continuous"/>
          <w:pgSz w:w="10890" w:h="14860"/>
          <w:pgMar w:header="713" w:footer="0" w:top="780" w:bottom="280" w:left="460" w:right="600"/>
          <w:cols w:num="2" w:equalWidth="0">
            <w:col w:w="4816" w:space="40"/>
            <w:col w:w="4974"/>
          </w:cols>
        </w:sectPr>
      </w:pPr>
    </w:p>
    <w:p>
      <w:pPr>
        <w:pStyle w:val="BodyText"/>
        <w:spacing w:before="159"/>
      </w:pPr>
    </w:p>
    <w:p>
      <w:pPr>
        <w:pStyle w:val="ListParagraph"/>
        <w:numPr>
          <w:ilvl w:val="1"/>
          <w:numId w:val="1"/>
        </w:numPr>
        <w:tabs>
          <w:tab w:pos="707" w:val="left" w:leader="none"/>
        </w:tabs>
        <w:spacing w:line="240" w:lineRule="auto" w:before="0" w:after="0"/>
        <w:ind w:left="707" w:right="0" w:hanging="354"/>
        <w:jc w:val="left"/>
        <w:rPr>
          <w:i/>
          <w:sz w:val="20"/>
        </w:rPr>
      </w:pPr>
      <w:r>
        <w:rPr>
          <w:i/>
          <w:color w:val="231F20"/>
          <w:sz w:val="20"/>
        </w:rPr>
        <w:t>(C</w:t>
      </w:r>
      <w:r>
        <w:rPr>
          <w:i/>
          <w:color w:val="231F20"/>
          <w:sz w:val="20"/>
          <w:vertAlign w:val="subscript"/>
        </w:rPr>
        <w:t>w</w:t>
      </w:r>
      <w:r>
        <w:rPr>
          <w:i/>
          <w:color w:val="231F20"/>
          <w:sz w:val="20"/>
          <w:vertAlign w:val="baseline"/>
        </w:rPr>
        <w:t>)</w:t>
      </w:r>
      <w:r>
        <w:rPr>
          <w:i/>
          <w:color w:val="231F20"/>
          <w:spacing w:val="-9"/>
          <w:sz w:val="20"/>
          <w:vertAlign w:val="baseline"/>
        </w:rPr>
        <w:t> </w:t>
      </w:r>
      <w:r>
        <w:rPr>
          <w:i/>
          <w:color w:val="231F20"/>
          <w:sz w:val="20"/>
          <w:vertAlign w:val="baseline"/>
        </w:rPr>
        <w:t>copper-tantalum</w:t>
      </w:r>
      <w:r>
        <w:rPr>
          <w:i/>
          <w:color w:val="231F20"/>
          <w:spacing w:val="-9"/>
          <w:sz w:val="20"/>
          <w:vertAlign w:val="baseline"/>
        </w:rPr>
        <w:t> </w:t>
      </w:r>
      <w:r>
        <w:rPr>
          <w:i/>
          <w:color w:val="231F20"/>
          <w:sz w:val="20"/>
          <w:vertAlign w:val="baseline"/>
        </w:rPr>
        <w:t>joint</w:t>
      </w:r>
      <w:r>
        <w:rPr>
          <w:i/>
          <w:color w:val="231F20"/>
          <w:spacing w:val="-9"/>
          <w:sz w:val="20"/>
          <w:vertAlign w:val="baseline"/>
        </w:rPr>
        <w:t> </w:t>
      </w:r>
      <w:r>
        <w:rPr>
          <w:i/>
          <w:color w:val="231F20"/>
          <w:sz w:val="20"/>
          <w:vertAlign w:val="baseline"/>
        </w:rPr>
        <w:t>(wavy</w:t>
      </w:r>
      <w:r>
        <w:rPr>
          <w:i/>
          <w:color w:val="231F20"/>
          <w:spacing w:val="-8"/>
          <w:sz w:val="20"/>
          <w:vertAlign w:val="baseline"/>
        </w:rPr>
        <w:t> </w:t>
      </w:r>
      <w:r>
        <w:rPr>
          <w:i/>
          <w:color w:val="231F20"/>
          <w:spacing w:val="-2"/>
          <w:sz w:val="20"/>
          <w:vertAlign w:val="baseline"/>
        </w:rPr>
        <w:t>interface)</w:t>
      </w:r>
    </w:p>
    <w:p>
      <w:pPr>
        <w:pStyle w:val="BodyText"/>
        <w:spacing w:before="20"/>
        <w:rPr>
          <w:i/>
        </w:rPr>
      </w:pPr>
    </w:p>
    <w:p>
      <w:pPr>
        <w:pStyle w:val="BodyText"/>
        <w:spacing w:line="249" w:lineRule="auto"/>
        <w:ind w:left="353" w:right="621" w:firstLine="237"/>
        <w:jc w:val="both"/>
      </w:pPr>
      <w:r>
        <w:rPr>
          <w:color w:val="231F20"/>
        </w:rPr>
        <w:t>The longitudinal section of the interface is given in Fig. 5. Wavy interface is corrugated, its longitudinal section exhibiting a set of alternating bands of copper and tantalum with parallel boundaries. At the interface, cusps are observed. The size of cusps is a few tens of microns. Large tantalum cusps depicted in Fig. 5 has a size of about 100 µm. One can clearly see many local melting zones having vortex structure. In both Cu-Ta joints, irrespective of the interface shape, the local melting zone is composed by colloidal solution.</w:t>
      </w:r>
    </w:p>
    <w:p>
      <w:pPr>
        <w:pStyle w:val="BodyText"/>
        <w:spacing w:line="249" w:lineRule="auto" w:before="4"/>
        <w:ind w:left="353" w:right="623" w:firstLine="237"/>
        <w:jc w:val="both"/>
      </w:pPr>
      <w:r>
        <w:rPr>
          <w:color w:val="231F20"/>
        </w:rPr>
        <w:t>The employment of different welding regimes for the same copper-tantalum pair was extremely useful.</w:t>
      </w:r>
      <w:r>
        <w:rPr>
          <w:color w:val="231F20"/>
          <w:spacing w:val="80"/>
        </w:rPr>
        <w:t> </w:t>
      </w:r>
      <w:r>
        <w:rPr>
          <w:color w:val="231F20"/>
        </w:rPr>
        <w:t>The interface has a different shape: waveless in one case, wavy</w:t>
      </w:r>
      <w:r>
        <w:rPr>
          <w:color w:val="231F20"/>
          <w:spacing w:val="-4"/>
        </w:rPr>
        <w:t> </w:t>
      </w:r>
      <w:r>
        <w:rPr>
          <w:color w:val="231F20"/>
        </w:rPr>
        <w:t>in the other. But in both cases, the interface is not smooth, because it contains cusps and local melting zones.</w:t>
      </w:r>
    </w:p>
    <w:p>
      <w:pPr>
        <w:pStyle w:val="BodyText"/>
        <w:spacing w:before="13"/>
      </w:pPr>
    </w:p>
    <w:p>
      <w:pPr>
        <w:pStyle w:val="ListParagraph"/>
        <w:numPr>
          <w:ilvl w:val="0"/>
          <w:numId w:val="1"/>
        </w:numPr>
        <w:tabs>
          <w:tab w:pos="552" w:val="left" w:leader="none"/>
        </w:tabs>
        <w:spacing w:line="240" w:lineRule="auto" w:before="0" w:after="0"/>
        <w:ind w:left="552" w:right="0" w:hanging="199"/>
        <w:jc w:val="left"/>
        <w:rPr>
          <w:sz w:val="20"/>
        </w:rPr>
      </w:pPr>
      <w:r>
        <w:rPr>
          <w:color w:val="231F20"/>
          <w:spacing w:val="-2"/>
          <w:sz w:val="20"/>
        </w:rPr>
        <w:t>Discussion</w:t>
      </w:r>
    </w:p>
    <w:p>
      <w:pPr>
        <w:pStyle w:val="BodyText"/>
        <w:spacing w:before="20"/>
      </w:pPr>
    </w:p>
    <w:p>
      <w:pPr>
        <w:pStyle w:val="BodyText"/>
        <w:spacing w:line="249" w:lineRule="auto"/>
        <w:ind w:left="353" w:right="572" w:firstLine="237"/>
        <w:jc w:val="both"/>
      </w:pPr>
      <w:r>
        <w:rPr>
          <w:color w:val="231F20"/>
        </w:rPr>
        <w:t>The granulating fragmentation (GF)</w:t>
      </w:r>
      <w:r>
        <w:rPr>
          <w:color w:val="231F20"/>
          <w:spacing w:val="40"/>
        </w:rPr>
        <w:t> </w:t>
      </w:r>
      <w:r>
        <w:rPr>
          <w:color w:val="231F20"/>
        </w:rPr>
        <w:t>in principle differs from well-known one, the existence of which is proved by many observations of material structure produced by severe plastic deformation. The traditional fragmentation includes dislocation and twin generation, formation of</w:t>
      </w:r>
      <w:r>
        <w:rPr>
          <w:color w:val="231F20"/>
          <w:spacing w:val="-1"/>
        </w:rPr>
        <w:t> </w:t>
      </w:r>
      <w:r>
        <w:rPr>
          <w:color w:val="231F20"/>
        </w:rPr>
        <w:t>different structures, and recrystallization. Similar structures were observed in titanium-aluminide joints [6]. Taking into account the two types of fragmentation is the basis of new approach to welded joint structure describing. Both types of fragmentation occur at different distances from the interface. GF takes place near the interface, while traditional fragmentation proceeds a bit farther from the interface.</w:t>
      </w:r>
    </w:p>
    <w:p>
      <w:pPr>
        <w:pStyle w:val="BodyText"/>
        <w:spacing w:line="249" w:lineRule="auto" w:before="6"/>
        <w:ind w:left="353" w:right="625" w:firstLine="237"/>
        <w:jc w:val="both"/>
      </w:pPr>
      <w:r>
        <w:rPr>
          <w:color w:val="231F20"/>
        </w:rPr>
        <w:t>The fragmentation upon explosion welding is believed to be analogue to fragmentation upon explosion studied by Mott [7]. The flying away of particles is clearly visible in Fig. 6 and remarkably similar to flying away of fragments upon explosion, but of another scale. The flying away of fragments upon explosion occurs in open space, as opposed to flying away of particles upon explosion welding which occurs in close space between plates. In fact, GF corresponds to fragmentation and consolidation of particles. The micrographs illustrate the consequence of separation, consolidation and flying away processes are given in Figs. 6.</w:t>
      </w:r>
    </w:p>
    <w:p>
      <w:pPr>
        <w:pStyle w:val="BodyText"/>
        <w:spacing w:before="8"/>
        <w:rPr>
          <w:sz w:val="18"/>
        </w:rPr>
      </w:pPr>
      <w:r>
        <w:rPr/>
        <w:drawing>
          <wp:anchor distT="0" distB="0" distL="0" distR="0" allowOverlap="1" layoutInCell="1" locked="0" behindDoc="1" simplePos="0" relativeHeight="487593472">
            <wp:simplePos x="0" y="0"/>
            <wp:positionH relativeFrom="page">
              <wp:posOffset>1074407</wp:posOffset>
            </wp:positionH>
            <wp:positionV relativeFrom="paragraph">
              <wp:posOffset>151907</wp:posOffset>
            </wp:positionV>
            <wp:extent cx="4516608" cy="140360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4516608" cy="1403603"/>
                    </a:xfrm>
                    <a:prstGeom prst="rect">
                      <a:avLst/>
                    </a:prstGeom>
                  </pic:spPr>
                </pic:pic>
              </a:graphicData>
            </a:graphic>
          </wp:anchor>
        </w:drawing>
      </w:r>
    </w:p>
    <w:p>
      <w:pPr>
        <w:spacing w:line="252" w:lineRule="auto" w:before="202"/>
        <w:ind w:left="471" w:right="241" w:hanging="1"/>
        <w:jc w:val="left"/>
        <w:rPr>
          <w:sz w:val="16"/>
        </w:rPr>
      </w:pPr>
      <w:r>
        <w:rPr>
          <w:color w:val="231F20"/>
          <w:position w:val="2"/>
          <w:sz w:val="16"/>
        </w:rPr>
        <w:t>Fig. 6. Fragmentation</w:t>
      </w:r>
      <w:r>
        <w:rPr>
          <w:color w:val="231F20"/>
          <w:spacing w:val="-2"/>
          <w:position w:val="2"/>
          <w:sz w:val="16"/>
        </w:rPr>
        <w:t> </w:t>
      </w:r>
      <w:r>
        <w:rPr>
          <w:color w:val="231F20"/>
          <w:position w:val="2"/>
          <w:sz w:val="16"/>
        </w:rPr>
        <w:t>of</w:t>
      </w:r>
      <w:r>
        <w:rPr>
          <w:color w:val="231F20"/>
          <w:spacing w:val="-2"/>
          <w:position w:val="2"/>
          <w:sz w:val="16"/>
        </w:rPr>
        <w:t> </w:t>
      </w:r>
      <w:r>
        <w:rPr>
          <w:color w:val="231F20"/>
          <w:position w:val="2"/>
          <w:sz w:val="16"/>
        </w:rPr>
        <w:t>aluminide</w:t>
      </w:r>
      <w:r>
        <w:rPr>
          <w:color w:val="231F20"/>
          <w:spacing w:val="-4"/>
          <w:position w:val="2"/>
          <w:sz w:val="16"/>
        </w:rPr>
        <w:t> </w:t>
      </w:r>
      <w:r>
        <w:rPr>
          <w:color w:val="231F20"/>
          <w:position w:val="2"/>
          <w:sz w:val="16"/>
        </w:rPr>
        <w:t>in</w:t>
      </w:r>
      <w:r>
        <w:rPr>
          <w:color w:val="231F20"/>
          <w:spacing w:val="-4"/>
          <w:position w:val="2"/>
          <w:sz w:val="16"/>
        </w:rPr>
        <w:t> </w:t>
      </w:r>
      <w:r>
        <w:rPr>
          <w:color w:val="231F20"/>
          <w:position w:val="2"/>
          <w:sz w:val="16"/>
        </w:rPr>
        <w:t>(A</w:t>
      </w:r>
      <w:r>
        <w:rPr>
          <w:color w:val="231F20"/>
          <w:sz w:val="10"/>
        </w:rPr>
        <w:t>w</w:t>
      </w:r>
      <w:r>
        <w:rPr>
          <w:color w:val="231F20"/>
          <w:position w:val="2"/>
          <w:sz w:val="16"/>
        </w:rPr>
        <w:t>)</w:t>
      </w:r>
      <w:r>
        <w:rPr>
          <w:color w:val="231F20"/>
          <w:spacing w:val="-2"/>
          <w:position w:val="2"/>
          <w:sz w:val="16"/>
        </w:rPr>
        <w:t> </w:t>
      </w:r>
      <w:r>
        <w:rPr>
          <w:color w:val="231F20"/>
          <w:position w:val="2"/>
          <w:sz w:val="16"/>
        </w:rPr>
        <w:t>titanium-aluminide</w:t>
      </w:r>
      <w:r>
        <w:rPr>
          <w:color w:val="231F20"/>
          <w:spacing w:val="-2"/>
          <w:position w:val="2"/>
          <w:sz w:val="16"/>
        </w:rPr>
        <w:t> </w:t>
      </w:r>
      <w:r>
        <w:rPr>
          <w:color w:val="231F20"/>
          <w:position w:val="2"/>
          <w:sz w:val="16"/>
        </w:rPr>
        <w:t>joint:</w:t>
      </w:r>
      <w:r>
        <w:rPr>
          <w:color w:val="231F20"/>
          <w:spacing w:val="-2"/>
          <w:position w:val="2"/>
          <w:sz w:val="16"/>
        </w:rPr>
        <w:t> </w:t>
      </w:r>
      <w:r>
        <w:rPr>
          <w:color w:val="231F20"/>
          <w:position w:val="2"/>
          <w:sz w:val="16"/>
        </w:rPr>
        <w:t>(a)</w:t>
      </w:r>
      <w:r>
        <w:rPr>
          <w:color w:val="231F20"/>
          <w:spacing w:val="39"/>
          <w:position w:val="2"/>
          <w:sz w:val="16"/>
        </w:rPr>
        <w:t> </w:t>
      </w:r>
      <w:r>
        <w:rPr>
          <w:color w:val="231F20"/>
          <w:position w:val="2"/>
          <w:sz w:val="16"/>
        </w:rPr>
        <w:t>flying</w:t>
      </w:r>
      <w:r>
        <w:rPr>
          <w:color w:val="231F20"/>
          <w:spacing w:val="-4"/>
          <w:position w:val="2"/>
          <w:sz w:val="16"/>
        </w:rPr>
        <w:t> </w:t>
      </w:r>
      <w:r>
        <w:rPr>
          <w:color w:val="231F20"/>
          <w:position w:val="2"/>
          <w:sz w:val="16"/>
        </w:rPr>
        <w:t>away</w:t>
      </w:r>
      <w:r>
        <w:rPr>
          <w:color w:val="231F20"/>
          <w:spacing w:val="-4"/>
          <w:position w:val="2"/>
          <w:sz w:val="16"/>
        </w:rPr>
        <w:t> </w:t>
      </w:r>
      <w:r>
        <w:rPr>
          <w:color w:val="231F20"/>
          <w:position w:val="2"/>
          <w:sz w:val="16"/>
        </w:rPr>
        <w:t>of</w:t>
      </w:r>
      <w:r>
        <w:rPr>
          <w:color w:val="231F20"/>
          <w:spacing w:val="-2"/>
          <w:position w:val="2"/>
          <w:sz w:val="16"/>
        </w:rPr>
        <w:t> </w:t>
      </w:r>
      <w:r>
        <w:rPr>
          <w:color w:val="231F20"/>
          <w:position w:val="2"/>
          <w:sz w:val="16"/>
        </w:rPr>
        <w:t>aluminide</w:t>
      </w:r>
      <w:r>
        <w:rPr>
          <w:color w:val="231F20"/>
          <w:spacing w:val="-2"/>
          <w:position w:val="2"/>
          <w:sz w:val="16"/>
        </w:rPr>
        <w:t> </w:t>
      </w:r>
      <w:r>
        <w:rPr>
          <w:color w:val="231F20"/>
          <w:position w:val="2"/>
          <w:sz w:val="16"/>
        </w:rPr>
        <w:t>particles; (b)</w:t>
      </w:r>
      <w:r>
        <w:rPr>
          <w:color w:val="231F20"/>
          <w:spacing w:val="-2"/>
          <w:position w:val="2"/>
          <w:sz w:val="16"/>
        </w:rPr>
        <w:t> </w:t>
      </w:r>
      <w:r>
        <w:rPr>
          <w:color w:val="231F20"/>
          <w:position w:val="2"/>
          <w:sz w:val="16"/>
        </w:rPr>
        <w:t>fragmented layer, (c)</w:t>
      </w:r>
      <w:r>
        <w:rPr>
          <w:color w:val="231F20"/>
          <w:spacing w:val="40"/>
          <w:position w:val="2"/>
          <w:sz w:val="16"/>
        </w:rPr>
        <w:t> </w:t>
      </w:r>
      <w:r>
        <w:rPr>
          <w:color w:val="231F20"/>
          <w:sz w:val="16"/>
        </w:rPr>
        <w:t>aluminide particles inside Ti band</w:t>
      </w:r>
    </w:p>
    <w:p>
      <w:pPr>
        <w:pStyle w:val="BodyText"/>
        <w:spacing w:before="58"/>
        <w:rPr>
          <w:sz w:val="16"/>
        </w:rPr>
      </w:pPr>
    </w:p>
    <w:p>
      <w:pPr>
        <w:pStyle w:val="BodyText"/>
        <w:spacing w:line="249" w:lineRule="auto"/>
        <w:ind w:left="353" w:right="623" w:firstLine="237"/>
        <w:jc w:val="both"/>
      </w:pPr>
      <w:r>
        <w:rPr>
          <w:color w:val="231F20"/>
        </w:rPr>
        <w:t>We suppose that the GF has time to occur about of order of impact action time, i.e., GF is a much more rapid process than traditional fragmentation. The characteristic times could be evaluated as 1 microsecond for GF and 10</w:t>
      </w:r>
      <w:r>
        <w:rPr>
          <w:color w:val="231F20"/>
          <w:vertAlign w:val="superscript"/>
        </w:rPr>
        <w:t>8</w:t>
      </w:r>
      <w:r>
        <w:rPr>
          <w:color w:val="231F20"/>
          <w:vertAlign w:val="baseline"/>
        </w:rPr>
        <w:t>–10</w:t>
      </w:r>
      <w:r>
        <w:rPr>
          <w:color w:val="231F20"/>
          <w:vertAlign w:val="superscript"/>
        </w:rPr>
        <w:t>9</w:t>
      </w:r>
      <w:r>
        <w:rPr>
          <w:color w:val="231F20"/>
          <w:vertAlign w:val="baseline"/>
        </w:rPr>
        <w:t> (time of structural relaxation) microseconds for the traditional fragmentation which takes place under residual stresses and temperatures. Fragmentation is apparently to be accompanied by high increasing of total surface area and due to this an intense discharging of input energy. Therefore GF is a powerful</w:t>
      </w:r>
      <w:r>
        <w:rPr>
          <w:color w:val="231F20"/>
          <w:spacing w:val="62"/>
          <w:vertAlign w:val="baseline"/>
        </w:rPr>
        <w:t> </w:t>
      </w:r>
      <w:r>
        <w:rPr>
          <w:color w:val="231F20"/>
          <w:vertAlign w:val="baseline"/>
        </w:rPr>
        <w:t>dissipative</w:t>
      </w:r>
      <w:r>
        <w:rPr>
          <w:color w:val="231F20"/>
          <w:spacing w:val="62"/>
          <w:vertAlign w:val="baseline"/>
        </w:rPr>
        <w:t> </w:t>
      </w:r>
      <w:r>
        <w:rPr>
          <w:color w:val="231F20"/>
          <w:vertAlign w:val="baseline"/>
        </w:rPr>
        <w:t>channel.</w:t>
      </w:r>
      <w:r>
        <w:rPr>
          <w:color w:val="231F20"/>
          <w:spacing w:val="62"/>
          <w:vertAlign w:val="baseline"/>
        </w:rPr>
        <w:t> </w:t>
      </w:r>
      <w:r>
        <w:rPr>
          <w:color w:val="231F20"/>
          <w:vertAlign w:val="baseline"/>
        </w:rPr>
        <w:t>Fragmentation</w:t>
      </w:r>
      <w:r>
        <w:rPr>
          <w:color w:val="231F20"/>
          <w:spacing w:val="61"/>
          <w:vertAlign w:val="baseline"/>
        </w:rPr>
        <w:t> </w:t>
      </w:r>
      <w:r>
        <w:rPr>
          <w:color w:val="231F20"/>
          <w:vertAlign w:val="baseline"/>
        </w:rPr>
        <w:t>is</w:t>
      </w:r>
      <w:r>
        <w:rPr>
          <w:color w:val="231F20"/>
          <w:spacing w:val="62"/>
          <w:vertAlign w:val="baseline"/>
        </w:rPr>
        <w:t> </w:t>
      </w:r>
      <w:r>
        <w:rPr>
          <w:color w:val="231F20"/>
          <w:vertAlign w:val="baseline"/>
        </w:rPr>
        <w:t>a</w:t>
      </w:r>
      <w:r>
        <w:rPr>
          <w:color w:val="231F20"/>
          <w:spacing w:val="62"/>
          <w:vertAlign w:val="baseline"/>
        </w:rPr>
        <w:t> </w:t>
      </w:r>
      <w:r>
        <w:rPr>
          <w:color w:val="231F20"/>
          <w:vertAlign w:val="baseline"/>
        </w:rPr>
        <w:t>process</w:t>
      </w:r>
      <w:r>
        <w:rPr>
          <w:color w:val="231F20"/>
          <w:spacing w:val="62"/>
          <w:vertAlign w:val="baseline"/>
        </w:rPr>
        <w:t> </w:t>
      </w:r>
      <w:r>
        <w:rPr>
          <w:color w:val="231F20"/>
          <w:vertAlign w:val="baseline"/>
        </w:rPr>
        <w:t>of</w:t>
      </w:r>
      <w:r>
        <w:rPr>
          <w:color w:val="231F20"/>
          <w:spacing w:val="63"/>
          <w:vertAlign w:val="baseline"/>
        </w:rPr>
        <w:t> </w:t>
      </w:r>
      <w:r>
        <w:rPr>
          <w:color w:val="231F20"/>
          <w:vertAlign w:val="baseline"/>
        </w:rPr>
        <w:t>material</w:t>
      </w:r>
      <w:r>
        <w:rPr>
          <w:color w:val="231F20"/>
          <w:spacing w:val="62"/>
          <w:vertAlign w:val="baseline"/>
        </w:rPr>
        <w:t> </w:t>
      </w:r>
      <w:r>
        <w:rPr>
          <w:color w:val="231F20"/>
          <w:vertAlign w:val="baseline"/>
        </w:rPr>
        <w:t>partitioning</w:t>
      </w:r>
      <w:r>
        <w:rPr>
          <w:color w:val="231F20"/>
          <w:spacing w:val="61"/>
          <w:vertAlign w:val="baseline"/>
        </w:rPr>
        <w:t> </w:t>
      </w:r>
      <w:r>
        <w:rPr>
          <w:color w:val="231F20"/>
          <w:vertAlign w:val="baseline"/>
        </w:rPr>
        <w:t>into</w:t>
      </w:r>
      <w:r>
        <w:rPr>
          <w:color w:val="231F20"/>
          <w:spacing w:val="65"/>
          <w:vertAlign w:val="baseline"/>
        </w:rPr>
        <w:t> </w:t>
      </w:r>
      <w:r>
        <w:rPr>
          <w:color w:val="231F20"/>
          <w:vertAlign w:val="baseline"/>
        </w:rPr>
        <w:t>weakly</w:t>
      </w:r>
      <w:r>
        <w:rPr>
          <w:color w:val="231F20"/>
          <w:spacing w:val="58"/>
          <w:vertAlign w:val="baseline"/>
        </w:rPr>
        <w:t> </w:t>
      </w:r>
      <w:r>
        <w:rPr>
          <w:color w:val="231F20"/>
          <w:vertAlign w:val="baseline"/>
        </w:rPr>
        <w:t>bonded</w:t>
      </w:r>
    </w:p>
    <w:p>
      <w:pPr>
        <w:spacing w:after="0" w:line="249" w:lineRule="auto"/>
        <w:jc w:val="both"/>
        <w:sectPr>
          <w:pgSz w:w="10890" w:h="14860"/>
          <w:pgMar w:header="713" w:footer="0" w:top="900" w:bottom="280" w:left="460" w:right="600"/>
        </w:sectPr>
      </w:pPr>
    </w:p>
    <w:p>
      <w:pPr>
        <w:pStyle w:val="BodyText"/>
        <w:spacing w:before="159"/>
      </w:pPr>
    </w:p>
    <w:p>
      <w:pPr>
        <w:pStyle w:val="BodyText"/>
        <w:spacing w:line="249" w:lineRule="auto"/>
        <w:ind w:left="410" w:right="567"/>
        <w:jc w:val="both"/>
      </w:pPr>
      <w:r>
        <w:rPr>
          <w:color w:val="231F20"/>
        </w:rPr>
        <w:t>microvolumes and is opposite to fracture. GF improves the survivability of material and prevents it from failure even upon such a strong external action as explosion welding.</w:t>
      </w:r>
    </w:p>
    <w:p>
      <w:pPr>
        <w:pStyle w:val="BodyText"/>
        <w:spacing w:line="249" w:lineRule="auto" w:before="2"/>
        <w:ind w:left="410" w:right="565" w:firstLine="237"/>
        <w:jc w:val="both"/>
      </w:pPr>
      <w:r>
        <w:rPr>
          <w:color w:val="231F20"/>
        </w:rPr>
        <w:t>The chemical reactor vessel scheme is made of carbon steel-copper-tantalum composite material by means of explosion welding [8]. The inner shell consists of tantalum, corrosion resistance of which is the key</w:t>
      </w:r>
      <w:r>
        <w:rPr>
          <w:color w:val="231F20"/>
          <w:spacing w:val="40"/>
        </w:rPr>
        <w:t> </w:t>
      </w:r>
      <w:r>
        <w:rPr>
          <w:color w:val="231F20"/>
        </w:rPr>
        <w:t>moment of the reactor design. The outer shell consists of carbon steel. The direct welding of carbon steel and tantalum is difficult due to the brittle phase formation, and copper is used as a interlayer. As shown in [8],</w:t>
      </w:r>
      <w:r>
        <w:rPr>
          <w:color w:val="231F20"/>
          <w:spacing w:val="40"/>
        </w:rPr>
        <w:t> </w:t>
      </w:r>
      <w:r>
        <w:rPr>
          <w:color w:val="231F20"/>
        </w:rPr>
        <w:t>both of the interfaces have wavy shape. Welding parameters used in [8] somewhat differs from that used in current investigation for (C</w:t>
      </w:r>
      <w:r>
        <w:rPr>
          <w:color w:val="231F20"/>
          <w:vertAlign w:val="subscript"/>
        </w:rPr>
        <w:t>w</w:t>
      </w:r>
      <w:r>
        <w:rPr>
          <w:color w:val="231F20"/>
          <w:vertAlign w:val="baseline"/>
        </w:rPr>
        <w:t>) joint obtaining.</w:t>
      </w:r>
    </w:p>
    <w:p>
      <w:pPr>
        <w:pStyle w:val="BodyText"/>
        <w:spacing w:line="249" w:lineRule="auto" w:before="5"/>
        <w:ind w:left="410" w:right="565" w:firstLine="237"/>
        <w:jc w:val="both"/>
      </w:pPr>
      <w:r>
        <w:rPr>
          <w:color w:val="231F20"/>
        </w:rPr>
        <w:t>The structural data presented above allow to formulate the probable reasons of good quality Cu-Ta joint formation. Firstly, wavy interface contains cusps and local melting zones. The interface inhomogeneities promote the adhesion of materials. Cusps act like “wedges” and bond contacting metals. Due to the fact, that initial metals possess no mutual solubility, the true solution and chemical compound obtaining, as a consequence, is not possible. Thus, the brittle intermetallic phase formation is avoided. Only the colloidal solution obtaining is possible, but the emulsion layering danger arises. On the basis of the results obtained it may be assumed that only copper melting occurs due to the fact that tantalum has a higher melting</w:t>
      </w:r>
      <w:r>
        <w:rPr>
          <w:color w:val="231F20"/>
          <w:spacing w:val="40"/>
        </w:rPr>
        <w:t> </w:t>
      </w:r>
      <w:r>
        <w:rPr>
          <w:color w:val="231F20"/>
        </w:rPr>
        <w:t>temperature (approximately 3300 K). Tantalum particles appeared as a result of granulating fragmentation form the dispersed phase in copper matrix melted in the beginning and then congealed. The danger of suspension layering does not exist, and local melting zones act like “inserts” contributing to joint </w:t>
      </w:r>
      <w:r>
        <w:rPr>
          <w:color w:val="231F20"/>
          <w:spacing w:val="-2"/>
        </w:rPr>
        <w:t>strengthening.</w:t>
      </w:r>
    </w:p>
    <w:p>
      <w:pPr>
        <w:pStyle w:val="BodyText"/>
        <w:spacing w:before="19"/>
      </w:pPr>
    </w:p>
    <w:p>
      <w:pPr>
        <w:pStyle w:val="BodyText"/>
        <w:ind w:left="410"/>
      </w:pPr>
      <w:r>
        <w:rPr>
          <w:color w:val="231F20"/>
          <w:spacing w:val="-2"/>
          <w:w w:val="105"/>
        </w:rPr>
        <w:t>Acknowledgements</w:t>
      </w:r>
    </w:p>
    <w:p>
      <w:pPr>
        <w:pStyle w:val="BodyText"/>
        <w:spacing w:before="20"/>
      </w:pPr>
    </w:p>
    <w:p>
      <w:pPr>
        <w:pStyle w:val="BodyText"/>
        <w:spacing w:line="249" w:lineRule="auto"/>
        <w:ind w:left="410" w:right="569" w:firstLine="237"/>
        <w:jc w:val="both"/>
      </w:pPr>
      <w:r>
        <w:rPr>
          <w:color w:val="231F20"/>
        </w:rPr>
        <w:t>Electron microscopic studies were performed at the Electron Microscopy Center of Collaborative Access, Ural Branch, Russian Academy of Sciences.</w:t>
      </w:r>
    </w:p>
    <w:p>
      <w:pPr>
        <w:pStyle w:val="BodyText"/>
        <w:spacing w:line="249" w:lineRule="auto" w:before="2"/>
        <w:ind w:left="410" w:right="563" w:firstLine="237"/>
        <w:jc w:val="both"/>
      </w:pPr>
      <w:r>
        <w:rPr>
          <w:color w:val="231F20"/>
        </w:rPr>
        <w:t>This work was financially supported by the Russian Foundation for Basic Research, project no. 10-02- 00354, projects 12-2-006-UT,</w:t>
      </w:r>
      <w:r>
        <w:rPr>
          <w:color w:val="231F20"/>
          <w:spacing w:val="40"/>
        </w:rPr>
        <w:t> </w:t>
      </w:r>
      <w:r>
        <w:rPr>
          <w:color w:val="231F20"/>
        </w:rPr>
        <w:t>12-U-2-1011, 12-2-2-007 of the Ural Division of the Russian Academy of Sciences, and by the National Target Program of Ukraine "Nanotechnologies and Nanomaterials", no. </w:t>
      </w:r>
      <w:r>
        <w:rPr>
          <w:color w:val="231F20"/>
          <w:spacing w:val="-2"/>
        </w:rPr>
        <w:t>1.1.1.3_4/10_D.</w:t>
      </w:r>
    </w:p>
    <w:p>
      <w:pPr>
        <w:pStyle w:val="BodyText"/>
        <w:spacing w:before="13"/>
      </w:pPr>
    </w:p>
    <w:p>
      <w:pPr>
        <w:pStyle w:val="BodyText"/>
        <w:ind w:left="410"/>
      </w:pPr>
      <w:r>
        <w:rPr>
          <w:color w:val="231F20"/>
          <w:spacing w:val="-2"/>
          <w:w w:val="105"/>
        </w:rPr>
        <w:t>References</w:t>
      </w:r>
    </w:p>
    <w:p>
      <w:pPr>
        <w:pStyle w:val="BodyText"/>
        <w:spacing w:before="8"/>
      </w:pPr>
    </w:p>
    <w:p>
      <w:pPr>
        <w:pStyle w:val="ListParagraph"/>
        <w:numPr>
          <w:ilvl w:val="0"/>
          <w:numId w:val="2"/>
        </w:numPr>
        <w:tabs>
          <w:tab w:pos="693" w:val="left" w:leader="none"/>
        </w:tabs>
        <w:spacing w:line="240" w:lineRule="auto" w:before="0" w:after="0"/>
        <w:ind w:left="410" w:right="864" w:firstLine="0"/>
        <w:jc w:val="left"/>
        <w:rPr>
          <w:sz w:val="20"/>
        </w:rPr>
      </w:pPr>
      <w:r>
        <w:rPr>
          <w:color w:val="231F20"/>
          <w:sz w:val="20"/>
        </w:rPr>
        <w:t>Rybin</w:t>
      </w:r>
      <w:r>
        <w:rPr>
          <w:color w:val="231F20"/>
          <w:spacing w:val="-4"/>
          <w:sz w:val="20"/>
        </w:rPr>
        <w:t> </w:t>
      </w:r>
      <w:r>
        <w:rPr>
          <w:color w:val="231F20"/>
          <w:sz w:val="20"/>
        </w:rPr>
        <w:t>VV,</w:t>
      </w:r>
      <w:r>
        <w:rPr>
          <w:color w:val="231F20"/>
          <w:spacing w:val="-2"/>
          <w:sz w:val="20"/>
        </w:rPr>
        <w:t> </w:t>
      </w:r>
      <w:r>
        <w:rPr>
          <w:color w:val="231F20"/>
          <w:sz w:val="20"/>
        </w:rPr>
        <w:t>Greenberg</w:t>
      </w:r>
      <w:r>
        <w:rPr>
          <w:color w:val="231F20"/>
          <w:spacing w:val="-4"/>
          <w:sz w:val="20"/>
        </w:rPr>
        <w:t> </w:t>
      </w:r>
      <w:r>
        <w:rPr>
          <w:color w:val="231F20"/>
          <w:sz w:val="20"/>
        </w:rPr>
        <w:t>BA, Antonova</w:t>
      </w:r>
      <w:r>
        <w:rPr>
          <w:color w:val="231F20"/>
          <w:spacing w:val="-2"/>
          <w:sz w:val="20"/>
        </w:rPr>
        <w:t> </w:t>
      </w:r>
      <w:r>
        <w:rPr>
          <w:color w:val="231F20"/>
          <w:sz w:val="20"/>
        </w:rPr>
        <w:t>OV,</w:t>
      </w:r>
      <w:r>
        <w:rPr>
          <w:color w:val="231F20"/>
          <w:spacing w:val="-2"/>
          <w:sz w:val="20"/>
        </w:rPr>
        <w:t> </w:t>
      </w:r>
      <w:r>
        <w:rPr>
          <w:color w:val="231F20"/>
          <w:sz w:val="20"/>
        </w:rPr>
        <w:t>Elkina</w:t>
      </w:r>
      <w:r>
        <w:rPr>
          <w:color w:val="231F20"/>
          <w:spacing w:val="-2"/>
          <w:sz w:val="20"/>
        </w:rPr>
        <w:t> </w:t>
      </w:r>
      <w:r>
        <w:rPr>
          <w:color w:val="231F20"/>
          <w:sz w:val="20"/>
        </w:rPr>
        <w:t>OA,</w:t>
      </w:r>
      <w:r>
        <w:rPr>
          <w:color w:val="231F20"/>
          <w:spacing w:val="-2"/>
          <w:sz w:val="20"/>
        </w:rPr>
        <w:t> </w:t>
      </w:r>
      <w:r>
        <w:rPr>
          <w:color w:val="231F20"/>
          <w:sz w:val="20"/>
        </w:rPr>
        <w:t>Ivanov</w:t>
      </w:r>
      <w:r>
        <w:rPr>
          <w:color w:val="231F20"/>
          <w:spacing w:val="-4"/>
          <w:sz w:val="20"/>
        </w:rPr>
        <w:t> </w:t>
      </w:r>
      <w:r>
        <w:rPr>
          <w:color w:val="231F20"/>
          <w:sz w:val="20"/>
        </w:rPr>
        <w:t>MA,</w:t>
      </w:r>
      <w:r>
        <w:rPr>
          <w:color w:val="231F20"/>
          <w:spacing w:val="-3"/>
          <w:sz w:val="20"/>
        </w:rPr>
        <w:t> </w:t>
      </w:r>
      <w:r>
        <w:rPr>
          <w:color w:val="231F20"/>
          <w:sz w:val="20"/>
        </w:rPr>
        <w:t>Inozemtsev</w:t>
      </w:r>
      <w:r>
        <w:rPr>
          <w:color w:val="231F20"/>
          <w:spacing w:val="-2"/>
          <w:sz w:val="20"/>
        </w:rPr>
        <w:t> </w:t>
      </w:r>
      <w:r>
        <w:rPr>
          <w:color w:val="231F20"/>
          <w:sz w:val="20"/>
        </w:rPr>
        <w:t>AV,</w:t>
      </w:r>
      <w:r>
        <w:rPr>
          <w:color w:val="231F20"/>
          <w:spacing w:val="-3"/>
          <w:sz w:val="20"/>
        </w:rPr>
        <w:t> </w:t>
      </w:r>
      <w:r>
        <w:rPr>
          <w:color w:val="231F20"/>
          <w:sz w:val="20"/>
        </w:rPr>
        <w:t>et al.</w:t>
      </w:r>
      <w:r>
        <w:rPr>
          <w:color w:val="231F20"/>
          <w:spacing w:val="-3"/>
          <w:sz w:val="20"/>
        </w:rPr>
        <w:t> </w:t>
      </w:r>
      <w:r>
        <w:rPr>
          <w:color w:val="231F20"/>
          <w:sz w:val="20"/>
        </w:rPr>
        <w:t>Formation</w:t>
      </w:r>
      <w:r>
        <w:rPr>
          <w:color w:val="231F20"/>
          <w:spacing w:val="-4"/>
          <w:sz w:val="20"/>
        </w:rPr>
        <w:t> </w:t>
      </w:r>
      <w:r>
        <w:rPr>
          <w:color w:val="231F20"/>
          <w:sz w:val="20"/>
        </w:rPr>
        <w:t>of vortices during Explosion Welding (Titanium–Orthorhombic Titanium Aluminide). Phys Met Metallogr </w:t>
      </w:r>
      <w:r>
        <w:rPr>
          <w:color w:val="231F20"/>
          <w:spacing w:val="-2"/>
          <w:sz w:val="20"/>
        </w:rPr>
        <w:t>2009;108:353–64.</w:t>
      </w:r>
    </w:p>
    <w:p>
      <w:pPr>
        <w:pStyle w:val="ListParagraph"/>
        <w:numPr>
          <w:ilvl w:val="0"/>
          <w:numId w:val="2"/>
        </w:numPr>
        <w:tabs>
          <w:tab w:pos="693" w:val="left" w:leader="none"/>
        </w:tabs>
        <w:spacing w:line="240" w:lineRule="auto" w:before="2" w:after="0"/>
        <w:ind w:left="410" w:right="640" w:firstLine="0"/>
        <w:jc w:val="left"/>
        <w:rPr>
          <w:sz w:val="20"/>
        </w:rPr>
      </w:pPr>
      <w:r>
        <w:rPr>
          <w:color w:val="231F20"/>
          <w:sz w:val="20"/>
        </w:rPr>
        <w:t>Rybin VV, Greenberg BA, Ivanov MA, Kuz'min SV, Lysak VI, Elkina OA, et al. Structure of the Welding</w:t>
      </w:r>
      <w:r>
        <w:rPr>
          <w:color w:val="231F20"/>
          <w:spacing w:val="-3"/>
          <w:sz w:val="20"/>
        </w:rPr>
        <w:t> </w:t>
      </w:r>
      <w:r>
        <w:rPr>
          <w:color w:val="231F20"/>
          <w:sz w:val="20"/>
        </w:rPr>
        <w:t>Zone</w:t>
      </w:r>
      <w:r>
        <w:rPr>
          <w:color w:val="231F20"/>
          <w:spacing w:val="-4"/>
          <w:sz w:val="20"/>
        </w:rPr>
        <w:t> </w:t>
      </w:r>
      <w:r>
        <w:rPr>
          <w:color w:val="231F20"/>
          <w:sz w:val="20"/>
        </w:rPr>
        <w:t>between</w:t>
      </w:r>
      <w:r>
        <w:rPr>
          <w:color w:val="231F20"/>
          <w:spacing w:val="-5"/>
          <w:sz w:val="20"/>
        </w:rPr>
        <w:t> </w:t>
      </w:r>
      <w:r>
        <w:rPr>
          <w:color w:val="231F20"/>
          <w:sz w:val="20"/>
        </w:rPr>
        <w:t>Titanium</w:t>
      </w:r>
      <w:r>
        <w:rPr>
          <w:color w:val="231F20"/>
          <w:spacing w:val="-7"/>
          <w:sz w:val="20"/>
        </w:rPr>
        <w:t> </w:t>
      </w:r>
      <w:r>
        <w:rPr>
          <w:color w:val="231F20"/>
          <w:sz w:val="20"/>
        </w:rPr>
        <w:t>and</w:t>
      </w:r>
      <w:r>
        <w:rPr>
          <w:color w:val="231F20"/>
          <w:spacing w:val="-3"/>
          <w:sz w:val="20"/>
        </w:rPr>
        <w:t> </w:t>
      </w:r>
      <w:r>
        <w:rPr>
          <w:color w:val="231F20"/>
          <w:sz w:val="20"/>
        </w:rPr>
        <w:t>Orthorhombic</w:t>
      </w:r>
      <w:r>
        <w:rPr>
          <w:color w:val="231F20"/>
          <w:spacing w:val="-4"/>
          <w:sz w:val="20"/>
        </w:rPr>
        <w:t> </w:t>
      </w:r>
      <w:r>
        <w:rPr>
          <w:color w:val="231F20"/>
          <w:sz w:val="20"/>
        </w:rPr>
        <w:t>Titanium</w:t>
      </w:r>
      <w:r>
        <w:rPr>
          <w:color w:val="231F20"/>
          <w:spacing w:val="-3"/>
          <w:sz w:val="20"/>
        </w:rPr>
        <w:t> </w:t>
      </w:r>
      <w:r>
        <w:rPr>
          <w:color w:val="231F20"/>
          <w:sz w:val="20"/>
        </w:rPr>
        <w:t>Aluminide</w:t>
      </w:r>
      <w:r>
        <w:rPr>
          <w:color w:val="231F20"/>
          <w:spacing w:val="-1"/>
          <w:sz w:val="20"/>
        </w:rPr>
        <w:t> </w:t>
      </w:r>
      <w:r>
        <w:rPr>
          <w:color w:val="231F20"/>
          <w:sz w:val="20"/>
        </w:rPr>
        <w:t>for</w:t>
      </w:r>
      <w:r>
        <w:rPr>
          <w:color w:val="231F20"/>
          <w:spacing w:val="-3"/>
          <w:sz w:val="20"/>
        </w:rPr>
        <w:t> </w:t>
      </w:r>
      <w:r>
        <w:rPr>
          <w:color w:val="231F20"/>
          <w:sz w:val="20"/>
        </w:rPr>
        <w:t>Explosion</w:t>
      </w:r>
      <w:r>
        <w:rPr>
          <w:color w:val="231F20"/>
          <w:spacing w:val="-5"/>
          <w:sz w:val="20"/>
        </w:rPr>
        <w:t> </w:t>
      </w:r>
      <w:r>
        <w:rPr>
          <w:color w:val="231F20"/>
          <w:sz w:val="20"/>
        </w:rPr>
        <w:t>Welding:</w:t>
      </w:r>
      <w:r>
        <w:rPr>
          <w:color w:val="231F20"/>
          <w:spacing w:val="-4"/>
          <w:sz w:val="20"/>
        </w:rPr>
        <w:t> </w:t>
      </w:r>
      <w:r>
        <w:rPr>
          <w:color w:val="231F20"/>
          <w:sz w:val="20"/>
        </w:rPr>
        <w:t>I.</w:t>
      </w:r>
      <w:r>
        <w:rPr>
          <w:color w:val="231F20"/>
          <w:spacing w:val="-3"/>
          <w:sz w:val="20"/>
        </w:rPr>
        <w:t> </w:t>
      </w:r>
      <w:r>
        <w:rPr>
          <w:color w:val="231F20"/>
          <w:sz w:val="20"/>
        </w:rPr>
        <w:t>Interface. Russian Metallurgy (Metally) 2011;10:1008–15.</w:t>
      </w:r>
    </w:p>
    <w:p>
      <w:pPr>
        <w:pStyle w:val="ListParagraph"/>
        <w:numPr>
          <w:ilvl w:val="0"/>
          <w:numId w:val="2"/>
        </w:numPr>
        <w:tabs>
          <w:tab w:pos="693" w:val="left" w:leader="none"/>
        </w:tabs>
        <w:spacing w:line="240" w:lineRule="auto" w:before="0" w:after="0"/>
        <w:ind w:left="410" w:right="879" w:firstLine="0"/>
        <w:jc w:val="left"/>
        <w:rPr>
          <w:sz w:val="20"/>
        </w:rPr>
      </w:pPr>
      <w:r>
        <w:rPr>
          <w:color w:val="231F20"/>
          <w:sz w:val="20"/>
        </w:rPr>
        <w:t>Greenberg BA, Ivanov MA, Rybin VV, Kuz'min SV, Lysak VI, Elkina OA, et al. Structure of the Welding</w:t>
      </w:r>
      <w:r>
        <w:rPr>
          <w:color w:val="231F20"/>
          <w:spacing w:val="-3"/>
          <w:sz w:val="20"/>
        </w:rPr>
        <w:t> </w:t>
      </w:r>
      <w:r>
        <w:rPr>
          <w:color w:val="231F20"/>
          <w:sz w:val="20"/>
        </w:rPr>
        <w:t>Zone</w:t>
      </w:r>
      <w:r>
        <w:rPr>
          <w:color w:val="231F20"/>
          <w:spacing w:val="-4"/>
          <w:sz w:val="20"/>
        </w:rPr>
        <w:t> </w:t>
      </w:r>
      <w:r>
        <w:rPr>
          <w:color w:val="231F20"/>
          <w:sz w:val="20"/>
        </w:rPr>
        <w:t>between</w:t>
      </w:r>
      <w:r>
        <w:rPr>
          <w:color w:val="231F20"/>
          <w:spacing w:val="-5"/>
          <w:sz w:val="20"/>
        </w:rPr>
        <w:t> </w:t>
      </w:r>
      <w:r>
        <w:rPr>
          <w:color w:val="231F20"/>
          <w:sz w:val="20"/>
        </w:rPr>
        <w:t>Titanium</w:t>
      </w:r>
      <w:r>
        <w:rPr>
          <w:color w:val="231F20"/>
          <w:spacing w:val="-7"/>
          <w:sz w:val="20"/>
        </w:rPr>
        <w:t> </w:t>
      </w:r>
      <w:r>
        <w:rPr>
          <w:color w:val="231F20"/>
          <w:sz w:val="20"/>
        </w:rPr>
        <w:t>and</w:t>
      </w:r>
      <w:r>
        <w:rPr>
          <w:color w:val="231F20"/>
          <w:spacing w:val="-3"/>
          <w:sz w:val="20"/>
        </w:rPr>
        <w:t> </w:t>
      </w:r>
      <w:r>
        <w:rPr>
          <w:color w:val="231F20"/>
          <w:sz w:val="20"/>
        </w:rPr>
        <w:t>Orthorhombic</w:t>
      </w:r>
      <w:r>
        <w:rPr>
          <w:color w:val="231F20"/>
          <w:spacing w:val="-4"/>
          <w:sz w:val="20"/>
        </w:rPr>
        <w:t> </w:t>
      </w:r>
      <w:r>
        <w:rPr>
          <w:color w:val="231F20"/>
          <w:sz w:val="20"/>
        </w:rPr>
        <w:t>Titanium</w:t>
      </w:r>
      <w:r>
        <w:rPr>
          <w:color w:val="231F20"/>
          <w:spacing w:val="-3"/>
          <w:sz w:val="20"/>
        </w:rPr>
        <w:t> </w:t>
      </w:r>
      <w:r>
        <w:rPr>
          <w:color w:val="231F20"/>
          <w:sz w:val="20"/>
        </w:rPr>
        <w:t>Aluminide</w:t>
      </w:r>
      <w:r>
        <w:rPr>
          <w:color w:val="231F20"/>
          <w:spacing w:val="-1"/>
          <w:sz w:val="20"/>
        </w:rPr>
        <w:t> </w:t>
      </w:r>
      <w:r>
        <w:rPr>
          <w:color w:val="231F20"/>
          <w:sz w:val="20"/>
        </w:rPr>
        <w:t>for</w:t>
      </w:r>
      <w:r>
        <w:rPr>
          <w:color w:val="231F20"/>
          <w:spacing w:val="-3"/>
          <w:sz w:val="20"/>
        </w:rPr>
        <w:t> </w:t>
      </w:r>
      <w:r>
        <w:rPr>
          <w:color w:val="231F20"/>
          <w:sz w:val="20"/>
        </w:rPr>
        <w:t>Explosion</w:t>
      </w:r>
      <w:r>
        <w:rPr>
          <w:color w:val="231F20"/>
          <w:spacing w:val="-5"/>
          <w:sz w:val="20"/>
        </w:rPr>
        <w:t> </w:t>
      </w:r>
      <w:r>
        <w:rPr>
          <w:color w:val="231F20"/>
          <w:sz w:val="20"/>
        </w:rPr>
        <w:t>Welding:</w:t>
      </w:r>
      <w:r>
        <w:rPr>
          <w:color w:val="231F20"/>
          <w:spacing w:val="-4"/>
          <w:sz w:val="20"/>
        </w:rPr>
        <w:t> </w:t>
      </w:r>
      <w:r>
        <w:rPr>
          <w:color w:val="231F20"/>
          <w:sz w:val="20"/>
        </w:rPr>
        <w:t>II.</w:t>
      </w:r>
      <w:r>
        <w:rPr>
          <w:color w:val="231F20"/>
          <w:spacing w:val="-3"/>
          <w:sz w:val="20"/>
        </w:rPr>
        <w:t> </w:t>
      </w:r>
      <w:r>
        <w:rPr>
          <w:color w:val="231F20"/>
          <w:sz w:val="20"/>
        </w:rPr>
        <w:t>Local Melting Zones. Russian Metallurgy (Metally) 2011;10:1016–25.</w:t>
      </w:r>
    </w:p>
    <w:p>
      <w:pPr>
        <w:pStyle w:val="ListParagraph"/>
        <w:numPr>
          <w:ilvl w:val="0"/>
          <w:numId w:val="2"/>
        </w:numPr>
        <w:tabs>
          <w:tab w:pos="694" w:val="left" w:leader="none"/>
        </w:tabs>
        <w:spacing w:line="240" w:lineRule="auto" w:before="0" w:after="0"/>
        <w:ind w:left="410" w:right="774" w:firstLine="0"/>
        <w:jc w:val="left"/>
        <w:rPr>
          <w:sz w:val="20"/>
        </w:rPr>
      </w:pPr>
      <w:r>
        <w:rPr>
          <w:color w:val="231F20"/>
          <w:sz w:val="20"/>
        </w:rPr>
        <w:t>Rybin</w:t>
      </w:r>
      <w:r>
        <w:rPr>
          <w:color w:val="231F20"/>
          <w:spacing w:val="-4"/>
          <w:sz w:val="20"/>
        </w:rPr>
        <w:t> </w:t>
      </w:r>
      <w:r>
        <w:rPr>
          <w:color w:val="231F20"/>
          <w:sz w:val="20"/>
        </w:rPr>
        <w:t>VV,</w:t>
      </w:r>
      <w:r>
        <w:rPr>
          <w:color w:val="231F20"/>
          <w:spacing w:val="-3"/>
          <w:sz w:val="20"/>
        </w:rPr>
        <w:t> </w:t>
      </w:r>
      <w:r>
        <w:rPr>
          <w:color w:val="231F20"/>
          <w:sz w:val="20"/>
        </w:rPr>
        <w:t>Greenberg</w:t>
      </w:r>
      <w:r>
        <w:rPr>
          <w:color w:val="231F20"/>
          <w:spacing w:val="-4"/>
          <w:sz w:val="20"/>
        </w:rPr>
        <w:t> </w:t>
      </w:r>
      <w:r>
        <w:rPr>
          <w:color w:val="231F20"/>
          <w:sz w:val="20"/>
        </w:rPr>
        <w:t>BA, Ivanov</w:t>
      </w:r>
      <w:r>
        <w:rPr>
          <w:color w:val="231F20"/>
          <w:spacing w:val="-4"/>
          <w:sz w:val="20"/>
        </w:rPr>
        <w:t> </w:t>
      </w:r>
      <w:r>
        <w:rPr>
          <w:color w:val="231F20"/>
          <w:sz w:val="20"/>
        </w:rPr>
        <w:t>MA,</w:t>
      </w:r>
      <w:r>
        <w:rPr>
          <w:color w:val="231F20"/>
          <w:spacing w:val="-3"/>
          <w:sz w:val="20"/>
        </w:rPr>
        <w:t> </w:t>
      </w:r>
      <w:r>
        <w:rPr>
          <w:color w:val="231F20"/>
          <w:sz w:val="20"/>
        </w:rPr>
        <w:t>Patselov</w:t>
      </w:r>
      <w:r>
        <w:rPr>
          <w:color w:val="231F20"/>
          <w:spacing w:val="-2"/>
          <w:sz w:val="20"/>
        </w:rPr>
        <w:t> </w:t>
      </w:r>
      <w:r>
        <w:rPr>
          <w:color w:val="231F20"/>
          <w:sz w:val="20"/>
        </w:rPr>
        <w:t>AM,</w:t>
      </w:r>
      <w:r>
        <w:rPr>
          <w:color w:val="231F20"/>
          <w:spacing w:val="-2"/>
          <w:sz w:val="20"/>
        </w:rPr>
        <w:t> </w:t>
      </w:r>
      <w:r>
        <w:rPr>
          <w:color w:val="231F20"/>
          <w:sz w:val="20"/>
        </w:rPr>
        <w:t>Antonova</w:t>
      </w:r>
      <w:r>
        <w:rPr>
          <w:color w:val="231F20"/>
          <w:spacing w:val="-3"/>
          <w:sz w:val="20"/>
        </w:rPr>
        <w:t> </w:t>
      </w:r>
      <w:r>
        <w:rPr>
          <w:color w:val="231F20"/>
          <w:sz w:val="20"/>
        </w:rPr>
        <w:t>OV,</w:t>
      </w:r>
      <w:r>
        <w:rPr>
          <w:color w:val="231F20"/>
          <w:spacing w:val="-3"/>
          <w:sz w:val="20"/>
        </w:rPr>
        <w:t> </w:t>
      </w:r>
      <w:r>
        <w:rPr>
          <w:color w:val="231F20"/>
          <w:sz w:val="20"/>
        </w:rPr>
        <w:t>Elkina</w:t>
      </w:r>
      <w:r>
        <w:rPr>
          <w:color w:val="231F20"/>
          <w:spacing w:val="-3"/>
          <w:sz w:val="20"/>
        </w:rPr>
        <w:t> </w:t>
      </w:r>
      <w:r>
        <w:rPr>
          <w:color w:val="231F20"/>
          <w:sz w:val="20"/>
        </w:rPr>
        <w:t>OA,</w:t>
      </w:r>
      <w:r>
        <w:rPr>
          <w:color w:val="231F20"/>
          <w:spacing w:val="-3"/>
          <w:sz w:val="20"/>
        </w:rPr>
        <w:t> </w:t>
      </w:r>
      <w:r>
        <w:rPr>
          <w:color w:val="231F20"/>
          <w:sz w:val="20"/>
        </w:rPr>
        <w:t>et</w:t>
      </w:r>
      <w:r>
        <w:rPr>
          <w:color w:val="231F20"/>
          <w:spacing w:val="-3"/>
          <w:sz w:val="20"/>
        </w:rPr>
        <w:t> </w:t>
      </w:r>
      <w:r>
        <w:rPr>
          <w:color w:val="231F20"/>
          <w:sz w:val="20"/>
        </w:rPr>
        <w:t>al. Nanostructure</w:t>
      </w:r>
      <w:r>
        <w:rPr>
          <w:color w:val="231F20"/>
          <w:spacing w:val="-3"/>
          <w:sz w:val="20"/>
        </w:rPr>
        <w:t> </w:t>
      </w:r>
      <w:r>
        <w:rPr>
          <w:color w:val="231F20"/>
          <w:sz w:val="20"/>
        </w:rPr>
        <w:t>of Vortex During Explosion Welding. Journal of Nanoscience and Nanotechnology 2011;11:8885-95</w:t>
      </w:r>
    </w:p>
    <w:p>
      <w:pPr>
        <w:pStyle w:val="ListParagraph"/>
        <w:numPr>
          <w:ilvl w:val="0"/>
          <w:numId w:val="2"/>
        </w:numPr>
        <w:tabs>
          <w:tab w:pos="692" w:val="left" w:leader="none"/>
        </w:tabs>
        <w:spacing w:line="240" w:lineRule="auto" w:before="0" w:after="0"/>
        <w:ind w:left="410" w:right="828" w:firstLine="0"/>
        <w:jc w:val="left"/>
        <w:rPr>
          <w:sz w:val="20"/>
        </w:rPr>
      </w:pPr>
      <w:r>
        <w:rPr>
          <w:color w:val="231F20"/>
          <w:sz w:val="20"/>
        </w:rPr>
        <w:t>Grinberg</w:t>
      </w:r>
      <w:r>
        <w:rPr>
          <w:color w:val="231F20"/>
          <w:spacing w:val="-4"/>
          <w:sz w:val="20"/>
        </w:rPr>
        <w:t> </w:t>
      </w:r>
      <w:r>
        <w:rPr>
          <w:color w:val="231F20"/>
          <w:sz w:val="20"/>
        </w:rPr>
        <w:t>BA,</w:t>
      </w:r>
      <w:r>
        <w:rPr>
          <w:color w:val="231F20"/>
          <w:spacing w:val="-3"/>
          <w:sz w:val="20"/>
        </w:rPr>
        <w:t> </w:t>
      </w:r>
      <w:r>
        <w:rPr>
          <w:color w:val="231F20"/>
          <w:sz w:val="20"/>
        </w:rPr>
        <w:t>Elkina</w:t>
      </w:r>
      <w:r>
        <w:rPr>
          <w:color w:val="231F20"/>
          <w:spacing w:val="-3"/>
          <w:sz w:val="20"/>
        </w:rPr>
        <w:t> </w:t>
      </w:r>
      <w:r>
        <w:rPr>
          <w:color w:val="231F20"/>
          <w:sz w:val="20"/>
        </w:rPr>
        <w:t>OA, Antonova</w:t>
      </w:r>
      <w:r>
        <w:rPr>
          <w:color w:val="231F20"/>
          <w:spacing w:val="-3"/>
          <w:sz w:val="20"/>
        </w:rPr>
        <w:t> </w:t>
      </w:r>
      <w:r>
        <w:rPr>
          <w:color w:val="231F20"/>
          <w:sz w:val="20"/>
        </w:rPr>
        <w:t>OV,</w:t>
      </w:r>
      <w:r>
        <w:rPr>
          <w:color w:val="231F20"/>
          <w:spacing w:val="-3"/>
          <w:sz w:val="20"/>
        </w:rPr>
        <w:t> </w:t>
      </w:r>
      <w:r>
        <w:rPr>
          <w:color w:val="231F20"/>
          <w:sz w:val="20"/>
        </w:rPr>
        <w:t>Inozemtsev</w:t>
      </w:r>
      <w:r>
        <w:rPr>
          <w:color w:val="231F20"/>
          <w:spacing w:val="-2"/>
          <w:sz w:val="20"/>
        </w:rPr>
        <w:t> </w:t>
      </w:r>
      <w:r>
        <w:rPr>
          <w:color w:val="231F20"/>
          <w:sz w:val="20"/>
        </w:rPr>
        <w:t>AV,</w:t>
      </w:r>
      <w:r>
        <w:rPr>
          <w:color w:val="231F20"/>
          <w:spacing w:val="-3"/>
          <w:sz w:val="20"/>
        </w:rPr>
        <w:t> </w:t>
      </w:r>
      <w:r>
        <w:rPr>
          <w:color w:val="231F20"/>
          <w:sz w:val="20"/>
        </w:rPr>
        <w:t>Ivanov</w:t>
      </w:r>
      <w:r>
        <w:rPr>
          <w:color w:val="231F20"/>
          <w:spacing w:val="-2"/>
          <w:sz w:val="20"/>
        </w:rPr>
        <w:t> </w:t>
      </w:r>
      <w:r>
        <w:rPr>
          <w:color w:val="231F20"/>
          <w:sz w:val="20"/>
        </w:rPr>
        <w:t>MA, Rybin</w:t>
      </w:r>
      <w:r>
        <w:rPr>
          <w:color w:val="231F20"/>
          <w:spacing w:val="-4"/>
          <w:sz w:val="20"/>
        </w:rPr>
        <w:t> </w:t>
      </w:r>
      <w:r>
        <w:rPr>
          <w:color w:val="231F20"/>
          <w:sz w:val="20"/>
        </w:rPr>
        <w:t>VV,</w:t>
      </w:r>
      <w:r>
        <w:rPr>
          <w:color w:val="231F20"/>
          <w:spacing w:val="-3"/>
          <w:sz w:val="20"/>
        </w:rPr>
        <w:t> </w:t>
      </w:r>
      <w:r>
        <w:rPr>
          <w:color w:val="231F20"/>
          <w:sz w:val="20"/>
        </w:rPr>
        <w:t>et al.</w:t>
      </w:r>
      <w:r>
        <w:rPr>
          <w:color w:val="231F20"/>
          <w:spacing w:val="-3"/>
          <w:sz w:val="20"/>
        </w:rPr>
        <w:t> </w:t>
      </w:r>
      <w:r>
        <w:rPr>
          <w:color w:val="231F20"/>
          <w:sz w:val="20"/>
        </w:rPr>
        <w:t>Peculiarities</w:t>
      </w:r>
      <w:r>
        <w:rPr>
          <w:color w:val="231F20"/>
          <w:spacing w:val="-3"/>
          <w:sz w:val="20"/>
        </w:rPr>
        <w:t> </w:t>
      </w:r>
      <w:r>
        <w:rPr>
          <w:color w:val="231F20"/>
          <w:sz w:val="20"/>
        </w:rPr>
        <w:t>of formation of structure in the transition zone of the Cu-Ta joint made by explosion welding. The Paton Welding Journal 2007;7:20-5.</w:t>
      </w:r>
    </w:p>
    <w:p>
      <w:pPr>
        <w:pStyle w:val="ListParagraph"/>
        <w:numPr>
          <w:ilvl w:val="0"/>
          <w:numId w:val="2"/>
        </w:numPr>
        <w:tabs>
          <w:tab w:pos="693" w:val="left" w:leader="none"/>
        </w:tabs>
        <w:spacing w:line="240" w:lineRule="auto" w:before="1" w:after="0"/>
        <w:ind w:left="410" w:right="621" w:firstLine="0"/>
        <w:jc w:val="left"/>
        <w:rPr>
          <w:sz w:val="20"/>
        </w:rPr>
      </w:pPr>
      <w:r>
        <w:rPr>
          <w:color w:val="231F20"/>
          <w:sz w:val="20"/>
        </w:rPr>
        <w:t>Greenberg</w:t>
      </w:r>
      <w:r>
        <w:rPr>
          <w:color w:val="231F20"/>
          <w:spacing w:val="-4"/>
          <w:sz w:val="20"/>
        </w:rPr>
        <w:t> </w:t>
      </w:r>
      <w:r>
        <w:rPr>
          <w:color w:val="231F20"/>
          <w:sz w:val="20"/>
        </w:rPr>
        <w:t>BA,</w:t>
      </w:r>
      <w:r>
        <w:rPr>
          <w:color w:val="231F20"/>
          <w:spacing w:val="-2"/>
          <w:sz w:val="20"/>
        </w:rPr>
        <w:t> </w:t>
      </w:r>
      <w:r>
        <w:rPr>
          <w:color w:val="231F20"/>
          <w:sz w:val="20"/>
        </w:rPr>
        <w:t>Rybin</w:t>
      </w:r>
      <w:r>
        <w:rPr>
          <w:color w:val="231F20"/>
          <w:spacing w:val="-4"/>
          <w:sz w:val="20"/>
        </w:rPr>
        <w:t> </w:t>
      </w:r>
      <w:r>
        <w:rPr>
          <w:color w:val="231F20"/>
          <w:sz w:val="20"/>
        </w:rPr>
        <w:t>VV, Antonova</w:t>
      </w:r>
      <w:r>
        <w:rPr>
          <w:color w:val="231F20"/>
          <w:spacing w:val="-2"/>
          <w:sz w:val="20"/>
        </w:rPr>
        <w:t> </w:t>
      </w:r>
      <w:r>
        <w:rPr>
          <w:color w:val="231F20"/>
          <w:sz w:val="20"/>
        </w:rPr>
        <w:t>OV.</w:t>
      </w:r>
      <w:r>
        <w:rPr>
          <w:color w:val="231F20"/>
          <w:spacing w:val="-2"/>
          <w:sz w:val="20"/>
        </w:rPr>
        <w:t> </w:t>
      </w:r>
      <w:r>
        <w:rPr>
          <w:color w:val="231F20"/>
          <w:sz w:val="20"/>
        </w:rPr>
        <w:t>Microstructure</w:t>
      </w:r>
      <w:r>
        <w:rPr>
          <w:color w:val="231F20"/>
          <w:spacing w:val="-2"/>
          <w:sz w:val="20"/>
        </w:rPr>
        <w:t> </w:t>
      </w:r>
      <w:r>
        <w:rPr>
          <w:color w:val="231F20"/>
          <w:sz w:val="20"/>
        </w:rPr>
        <w:t>of</w:t>
      </w:r>
      <w:r>
        <w:rPr>
          <w:color w:val="231F20"/>
          <w:spacing w:val="-4"/>
          <w:sz w:val="20"/>
        </w:rPr>
        <w:t> </w:t>
      </w:r>
      <w:r>
        <w:rPr>
          <w:color w:val="231F20"/>
          <w:sz w:val="20"/>
        </w:rPr>
        <w:t>bimetallic</w:t>
      </w:r>
      <w:r>
        <w:rPr>
          <w:color w:val="231F20"/>
          <w:spacing w:val="-3"/>
          <w:sz w:val="20"/>
        </w:rPr>
        <w:t> </w:t>
      </w:r>
      <w:r>
        <w:rPr>
          <w:color w:val="231F20"/>
          <w:sz w:val="20"/>
        </w:rPr>
        <w:t>joint</w:t>
      </w:r>
      <w:r>
        <w:rPr>
          <w:color w:val="231F20"/>
          <w:spacing w:val="-3"/>
          <w:sz w:val="20"/>
        </w:rPr>
        <w:t> </w:t>
      </w:r>
      <w:r>
        <w:rPr>
          <w:color w:val="231F20"/>
          <w:sz w:val="20"/>
        </w:rPr>
        <w:t>of</w:t>
      </w:r>
      <w:r>
        <w:rPr>
          <w:color w:val="231F20"/>
          <w:spacing w:val="-5"/>
          <w:sz w:val="20"/>
        </w:rPr>
        <w:t> </w:t>
      </w:r>
      <w:r>
        <w:rPr>
          <w:color w:val="231F20"/>
          <w:sz w:val="20"/>
        </w:rPr>
        <w:t>titanium</w:t>
      </w:r>
      <w:r>
        <w:rPr>
          <w:color w:val="231F20"/>
          <w:spacing w:val="-5"/>
          <w:sz w:val="20"/>
        </w:rPr>
        <w:t> </w:t>
      </w:r>
      <w:r>
        <w:rPr>
          <w:color w:val="231F20"/>
          <w:sz w:val="20"/>
        </w:rPr>
        <w:t>and</w:t>
      </w:r>
      <w:r>
        <w:rPr>
          <w:color w:val="231F20"/>
          <w:spacing w:val="-2"/>
          <w:sz w:val="20"/>
        </w:rPr>
        <w:t> </w:t>
      </w:r>
      <w:r>
        <w:rPr>
          <w:color w:val="231F20"/>
          <w:sz w:val="20"/>
        </w:rPr>
        <w:t>orthorhombic titanium aluminide (explosion welding).</w:t>
      </w:r>
      <w:r>
        <w:rPr>
          <w:color w:val="231F20"/>
          <w:spacing w:val="40"/>
          <w:sz w:val="20"/>
        </w:rPr>
        <w:t> </w:t>
      </w:r>
      <w:r>
        <w:rPr>
          <w:color w:val="231F20"/>
          <w:sz w:val="20"/>
        </w:rPr>
        <w:t>In: monograph Severe Plastic Deformation: Toward Bulk</w:t>
      </w:r>
    </w:p>
    <w:p>
      <w:pPr>
        <w:spacing w:after="0" w:line="240" w:lineRule="auto"/>
        <w:jc w:val="left"/>
        <w:rPr>
          <w:sz w:val="20"/>
        </w:rPr>
        <w:sectPr>
          <w:pgSz w:w="10890" w:h="14860"/>
          <w:pgMar w:header="713" w:footer="0" w:top="900" w:bottom="280" w:left="460" w:right="600"/>
        </w:sectPr>
      </w:pPr>
    </w:p>
    <w:p>
      <w:pPr>
        <w:pStyle w:val="BodyText"/>
        <w:spacing w:before="203"/>
      </w:pPr>
    </w:p>
    <w:p>
      <w:pPr>
        <w:pStyle w:val="BodyText"/>
        <w:spacing w:before="1"/>
        <w:ind w:left="353"/>
      </w:pPr>
      <w:r>
        <w:rPr>
          <w:color w:val="231F20"/>
        </w:rPr>
        <w:t>Production</w:t>
      </w:r>
      <w:r>
        <w:rPr>
          <w:color w:val="231F20"/>
          <w:spacing w:val="-9"/>
        </w:rPr>
        <w:t> </w:t>
      </w:r>
      <w:r>
        <w:rPr>
          <w:color w:val="231F20"/>
        </w:rPr>
        <w:t>of</w:t>
      </w:r>
      <w:r>
        <w:rPr>
          <w:color w:val="231F20"/>
          <w:spacing w:val="-9"/>
        </w:rPr>
        <w:t> </w:t>
      </w:r>
      <w:r>
        <w:rPr>
          <w:color w:val="231F20"/>
        </w:rPr>
        <w:t>Nanostructured</w:t>
      </w:r>
      <w:r>
        <w:rPr>
          <w:color w:val="231F20"/>
          <w:spacing w:val="-7"/>
        </w:rPr>
        <w:t> </w:t>
      </w:r>
      <w:r>
        <w:rPr>
          <w:color w:val="231F20"/>
        </w:rPr>
        <w:t>Materials,</w:t>
      </w:r>
      <w:r>
        <w:rPr>
          <w:color w:val="231F20"/>
          <w:spacing w:val="-7"/>
        </w:rPr>
        <w:t> </w:t>
      </w:r>
      <w:r>
        <w:rPr>
          <w:color w:val="231F20"/>
        </w:rPr>
        <w:t>New-York:</w:t>
      </w:r>
      <w:r>
        <w:rPr>
          <w:color w:val="231F20"/>
          <w:spacing w:val="-7"/>
        </w:rPr>
        <w:t> </w:t>
      </w:r>
      <w:r>
        <w:rPr>
          <w:color w:val="231F20"/>
        </w:rPr>
        <w:t>Nova</w:t>
      </w:r>
      <w:r>
        <w:rPr>
          <w:color w:val="231F20"/>
          <w:spacing w:val="-8"/>
        </w:rPr>
        <w:t> </w:t>
      </w:r>
      <w:r>
        <w:rPr>
          <w:color w:val="231F20"/>
        </w:rPr>
        <w:t>Science</w:t>
      </w:r>
      <w:r>
        <w:rPr>
          <w:color w:val="231F20"/>
          <w:spacing w:val="-8"/>
        </w:rPr>
        <w:t> </w:t>
      </w:r>
      <w:r>
        <w:rPr>
          <w:color w:val="231F20"/>
        </w:rPr>
        <w:t>Publishers</w:t>
      </w:r>
      <w:r>
        <w:rPr>
          <w:color w:val="231F20"/>
          <w:spacing w:val="-8"/>
        </w:rPr>
        <w:t> </w:t>
      </w:r>
      <w:r>
        <w:rPr>
          <w:color w:val="231F20"/>
        </w:rPr>
        <w:t>Inc.;</w:t>
      </w:r>
      <w:r>
        <w:rPr>
          <w:color w:val="231F20"/>
          <w:spacing w:val="-7"/>
        </w:rPr>
        <w:t> </w:t>
      </w:r>
      <w:r>
        <w:rPr>
          <w:color w:val="231F20"/>
        </w:rPr>
        <w:t>2005,</w:t>
      </w:r>
      <w:r>
        <w:rPr>
          <w:color w:val="231F20"/>
          <w:spacing w:val="-7"/>
        </w:rPr>
        <w:t> </w:t>
      </w:r>
      <w:r>
        <w:rPr>
          <w:color w:val="231F20"/>
        </w:rPr>
        <w:t>p.533-</w:t>
      </w:r>
      <w:r>
        <w:rPr>
          <w:color w:val="231F20"/>
          <w:spacing w:val="-4"/>
        </w:rPr>
        <w:t>544.</w:t>
      </w:r>
    </w:p>
    <w:p>
      <w:pPr>
        <w:pStyle w:val="ListParagraph"/>
        <w:numPr>
          <w:ilvl w:val="0"/>
          <w:numId w:val="2"/>
        </w:numPr>
        <w:tabs>
          <w:tab w:pos="635" w:val="left" w:leader="none"/>
        </w:tabs>
        <w:spacing w:line="240" w:lineRule="auto" w:before="0" w:after="0"/>
        <w:ind w:left="635" w:right="0" w:hanging="282"/>
        <w:jc w:val="left"/>
        <w:rPr>
          <w:sz w:val="20"/>
        </w:rPr>
      </w:pPr>
      <w:r>
        <w:rPr>
          <w:color w:val="231F20"/>
          <w:sz w:val="20"/>
        </w:rPr>
        <w:t>Grady</w:t>
      </w:r>
      <w:r>
        <w:rPr>
          <w:color w:val="231F20"/>
          <w:spacing w:val="-10"/>
          <w:sz w:val="20"/>
        </w:rPr>
        <w:t> </w:t>
      </w:r>
      <w:r>
        <w:rPr>
          <w:color w:val="231F20"/>
          <w:sz w:val="20"/>
        </w:rPr>
        <w:t>D.</w:t>
      </w:r>
      <w:r>
        <w:rPr>
          <w:color w:val="231F20"/>
          <w:spacing w:val="-6"/>
          <w:sz w:val="20"/>
        </w:rPr>
        <w:t> </w:t>
      </w:r>
      <w:r>
        <w:rPr>
          <w:color w:val="231F20"/>
          <w:sz w:val="20"/>
        </w:rPr>
        <w:t>Fragmentation</w:t>
      </w:r>
      <w:r>
        <w:rPr>
          <w:color w:val="231F20"/>
          <w:spacing w:val="-7"/>
          <w:sz w:val="20"/>
        </w:rPr>
        <w:t> </w:t>
      </w:r>
      <w:r>
        <w:rPr>
          <w:color w:val="231F20"/>
          <w:sz w:val="20"/>
        </w:rPr>
        <w:t>of</w:t>
      </w:r>
      <w:r>
        <w:rPr>
          <w:color w:val="231F20"/>
          <w:spacing w:val="-8"/>
          <w:sz w:val="20"/>
        </w:rPr>
        <w:t> </w:t>
      </w:r>
      <w:r>
        <w:rPr>
          <w:color w:val="231F20"/>
          <w:sz w:val="20"/>
        </w:rPr>
        <w:t>Rings</w:t>
      </w:r>
      <w:r>
        <w:rPr>
          <w:color w:val="231F20"/>
          <w:spacing w:val="-7"/>
          <w:sz w:val="20"/>
        </w:rPr>
        <w:t> </w:t>
      </w:r>
      <w:r>
        <w:rPr>
          <w:color w:val="231F20"/>
          <w:sz w:val="20"/>
        </w:rPr>
        <w:t>and</w:t>
      </w:r>
      <w:r>
        <w:rPr>
          <w:color w:val="231F20"/>
          <w:spacing w:val="-5"/>
          <w:sz w:val="20"/>
        </w:rPr>
        <w:t> </w:t>
      </w:r>
      <w:r>
        <w:rPr>
          <w:color w:val="231F20"/>
          <w:sz w:val="20"/>
        </w:rPr>
        <w:t>Shells.</w:t>
      </w:r>
      <w:r>
        <w:rPr>
          <w:color w:val="231F20"/>
          <w:spacing w:val="-7"/>
          <w:sz w:val="20"/>
        </w:rPr>
        <w:t> </w:t>
      </w:r>
      <w:r>
        <w:rPr>
          <w:color w:val="231F20"/>
          <w:sz w:val="20"/>
        </w:rPr>
        <w:t>The</w:t>
      </w:r>
      <w:r>
        <w:rPr>
          <w:color w:val="231F20"/>
          <w:spacing w:val="-6"/>
          <w:sz w:val="20"/>
        </w:rPr>
        <w:t> </w:t>
      </w:r>
      <w:r>
        <w:rPr>
          <w:color w:val="231F20"/>
          <w:sz w:val="20"/>
        </w:rPr>
        <w:t>Legacy</w:t>
      </w:r>
      <w:r>
        <w:rPr>
          <w:color w:val="231F20"/>
          <w:spacing w:val="-7"/>
          <w:sz w:val="20"/>
        </w:rPr>
        <w:t> </w:t>
      </w:r>
      <w:r>
        <w:rPr>
          <w:color w:val="231F20"/>
          <w:sz w:val="20"/>
        </w:rPr>
        <w:t>of</w:t>
      </w:r>
      <w:r>
        <w:rPr>
          <w:color w:val="231F20"/>
          <w:spacing w:val="-8"/>
          <w:sz w:val="20"/>
        </w:rPr>
        <w:t> </w:t>
      </w:r>
      <w:r>
        <w:rPr>
          <w:color w:val="231F20"/>
          <w:sz w:val="20"/>
        </w:rPr>
        <w:t>N.F.</w:t>
      </w:r>
      <w:r>
        <w:rPr>
          <w:color w:val="231F20"/>
          <w:spacing w:val="-5"/>
          <w:sz w:val="20"/>
        </w:rPr>
        <w:t> </w:t>
      </w:r>
      <w:r>
        <w:rPr>
          <w:color w:val="231F20"/>
          <w:sz w:val="20"/>
        </w:rPr>
        <w:t>Mott.</w:t>
      </w:r>
      <w:r>
        <w:rPr>
          <w:color w:val="231F20"/>
          <w:spacing w:val="-5"/>
          <w:sz w:val="20"/>
        </w:rPr>
        <w:t> </w:t>
      </w:r>
      <w:r>
        <w:rPr>
          <w:color w:val="231F20"/>
          <w:sz w:val="20"/>
        </w:rPr>
        <w:t>Berlin:</w:t>
      </w:r>
      <w:r>
        <w:rPr>
          <w:color w:val="231F20"/>
          <w:spacing w:val="-6"/>
          <w:sz w:val="20"/>
        </w:rPr>
        <w:t> </w:t>
      </w:r>
      <w:r>
        <w:rPr>
          <w:color w:val="231F20"/>
          <w:sz w:val="20"/>
        </w:rPr>
        <w:t>Springer-Verlag;</w:t>
      </w:r>
      <w:r>
        <w:rPr>
          <w:color w:val="231F20"/>
          <w:spacing w:val="-6"/>
          <w:sz w:val="20"/>
        </w:rPr>
        <w:t> </w:t>
      </w:r>
      <w:r>
        <w:rPr>
          <w:color w:val="231F20"/>
          <w:spacing w:val="-2"/>
          <w:sz w:val="20"/>
        </w:rPr>
        <w:t>2006.</w:t>
      </w:r>
    </w:p>
    <w:p>
      <w:pPr>
        <w:pStyle w:val="ListParagraph"/>
        <w:numPr>
          <w:ilvl w:val="0"/>
          <w:numId w:val="2"/>
        </w:numPr>
        <w:tabs>
          <w:tab w:pos="635" w:val="left" w:leader="none"/>
        </w:tabs>
        <w:spacing w:line="240" w:lineRule="auto" w:before="1" w:after="0"/>
        <w:ind w:left="353" w:right="647" w:firstLine="0"/>
        <w:jc w:val="left"/>
        <w:rPr>
          <w:sz w:val="20"/>
        </w:rPr>
      </w:pPr>
      <w:r>
        <w:rPr>
          <w:color w:val="231F20"/>
          <w:sz w:val="20"/>
        </w:rPr>
        <w:t>Frey</w:t>
      </w:r>
      <w:r>
        <w:rPr>
          <w:color w:val="231F20"/>
          <w:spacing w:val="-6"/>
          <w:sz w:val="20"/>
        </w:rPr>
        <w:t> </w:t>
      </w:r>
      <w:r>
        <w:rPr>
          <w:color w:val="231F20"/>
          <w:sz w:val="20"/>
        </w:rPr>
        <w:t>D,</w:t>
      </w:r>
      <w:r>
        <w:rPr>
          <w:color w:val="231F20"/>
          <w:spacing w:val="-2"/>
          <w:sz w:val="20"/>
        </w:rPr>
        <w:t> </w:t>
      </w:r>
      <w:r>
        <w:rPr>
          <w:color w:val="231F20"/>
          <w:sz w:val="20"/>
        </w:rPr>
        <w:t>Banker</w:t>
      </w:r>
      <w:r>
        <w:rPr>
          <w:color w:val="231F20"/>
          <w:spacing w:val="-2"/>
          <w:sz w:val="20"/>
        </w:rPr>
        <w:t> </w:t>
      </w:r>
      <w:r>
        <w:rPr>
          <w:color w:val="231F20"/>
          <w:sz w:val="20"/>
        </w:rPr>
        <w:t>J.</w:t>
      </w:r>
      <w:r>
        <w:rPr>
          <w:color w:val="231F20"/>
          <w:spacing w:val="-2"/>
          <w:sz w:val="20"/>
        </w:rPr>
        <w:t> </w:t>
      </w:r>
      <w:r>
        <w:rPr>
          <w:color w:val="231F20"/>
          <w:sz w:val="20"/>
        </w:rPr>
        <w:t>Recent Successes</w:t>
      </w:r>
      <w:r>
        <w:rPr>
          <w:color w:val="231F20"/>
          <w:spacing w:val="-3"/>
          <w:sz w:val="20"/>
        </w:rPr>
        <w:t> </w:t>
      </w:r>
      <w:r>
        <w:rPr>
          <w:color w:val="231F20"/>
          <w:sz w:val="20"/>
        </w:rPr>
        <w:t>in</w:t>
      </w:r>
      <w:r>
        <w:rPr>
          <w:color w:val="231F20"/>
          <w:spacing w:val="-3"/>
          <w:sz w:val="20"/>
        </w:rPr>
        <w:t> </w:t>
      </w:r>
      <w:r>
        <w:rPr>
          <w:color w:val="231F20"/>
          <w:sz w:val="20"/>
        </w:rPr>
        <w:t>Tantalum</w:t>
      </w:r>
      <w:r>
        <w:rPr>
          <w:color w:val="231F20"/>
          <w:spacing w:val="-1"/>
          <w:sz w:val="20"/>
        </w:rPr>
        <w:t> </w:t>
      </w:r>
      <w:r>
        <w:rPr>
          <w:color w:val="231F20"/>
          <w:sz w:val="20"/>
        </w:rPr>
        <w:t>Clad</w:t>
      </w:r>
      <w:r>
        <w:rPr>
          <w:color w:val="231F20"/>
          <w:spacing w:val="-2"/>
          <w:sz w:val="20"/>
        </w:rPr>
        <w:t> </w:t>
      </w:r>
      <w:r>
        <w:rPr>
          <w:color w:val="231F20"/>
          <w:sz w:val="20"/>
        </w:rPr>
        <w:t>Pressure</w:t>
      </w:r>
      <w:r>
        <w:rPr>
          <w:color w:val="231F20"/>
          <w:spacing w:val="-2"/>
          <w:sz w:val="20"/>
        </w:rPr>
        <w:t> </w:t>
      </w:r>
      <w:r>
        <w:rPr>
          <w:color w:val="231F20"/>
          <w:sz w:val="20"/>
        </w:rPr>
        <w:t>Vessel</w:t>
      </w:r>
      <w:r>
        <w:rPr>
          <w:color w:val="231F20"/>
          <w:spacing w:val="-2"/>
          <w:sz w:val="20"/>
        </w:rPr>
        <w:t> </w:t>
      </w:r>
      <w:r>
        <w:rPr>
          <w:color w:val="231F20"/>
          <w:sz w:val="20"/>
        </w:rPr>
        <w:t>Manufacture: A</w:t>
      </w:r>
      <w:r>
        <w:rPr>
          <w:color w:val="231F20"/>
          <w:spacing w:val="-5"/>
          <w:sz w:val="20"/>
        </w:rPr>
        <w:t> </w:t>
      </w:r>
      <w:r>
        <w:rPr>
          <w:color w:val="231F20"/>
          <w:sz w:val="20"/>
        </w:rPr>
        <w:t>New</w:t>
      </w:r>
      <w:r>
        <w:rPr>
          <w:color w:val="231F20"/>
          <w:spacing w:val="-5"/>
          <w:sz w:val="20"/>
        </w:rPr>
        <w:t> </w:t>
      </w:r>
      <w:r>
        <w:rPr>
          <w:color w:val="231F20"/>
          <w:sz w:val="20"/>
        </w:rPr>
        <w:t>Generation</w:t>
      </w:r>
      <w:r>
        <w:rPr>
          <w:color w:val="231F20"/>
          <w:spacing w:val="-4"/>
          <w:sz w:val="20"/>
        </w:rPr>
        <w:t> </w:t>
      </w:r>
      <w:r>
        <w:rPr>
          <w:color w:val="231F20"/>
          <w:sz w:val="20"/>
        </w:rPr>
        <w:t>of Tantalum Clad Vessels. In: Proceedings of Corrosion Solutions Conference. USA, Wah Chang. 2003, p.163- </w:t>
      </w:r>
      <w:r>
        <w:rPr>
          <w:color w:val="231F20"/>
          <w:spacing w:val="-4"/>
          <w:sz w:val="20"/>
        </w:rPr>
        <w:t>169.</w:t>
      </w:r>
    </w:p>
    <w:sectPr>
      <w:pgSz w:w="10890" w:h="14860"/>
      <w:pgMar w:header="713" w:footer="0" w:top="900" w:bottom="280" w:left="4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473152">
              <wp:simplePos x="0" y="0"/>
              <wp:positionH relativeFrom="page">
                <wp:posOffset>2298331</wp:posOffset>
              </wp:positionH>
              <wp:positionV relativeFrom="page">
                <wp:posOffset>455282</wp:posOffset>
              </wp:positionV>
              <wp:extent cx="233299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332990" cy="137160"/>
                      </a:xfrm>
                      <a:prstGeom prst="rect">
                        <a:avLst/>
                      </a:prstGeom>
                    </wps:spPr>
                    <wps:txbx>
                      <w:txbxContent>
                        <w:p>
                          <w:pPr>
                            <w:spacing w:before="12"/>
                            <w:ind w:left="20" w:right="0" w:firstLine="0"/>
                            <w:jc w:val="left"/>
                            <w:rPr>
                              <w:i/>
                              <w:sz w:val="16"/>
                            </w:rPr>
                          </w:pPr>
                          <w:r>
                            <w:rPr>
                              <w:i/>
                              <w:color w:val="231F20"/>
                              <w:sz w:val="16"/>
                            </w:rPr>
                            <w:t>B.A.</w:t>
                          </w:r>
                          <w:r>
                            <w:rPr>
                              <w:i/>
                              <w:color w:val="231F20"/>
                              <w:spacing w:val="-2"/>
                              <w:sz w:val="16"/>
                            </w:rPr>
                            <w:t> </w:t>
                          </w:r>
                          <w:r>
                            <w:rPr>
                              <w:i/>
                              <w:color w:val="231F20"/>
                              <w:sz w:val="16"/>
                            </w:rPr>
                            <w:t>Greenberg</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2"/>
                              <w:sz w:val="16"/>
                            </w:rPr>
                            <w:t> </w:t>
                          </w:r>
                          <w:r>
                            <w:rPr>
                              <w:i/>
                              <w:color w:val="231F20"/>
                              <w:sz w:val="16"/>
                            </w:rPr>
                            <w:t>(2012)</w:t>
                          </w:r>
                          <w:r>
                            <w:rPr>
                              <w:i/>
                              <w:color w:val="231F20"/>
                              <w:spacing w:val="-2"/>
                              <w:sz w:val="16"/>
                            </w:rPr>
                            <w:t> </w:t>
                          </w:r>
                          <w:r>
                            <w:rPr>
                              <w:i/>
                              <w:color w:val="231F20"/>
                              <w:sz w:val="16"/>
                            </w:rPr>
                            <w:t>66</w:t>
                          </w:r>
                          <w:r>
                            <w:rPr>
                              <w:i/>
                              <w:color w:val="231F20"/>
                              <w:spacing w:val="-2"/>
                              <w:sz w:val="16"/>
                            </w:rPr>
                            <w:t> </w:t>
                          </w:r>
                          <w:r>
                            <w:rPr>
                              <w:i/>
                              <w:color w:val="231F20"/>
                              <w:sz w:val="16"/>
                            </w:rPr>
                            <w:t>–</w:t>
                          </w:r>
                          <w:r>
                            <w:rPr>
                              <w:i/>
                              <w:color w:val="231F20"/>
                              <w:spacing w:val="-2"/>
                              <w:sz w:val="16"/>
                            </w:rPr>
                            <w:t> </w:t>
                          </w:r>
                          <w:r>
                            <w:rPr>
                              <w:i/>
                              <w:color w:val="231F20"/>
                              <w:spacing w:val="-5"/>
                              <w:sz w:val="16"/>
                            </w:rPr>
                            <w:t>72</w:t>
                          </w:r>
                        </w:p>
                      </w:txbxContent>
                    </wps:txbx>
                    <wps:bodyPr wrap="square" lIns="0" tIns="0" rIns="0" bIns="0" rtlCol="0">
                      <a:noAutofit/>
                    </wps:bodyPr>
                  </wps:wsp>
                </a:graphicData>
              </a:graphic>
            </wp:anchor>
          </w:drawing>
        </mc:Choice>
        <mc:Fallback>
          <w:pict>
            <v:shape style="position:absolute;margin-left:180.970993pt;margin-top:35.849003pt;width:183.7pt;height:10.8pt;mso-position-horizontal-relative:page;mso-position-vertical-relative:page;z-index:-15843328" type="#_x0000_t202" id="docshape6" filled="false" stroked="false">
              <v:textbox inset="0,0,0,0">
                <w:txbxContent>
                  <w:p>
                    <w:pPr>
                      <w:spacing w:before="12"/>
                      <w:ind w:left="20" w:right="0" w:firstLine="0"/>
                      <w:jc w:val="left"/>
                      <w:rPr>
                        <w:i/>
                        <w:sz w:val="16"/>
                      </w:rPr>
                    </w:pPr>
                    <w:r>
                      <w:rPr>
                        <w:i/>
                        <w:color w:val="231F20"/>
                        <w:sz w:val="16"/>
                      </w:rPr>
                      <w:t>B.A.</w:t>
                    </w:r>
                    <w:r>
                      <w:rPr>
                        <w:i/>
                        <w:color w:val="231F20"/>
                        <w:spacing w:val="-2"/>
                        <w:sz w:val="16"/>
                      </w:rPr>
                      <w:t> </w:t>
                    </w:r>
                    <w:r>
                      <w:rPr>
                        <w:i/>
                        <w:color w:val="231F20"/>
                        <w:sz w:val="16"/>
                      </w:rPr>
                      <w:t>Greenberg</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2"/>
                        <w:sz w:val="16"/>
                      </w:rPr>
                      <w:t> </w:t>
                    </w:r>
                    <w:r>
                      <w:rPr>
                        <w:i/>
                        <w:color w:val="231F20"/>
                        <w:sz w:val="16"/>
                      </w:rPr>
                      <w:t>(2012)</w:t>
                    </w:r>
                    <w:r>
                      <w:rPr>
                        <w:i/>
                        <w:color w:val="231F20"/>
                        <w:spacing w:val="-2"/>
                        <w:sz w:val="16"/>
                      </w:rPr>
                      <w:t> </w:t>
                    </w:r>
                    <w:r>
                      <w:rPr>
                        <w:i/>
                        <w:color w:val="231F20"/>
                        <w:sz w:val="16"/>
                      </w:rPr>
                      <w:t>66</w:t>
                    </w:r>
                    <w:r>
                      <w:rPr>
                        <w:i/>
                        <w:color w:val="231F20"/>
                        <w:spacing w:val="-2"/>
                        <w:sz w:val="16"/>
                      </w:rPr>
                      <w:t> </w:t>
                    </w:r>
                    <w:r>
                      <w:rPr>
                        <w:i/>
                        <w:color w:val="231F20"/>
                        <w:sz w:val="16"/>
                      </w:rPr>
                      <w:t>–</w:t>
                    </w:r>
                    <w:r>
                      <w:rPr>
                        <w:i/>
                        <w:color w:val="231F20"/>
                        <w:spacing w:val="-2"/>
                        <w:sz w:val="16"/>
                      </w:rPr>
                      <w:t> </w:t>
                    </w:r>
                    <w:r>
                      <w:rPr>
                        <w:i/>
                        <w:color w:val="231F20"/>
                        <w:spacing w:val="-5"/>
                        <w:sz w:val="16"/>
                      </w:rPr>
                      <w:t>72</w:t>
                    </w:r>
                  </w:p>
                </w:txbxContent>
              </v:textbox>
              <w10:wrap type="none"/>
            </v:shape>
          </w:pict>
        </mc:Fallback>
      </mc:AlternateContent>
    </w:r>
    <w:r>
      <w:rPr/>
      <mc:AlternateContent>
        <mc:Choice Requires="wps">
          <w:drawing>
            <wp:anchor distT="0" distB="0" distL="0" distR="0" allowOverlap="1" layoutInCell="1" locked="0" behindDoc="1" simplePos="0" relativeHeight="487473664">
              <wp:simplePos x="0" y="0"/>
              <wp:positionH relativeFrom="page">
                <wp:posOffset>6348514</wp:posOffset>
              </wp:positionH>
              <wp:positionV relativeFrom="page">
                <wp:posOffset>453656</wp:posOffset>
              </wp:positionV>
              <wp:extent cx="1905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67</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9.882996pt;margin-top:35.721001pt;width:15pt;height:10.95pt;mso-position-horizontal-relative:page;mso-position-vertical-relative:page;z-index:-15842816" type="#_x0000_t202" id="docshape7"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67</w:t>
                    </w:r>
                    <w:r>
                      <w:rPr>
                        <w:color w:val="231F20"/>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474176">
              <wp:simplePos x="0" y="0"/>
              <wp:positionH relativeFrom="page">
                <wp:posOffset>375899</wp:posOffset>
              </wp:positionH>
              <wp:positionV relativeFrom="page">
                <wp:posOffset>453758</wp:posOffset>
              </wp:positionV>
              <wp:extent cx="190500" cy="1390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905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68</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5pt;height:10.95pt;mso-position-horizontal-relative:page;mso-position-vertical-relative:page;z-index:-15842304" type="#_x0000_t202" id="docshape8"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68</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474688">
              <wp:simplePos x="0" y="0"/>
              <wp:positionH relativeFrom="page">
                <wp:posOffset>2500965</wp:posOffset>
              </wp:positionH>
              <wp:positionV relativeFrom="page">
                <wp:posOffset>455282</wp:posOffset>
              </wp:positionV>
              <wp:extent cx="2332990" cy="1371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332990" cy="137160"/>
                      </a:xfrm>
                      <a:prstGeom prst="rect">
                        <a:avLst/>
                      </a:prstGeom>
                    </wps:spPr>
                    <wps:txbx>
                      <w:txbxContent>
                        <w:p>
                          <w:pPr>
                            <w:spacing w:before="12"/>
                            <w:ind w:left="20" w:right="0" w:firstLine="0"/>
                            <w:jc w:val="left"/>
                            <w:rPr>
                              <w:i/>
                              <w:sz w:val="16"/>
                            </w:rPr>
                          </w:pPr>
                          <w:r>
                            <w:rPr>
                              <w:i/>
                              <w:color w:val="231F20"/>
                              <w:sz w:val="16"/>
                            </w:rPr>
                            <w:t>B.A.</w:t>
                          </w:r>
                          <w:r>
                            <w:rPr>
                              <w:i/>
                              <w:color w:val="231F20"/>
                              <w:spacing w:val="-2"/>
                              <w:sz w:val="16"/>
                            </w:rPr>
                            <w:t> </w:t>
                          </w:r>
                          <w:r>
                            <w:rPr>
                              <w:i/>
                              <w:color w:val="231F20"/>
                              <w:sz w:val="16"/>
                            </w:rPr>
                            <w:t>Greenberg</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2"/>
                              <w:sz w:val="16"/>
                            </w:rPr>
                            <w:t> </w:t>
                          </w:r>
                          <w:r>
                            <w:rPr>
                              <w:i/>
                              <w:color w:val="231F20"/>
                              <w:sz w:val="16"/>
                            </w:rPr>
                            <w:t>(2012)</w:t>
                          </w:r>
                          <w:r>
                            <w:rPr>
                              <w:i/>
                              <w:color w:val="231F20"/>
                              <w:spacing w:val="-2"/>
                              <w:sz w:val="16"/>
                            </w:rPr>
                            <w:t> </w:t>
                          </w:r>
                          <w:r>
                            <w:rPr>
                              <w:i/>
                              <w:color w:val="231F20"/>
                              <w:sz w:val="16"/>
                            </w:rPr>
                            <w:t>66</w:t>
                          </w:r>
                          <w:r>
                            <w:rPr>
                              <w:i/>
                              <w:color w:val="231F20"/>
                              <w:spacing w:val="-2"/>
                              <w:sz w:val="16"/>
                            </w:rPr>
                            <w:t> </w:t>
                          </w:r>
                          <w:r>
                            <w:rPr>
                              <w:i/>
                              <w:color w:val="231F20"/>
                              <w:sz w:val="16"/>
                            </w:rPr>
                            <w:t>–</w:t>
                          </w:r>
                          <w:r>
                            <w:rPr>
                              <w:i/>
                              <w:color w:val="231F20"/>
                              <w:spacing w:val="-2"/>
                              <w:sz w:val="16"/>
                            </w:rPr>
                            <w:t> </w:t>
                          </w:r>
                          <w:r>
                            <w:rPr>
                              <w:i/>
                              <w:color w:val="231F20"/>
                              <w:spacing w:val="-5"/>
                              <w:sz w:val="16"/>
                            </w:rPr>
                            <w:t>72</w:t>
                          </w:r>
                        </w:p>
                      </w:txbxContent>
                    </wps:txbx>
                    <wps:bodyPr wrap="square" lIns="0" tIns="0" rIns="0" bIns="0" rtlCol="0">
                      <a:noAutofit/>
                    </wps:bodyPr>
                  </wps:wsp>
                </a:graphicData>
              </a:graphic>
            </wp:anchor>
          </w:drawing>
        </mc:Choice>
        <mc:Fallback>
          <w:pict>
            <v:shape style="position:absolute;margin-left:196.926407pt;margin-top:35.849003pt;width:183.7pt;height:10.8pt;mso-position-horizontal-relative:page;mso-position-vertical-relative:page;z-index:-15841792" type="#_x0000_t202" id="docshape9" filled="false" stroked="false">
              <v:textbox inset="0,0,0,0">
                <w:txbxContent>
                  <w:p>
                    <w:pPr>
                      <w:spacing w:before="12"/>
                      <w:ind w:left="20" w:right="0" w:firstLine="0"/>
                      <w:jc w:val="left"/>
                      <w:rPr>
                        <w:i/>
                        <w:sz w:val="16"/>
                      </w:rPr>
                    </w:pPr>
                    <w:r>
                      <w:rPr>
                        <w:i/>
                        <w:color w:val="231F20"/>
                        <w:sz w:val="16"/>
                      </w:rPr>
                      <w:t>B.A.</w:t>
                    </w:r>
                    <w:r>
                      <w:rPr>
                        <w:i/>
                        <w:color w:val="231F20"/>
                        <w:spacing w:val="-2"/>
                        <w:sz w:val="16"/>
                      </w:rPr>
                      <w:t> </w:t>
                    </w:r>
                    <w:r>
                      <w:rPr>
                        <w:i/>
                        <w:color w:val="231F20"/>
                        <w:sz w:val="16"/>
                      </w:rPr>
                      <w:t>Greenberg</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2"/>
                        <w:sz w:val="16"/>
                      </w:rPr>
                      <w:t> </w:t>
                    </w:r>
                    <w:r>
                      <w:rPr>
                        <w:i/>
                        <w:color w:val="231F20"/>
                        <w:sz w:val="16"/>
                      </w:rPr>
                      <w:t>(2012)</w:t>
                    </w:r>
                    <w:r>
                      <w:rPr>
                        <w:i/>
                        <w:color w:val="231F20"/>
                        <w:spacing w:val="-2"/>
                        <w:sz w:val="16"/>
                      </w:rPr>
                      <w:t> </w:t>
                    </w:r>
                    <w:r>
                      <w:rPr>
                        <w:i/>
                        <w:color w:val="231F20"/>
                        <w:sz w:val="16"/>
                      </w:rPr>
                      <w:t>66</w:t>
                    </w:r>
                    <w:r>
                      <w:rPr>
                        <w:i/>
                        <w:color w:val="231F20"/>
                        <w:spacing w:val="-2"/>
                        <w:sz w:val="16"/>
                      </w:rPr>
                      <w:t> </w:t>
                    </w:r>
                    <w:r>
                      <w:rPr>
                        <w:i/>
                        <w:color w:val="231F20"/>
                        <w:sz w:val="16"/>
                      </w:rPr>
                      <w:t>–</w:t>
                    </w:r>
                    <w:r>
                      <w:rPr>
                        <w:i/>
                        <w:color w:val="231F20"/>
                        <w:spacing w:val="-2"/>
                        <w:sz w:val="16"/>
                      </w:rPr>
                      <w:t> </w:t>
                    </w:r>
                    <w:r>
                      <w:rPr>
                        <w:i/>
                        <w:color w:val="231F20"/>
                        <w:spacing w:val="-5"/>
                        <w:sz w:val="16"/>
                      </w:rPr>
                      <w:t>72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0" w:hanging="285"/>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0"/>
      <w:numFmt w:val="bullet"/>
      <w:lvlText w:val="•"/>
      <w:lvlJc w:val="left"/>
      <w:pPr>
        <w:ind w:left="1360" w:hanging="285"/>
      </w:pPr>
      <w:rPr>
        <w:rFonts w:hint="default"/>
        <w:lang w:val="en-US" w:eastAsia="en-US" w:bidi="ar-SA"/>
      </w:rPr>
    </w:lvl>
    <w:lvl w:ilvl="2">
      <w:start w:val="0"/>
      <w:numFmt w:val="bullet"/>
      <w:lvlText w:val="•"/>
      <w:lvlJc w:val="left"/>
      <w:pPr>
        <w:ind w:left="2301" w:hanging="285"/>
      </w:pPr>
      <w:rPr>
        <w:rFonts w:hint="default"/>
        <w:lang w:val="en-US" w:eastAsia="en-US" w:bidi="ar-SA"/>
      </w:rPr>
    </w:lvl>
    <w:lvl w:ilvl="3">
      <w:start w:val="0"/>
      <w:numFmt w:val="bullet"/>
      <w:lvlText w:val="•"/>
      <w:lvlJc w:val="left"/>
      <w:pPr>
        <w:ind w:left="3241" w:hanging="285"/>
      </w:pPr>
      <w:rPr>
        <w:rFonts w:hint="default"/>
        <w:lang w:val="en-US" w:eastAsia="en-US" w:bidi="ar-SA"/>
      </w:rPr>
    </w:lvl>
    <w:lvl w:ilvl="4">
      <w:start w:val="0"/>
      <w:numFmt w:val="bullet"/>
      <w:lvlText w:val="•"/>
      <w:lvlJc w:val="left"/>
      <w:pPr>
        <w:ind w:left="4182" w:hanging="285"/>
      </w:pPr>
      <w:rPr>
        <w:rFonts w:hint="default"/>
        <w:lang w:val="en-US" w:eastAsia="en-US" w:bidi="ar-SA"/>
      </w:rPr>
    </w:lvl>
    <w:lvl w:ilvl="5">
      <w:start w:val="0"/>
      <w:numFmt w:val="bullet"/>
      <w:lvlText w:val="•"/>
      <w:lvlJc w:val="left"/>
      <w:pPr>
        <w:ind w:left="5122" w:hanging="285"/>
      </w:pPr>
      <w:rPr>
        <w:rFonts w:hint="default"/>
        <w:lang w:val="en-US" w:eastAsia="en-US" w:bidi="ar-SA"/>
      </w:rPr>
    </w:lvl>
    <w:lvl w:ilvl="6">
      <w:start w:val="0"/>
      <w:numFmt w:val="bullet"/>
      <w:lvlText w:val="•"/>
      <w:lvlJc w:val="left"/>
      <w:pPr>
        <w:ind w:left="6063" w:hanging="285"/>
      </w:pPr>
      <w:rPr>
        <w:rFonts w:hint="default"/>
        <w:lang w:val="en-US" w:eastAsia="en-US" w:bidi="ar-SA"/>
      </w:rPr>
    </w:lvl>
    <w:lvl w:ilvl="7">
      <w:start w:val="0"/>
      <w:numFmt w:val="bullet"/>
      <w:lvlText w:val="•"/>
      <w:lvlJc w:val="left"/>
      <w:pPr>
        <w:ind w:left="7003" w:hanging="285"/>
      </w:pPr>
      <w:rPr>
        <w:rFonts w:hint="default"/>
        <w:lang w:val="en-US" w:eastAsia="en-US" w:bidi="ar-SA"/>
      </w:rPr>
    </w:lvl>
    <w:lvl w:ilvl="8">
      <w:start w:val="0"/>
      <w:numFmt w:val="bullet"/>
      <w:lvlText w:val="•"/>
      <w:lvlJc w:val="left"/>
      <w:pPr>
        <w:ind w:left="7944" w:hanging="285"/>
      </w:pPr>
      <w:rPr>
        <w:rFonts w:hint="default"/>
        <w:lang w:val="en-US" w:eastAsia="en-US" w:bidi="ar-SA"/>
      </w:rPr>
    </w:lvl>
  </w:abstractNum>
  <w:abstractNum w:abstractNumId="0">
    <w:multiLevelType w:val="hybridMultilevel"/>
    <w:lvl w:ilvl="0">
      <w:start w:val="1"/>
      <w:numFmt w:val="decimal"/>
      <w:lvlText w:val="%1."/>
      <w:lvlJc w:val="left"/>
      <w:pPr>
        <w:ind w:left="616" w:hanging="207"/>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1"/>
      <w:numFmt w:val="decimal"/>
      <w:lvlText w:val="%1.%2."/>
      <w:lvlJc w:val="left"/>
      <w:pPr>
        <w:ind w:left="765" w:hanging="356"/>
        <w:jc w:val="left"/>
      </w:pPr>
      <w:rPr>
        <w:rFonts w:hint="default" w:ascii="Times New Roman" w:hAnsi="Times New Roman" w:eastAsia="Times New Roman" w:cs="Times New Roman"/>
        <w:b w:val="0"/>
        <w:bCs w:val="0"/>
        <w:i/>
        <w:iCs/>
        <w:color w:val="231F20"/>
        <w:spacing w:val="0"/>
        <w:w w:val="99"/>
        <w:sz w:val="20"/>
        <w:szCs w:val="20"/>
        <w:lang w:val="en-US" w:eastAsia="en-US" w:bidi="ar-SA"/>
      </w:rPr>
    </w:lvl>
    <w:lvl w:ilvl="2">
      <w:start w:val="0"/>
      <w:numFmt w:val="bullet"/>
      <w:lvlText w:val="•"/>
      <w:lvlJc w:val="left"/>
      <w:pPr>
        <w:ind w:left="1767" w:hanging="356"/>
      </w:pPr>
      <w:rPr>
        <w:rFonts w:hint="default"/>
        <w:lang w:val="en-US" w:eastAsia="en-US" w:bidi="ar-SA"/>
      </w:rPr>
    </w:lvl>
    <w:lvl w:ilvl="3">
      <w:start w:val="0"/>
      <w:numFmt w:val="bullet"/>
      <w:lvlText w:val="•"/>
      <w:lvlJc w:val="left"/>
      <w:pPr>
        <w:ind w:left="2774" w:hanging="356"/>
      </w:pPr>
      <w:rPr>
        <w:rFonts w:hint="default"/>
        <w:lang w:val="en-US" w:eastAsia="en-US" w:bidi="ar-SA"/>
      </w:rPr>
    </w:lvl>
    <w:lvl w:ilvl="4">
      <w:start w:val="0"/>
      <w:numFmt w:val="bullet"/>
      <w:lvlText w:val="•"/>
      <w:lvlJc w:val="left"/>
      <w:pPr>
        <w:ind w:left="3781" w:hanging="356"/>
      </w:pPr>
      <w:rPr>
        <w:rFonts w:hint="default"/>
        <w:lang w:val="en-US" w:eastAsia="en-US" w:bidi="ar-SA"/>
      </w:rPr>
    </w:lvl>
    <w:lvl w:ilvl="5">
      <w:start w:val="0"/>
      <w:numFmt w:val="bullet"/>
      <w:lvlText w:val="•"/>
      <w:lvlJc w:val="left"/>
      <w:pPr>
        <w:ind w:left="4788" w:hanging="356"/>
      </w:pPr>
      <w:rPr>
        <w:rFonts w:hint="default"/>
        <w:lang w:val="en-US" w:eastAsia="en-US" w:bidi="ar-SA"/>
      </w:rPr>
    </w:lvl>
    <w:lvl w:ilvl="6">
      <w:start w:val="0"/>
      <w:numFmt w:val="bullet"/>
      <w:lvlText w:val="•"/>
      <w:lvlJc w:val="left"/>
      <w:pPr>
        <w:ind w:left="5796" w:hanging="356"/>
      </w:pPr>
      <w:rPr>
        <w:rFonts w:hint="default"/>
        <w:lang w:val="en-US" w:eastAsia="en-US" w:bidi="ar-SA"/>
      </w:rPr>
    </w:lvl>
    <w:lvl w:ilvl="7">
      <w:start w:val="0"/>
      <w:numFmt w:val="bullet"/>
      <w:lvlText w:val="•"/>
      <w:lvlJc w:val="left"/>
      <w:pPr>
        <w:ind w:left="6803" w:hanging="356"/>
      </w:pPr>
      <w:rPr>
        <w:rFonts w:hint="default"/>
        <w:lang w:val="en-US" w:eastAsia="en-US" w:bidi="ar-SA"/>
      </w:rPr>
    </w:lvl>
    <w:lvl w:ilvl="8">
      <w:start w:val="0"/>
      <w:numFmt w:val="bullet"/>
      <w:lvlText w:val="•"/>
      <w:lvlJc w:val="left"/>
      <w:pPr>
        <w:ind w:left="7810" w:hanging="35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250"/>
      <w:ind w:left="6" w:right="275"/>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1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http://creativecommons.org/licenses/by-nc-nd/3.0/" TargetMode="External"/><Relationship Id="rId11" Type="http://schemas.openxmlformats.org/officeDocument/2006/relationships/hyperlink" Target="mailto:bella@imp.uran.ru"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 Greenberg</dc:creator>
  <dc:subject>Procedia - Social and Behavioral Sciences, 3 (2012) 66-72. doi:10.1016/j.aasri.2012.11.012</dc:subject>
  <dc:title>The Processes of Fragmentation, Intermixing and Fusion upon Explosion Welding</dc:title>
  <dcterms:created xsi:type="dcterms:W3CDTF">2023-11-25T07:44:13Z</dcterms:created>
  <dcterms:modified xsi:type="dcterms:W3CDTF">2023-11-25T07:44:13Z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2013-05-16T00:00:00Z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10.1016/j.aasri.2012.11.012</vt:lpwstr>
  </property>
  <property fmtid="{D5CDD505-2E9C-101B-9397-08002B2CF9AE}" pid="8" name="robots">
    <vt:lpwstr>noindex</vt:lpwstr>
  </property>
</Properties>
</file>