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ind w:left="1100" w:right="71"/>
        <w:jc w:val="center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15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Electronic Notes in Theoretical Computer Science 110 (2004) 173–175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  <w:spacing w:val="-15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</w:rPr>
      </w:r>
    </w:p>
    <w:p>
      <w:pPr>
        <w:pStyle w:val="BodyText"/>
        <w:spacing w:before="6"/>
        <w:ind w:right="109"/>
        <w:jc w:val="right"/>
        <w:rPr>
          <w:rFonts w:ascii="Times New Roman"/>
        </w:rPr>
      </w:pPr>
      <w:hyperlink r:id="rId8">
        <w:r>
          <w:rPr>
            <w:rFonts w:ascii="Times New Roman"/>
            <w:color w:val="00008A"/>
            <w:spacing w:val="-2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GTB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36"/>
          <w:w w:val="115"/>
        </w:rPr>
        <w:t> </w:t>
      </w:r>
      <w:r>
        <w:rPr>
          <w:w w:val="115"/>
        </w:rPr>
        <w:t>PAT</w:t>
      </w:r>
      <w:r>
        <w:rPr>
          <w:spacing w:val="36"/>
          <w:w w:val="115"/>
        </w:rPr>
        <w:t> </w:t>
      </w:r>
      <w:r>
        <w:rPr>
          <w:spacing w:val="-2"/>
          <w:w w:val="115"/>
        </w:rPr>
        <w:t>tools</w:t>
      </w:r>
    </w:p>
    <w:p>
      <w:pPr>
        <w:pStyle w:val="Heading1"/>
        <w:tabs>
          <w:tab w:pos="2293" w:val="left" w:leader="none"/>
          <w:tab w:pos="4328" w:val="left" w:leader="none"/>
        </w:tabs>
        <w:spacing w:before="351"/>
        <w:ind w:right="71"/>
        <w:jc w:val="center"/>
      </w:pPr>
      <w:bookmarkStart w:name="_bookmark0" w:id="1"/>
      <w:bookmarkEnd w:id="1"/>
      <w:r>
        <w:rPr/>
      </w:r>
      <w:r>
        <w:rPr/>
        <w:t>Adrian</w:t>
      </w:r>
      <w:r>
        <w:rPr>
          <w:spacing w:val="-5"/>
        </w:rPr>
        <w:t> </w:t>
      </w:r>
      <w:r>
        <w:rPr>
          <w:spacing w:val="-2"/>
        </w:rPr>
        <w:t>Johnstone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Trebuchet MS"/>
          <w:color w:val="0000FF"/>
          <w:position w:val="10"/>
          <w:sz w:val="14"/>
        </w:rPr>
        <w:tab/>
      </w:r>
      <w:r>
        <w:rPr/>
        <w:t>Elizabeth</w:t>
      </w:r>
      <w:r>
        <w:rPr>
          <w:spacing w:val="2"/>
        </w:rPr>
        <w:t> </w:t>
      </w:r>
      <w:r>
        <w:rPr>
          <w:spacing w:val="-2"/>
        </w:rPr>
        <w:t>Scott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2</w:t>
        </w:r>
      </w:hyperlink>
      <w:r>
        <w:rPr>
          <w:rFonts w:ascii="Trebuchet MS"/>
          <w:color w:val="0000FF"/>
          <w:position w:val="10"/>
          <w:sz w:val="14"/>
        </w:rPr>
        <w:tab/>
      </w:r>
      <w:r>
        <w:rPr/>
        <w:t>Giorgios</w:t>
      </w:r>
      <w:r>
        <w:rPr>
          <w:spacing w:val="-5"/>
        </w:rPr>
        <w:t> </w:t>
      </w:r>
      <w:r>
        <w:rPr>
          <w:spacing w:val="-2"/>
        </w:rPr>
        <w:t>Economopoulos</w:t>
      </w:r>
    </w:p>
    <w:p>
      <w:pPr>
        <w:spacing w:line="172" w:lineRule="auto" w:before="193"/>
        <w:ind w:left="2300" w:right="2300" w:firstLine="3"/>
        <w:jc w:val="center"/>
        <w:rPr>
          <w:i/>
          <w:sz w:val="16"/>
        </w:rPr>
      </w:pPr>
      <w:r>
        <w:rPr>
          <w:i/>
          <w:sz w:val="16"/>
        </w:rPr>
        <w:t>Department of Computer Science</w:t>
      </w:r>
      <w:r>
        <w:rPr>
          <w:i/>
          <w:sz w:val="16"/>
        </w:rPr>
        <w:t> Royal Holloway, University of London Egham, Surrey, United Kingdom</w:t>
      </w:r>
    </w:p>
    <w:p>
      <w:pPr>
        <w:pStyle w:val="BodyText"/>
        <w:spacing w:before="19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317815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024818pt;width:359.1pt;height:.1pt;mso-position-horizontal-relative:page;mso-position-vertical-relative:paragraph;z-index:-15728640;mso-wrap-distance-left:0;mso-wrap-distance-right:0" id="docshape1" coordorigin="1090,500" coordsize="7182,0" path="m1090,500l8271,500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ind w:left="109"/>
        <w:rPr>
          <w:rFonts w:ascii="Georgia"/>
        </w:rPr>
      </w:pPr>
      <w:r>
        <w:rPr>
          <w:rFonts w:ascii="Georgia"/>
          <w:spacing w:val="-2"/>
          <w:w w:val="125"/>
        </w:rPr>
        <w:t>Abstract</w:t>
      </w:r>
    </w:p>
    <w:p>
      <w:pPr>
        <w:pStyle w:val="BodyText"/>
        <w:spacing w:line="172" w:lineRule="auto" w:before="129"/>
        <w:ind w:left="109" w:right="109"/>
        <w:jc w:val="both"/>
      </w:pPr>
      <w:r>
        <w:rPr/>
        <w:t>The Grammar Tool Box is a toolset for manipulating Context Free Grammars and objects asso- ciated with them such as parsers, languages and derivations.</w:t>
      </w:r>
      <w:r>
        <w:rPr>
          <w:spacing w:val="40"/>
        </w:rPr>
        <w:t> </w:t>
      </w:r>
      <w:r>
        <w:rPr/>
        <w:t>GTB has three main rˆoles:</w:t>
      </w:r>
      <w:r>
        <w:rPr>
          <w:spacing w:val="40"/>
        </w:rPr>
        <w:t> </w:t>
      </w:r>
      <w:r>
        <w:rPr/>
        <w:t>as a pedagogic tool; as an experimental platform for novel algorithms and representations; and as a production</w:t>
      </w:r>
      <w:r>
        <w:rPr>
          <w:spacing w:val="-3"/>
        </w:rPr>
        <w:t> </w:t>
      </w:r>
      <w:r>
        <w:rPr/>
        <w:t>tool</w:t>
      </w:r>
      <w:r>
        <w:rPr>
          <w:spacing w:val="-2"/>
        </w:rPr>
        <w:t> </w:t>
      </w:r>
      <w:r>
        <w:rPr/>
        <w:t>for translator front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generation.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tool</w:t>
      </w:r>
      <w:r>
        <w:rPr>
          <w:spacing w:val="-2"/>
        </w:rPr>
        <w:t> </w:t>
      </w:r>
      <w:r>
        <w:rPr/>
        <w:t>demonstration we</w:t>
      </w:r>
      <w:r>
        <w:rPr>
          <w:spacing w:val="-4"/>
        </w:rPr>
        <w:t> </w:t>
      </w:r>
      <w:r>
        <w:rPr/>
        <w:t>give an</w:t>
      </w:r>
      <w:r>
        <w:rPr>
          <w:spacing w:val="-3"/>
        </w:rPr>
        <w:t> </w:t>
      </w:r>
      <w:r>
        <w:rPr/>
        <w:t>overview of GTB and its companion Java-based animator tool PAT.</w:t>
      </w:r>
    </w:p>
    <w:p>
      <w:pPr>
        <w:spacing w:before="111"/>
        <w:ind w:left="109" w:right="0" w:firstLine="0"/>
        <w:jc w:val="both"/>
        <w:rPr>
          <w:sz w:val="16"/>
        </w:rPr>
      </w:pPr>
      <w:r>
        <w:rPr>
          <w:i/>
          <w:sz w:val="16"/>
        </w:rPr>
        <w:t>Keywords:</w:t>
      </w:r>
      <w:r>
        <w:rPr>
          <w:i/>
          <w:spacing w:val="67"/>
          <w:sz w:val="16"/>
        </w:rPr>
        <w:t> </w:t>
      </w:r>
      <w:r>
        <w:rPr>
          <w:sz w:val="16"/>
        </w:rPr>
        <w:t>Parsing, software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animation</w:t>
      </w:r>
    </w:p>
    <w:p>
      <w:pPr>
        <w:pStyle w:val="BodyText"/>
        <w:spacing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85417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25757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175"/>
        <w:ind w:left="109" w:right="103" w:firstLine="31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GTB</w:t>
      </w:r>
      <w:r>
        <w:rPr>
          <w:rFonts w:ascii="LM Roman 12"/>
          <w:w w:val="105"/>
          <w:sz w:val="21"/>
        </w:rPr>
        <w:t> is</w:t>
      </w:r>
      <w:r>
        <w:rPr>
          <w:rFonts w:ascii="LM Roman 12"/>
          <w:w w:val="105"/>
          <w:sz w:val="21"/>
        </w:rPr>
        <w:t> an</w:t>
      </w:r>
      <w:r>
        <w:rPr>
          <w:rFonts w:ascii="LM Roman 12"/>
          <w:w w:val="105"/>
          <w:sz w:val="21"/>
        </w:rPr>
        <w:t> environment</w:t>
      </w:r>
      <w:r>
        <w:rPr>
          <w:rFonts w:ascii="LM Roman 12"/>
          <w:w w:val="105"/>
          <w:sz w:val="21"/>
        </w:rPr>
        <w:t> for</w:t>
      </w:r>
      <w:r>
        <w:rPr>
          <w:rFonts w:ascii="LM Roman 12"/>
          <w:w w:val="105"/>
          <w:sz w:val="21"/>
        </w:rPr>
        <w:t> maipulating</w:t>
      </w:r>
      <w:r>
        <w:rPr>
          <w:rFonts w:ascii="LM Roman 12"/>
          <w:w w:val="105"/>
          <w:sz w:val="21"/>
        </w:rPr>
        <w:t> grammars</w:t>
      </w:r>
      <w:r>
        <w:rPr>
          <w:rFonts w:ascii="LM Roman 12"/>
          <w:w w:val="105"/>
          <w:sz w:val="21"/>
        </w:rPr>
        <w:t> and</w:t>
      </w:r>
      <w:r>
        <w:rPr>
          <w:rFonts w:ascii="LM Roman 12"/>
          <w:w w:val="105"/>
          <w:sz w:val="21"/>
        </w:rPr>
        <w:t> producing</w:t>
      </w:r>
      <w:r>
        <w:rPr>
          <w:rFonts w:ascii="LM Roman 12"/>
          <w:w w:val="105"/>
          <w:sz w:val="21"/>
        </w:rPr>
        <w:t> au- tomata and parsers from them.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Most of our experimental work with GTB has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focussed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on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development of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novel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GLR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parsing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algorithms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[</w:t>
      </w:r>
      <w:hyperlink w:history="true" w:anchor="_bookmark4">
        <w:r>
          <w:rPr>
            <w:rFonts w:ascii="LM Roman 12"/>
            <w:color w:val="0000FF"/>
            <w:w w:val="105"/>
            <w:sz w:val="21"/>
          </w:rPr>
          <w:t>4</w:t>
        </w:r>
      </w:hyperlink>
      <w:r>
        <w:rPr>
          <w:rFonts w:ascii="LM Roman 12"/>
          <w:w w:val="105"/>
          <w:sz w:val="21"/>
        </w:rPr>
        <w:t>,</w:t>
      </w:r>
      <w:hyperlink w:history="true" w:anchor="_bookmark5">
        <w:r>
          <w:rPr>
            <w:rFonts w:ascii="LM Roman 12"/>
            <w:color w:val="0000FF"/>
            <w:w w:val="105"/>
            <w:sz w:val="21"/>
          </w:rPr>
          <w:t>3</w:t>
        </w:r>
      </w:hyperlink>
      <w:r>
        <w:rPr>
          <w:rFonts w:ascii="LM Roman 12"/>
          <w:w w:val="105"/>
          <w:sz w:val="21"/>
        </w:rPr>
        <w:t>]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and their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comparison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existing algorithms,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particular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Farshi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[</w:t>
      </w:r>
      <w:hyperlink w:history="true" w:anchor="_bookmark2">
        <w:r>
          <w:rPr>
            <w:rFonts w:ascii="LM Roman 12"/>
            <w:color w:val="0000FF"/>
            <w:w w:val="105"/>
            <w:sz w:val="21"/>
          </w:rPr>
          <w:t>1</w:t>
        </w:r>
      </w:hyperlink>
      <w:r>
        <w:rPr>
          <w:rFonts w:ascii="LM Roman 12"/>
          <w:w w:val="105"/>
          <w:sz w:val="21"/>
        </w:rPr>
        <w:t>].</w:t>
      </w:r>
    </w:p>
    <w:p>
      <w:pPr>
        <w:spacing w:line="213" w:lineRule="auto" w:before="19"/>
        <w:ind w:left="109" w:right="108" w:firstLine="318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We use the following grammar to highlight performance aspects of the </w:t>
      </w:r>
      <w:r>
        <w:rPr>
          <w:rFonts w:ascii="LM Roman 12"/>
          <w:spacing w:val="-2"/>
          <w:w w:val="105"/>
          <w:sz w:val="21"/>
        </w:rPr>
        <w:t>algorithms:</w:t>
      </w:r>
    </w:p>
    <w:p>
      <w:pPr>
        <w:pStyle w:val="BodyText"/>
        <w:spacing w:line="188" w:lineRule="exact" w:before="42"/>
        <w:ind w:left="321"/>
        <w:rPr>
          <w:rFonts w:ascii="LM Mono 10"/>
        </w:rPr>
      </w:pPr>
      <w:r>
        <w:rPr>
          <w:rFonts w:ascii="LM Mono 10"/>
          <w:spacing w:val="-2"/>
        </w:rPr>
        <w:t>SS::=S.</w:t>
      </w:r>
    </w:p>
    <w:p>
      <w:pPr>
        <w:pStyle w:val="BodyText"/>
        <w:spacing w:line="163" w:lineRule="exact"/>
        <w:ind w:left="321"/>
        <w:rPr>
          <w:rFonts w:ascii="LM Mono 10" w:hAnsi="LM Mono 10"/>
        </w:rPr>
      </w:pPr>
      <w:r>
        <w:rPr>
          <w:rFonts w:ascii="LM Mono 10" w:hAnsi="LM Mono 10"/>
        </w:rPr>
        <w:t>S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::=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  <w:spacing w:val="-4"/>
        </w:rPr>
        <w:t>’b’.</w:t>
      </w:r>
    </w:p>
    <w:p>
      <w:pPr>
        <w:pStyle w:val="BodyText"/>
        <w:spacing w:line="163" w:lineRule="exact"/>
        <w:ind w:left="321"/>
        <w:rPr>
          <w:rFonts w:ascii="LM Mono 10" w:hAnsi="LM Mono 10"/>
        </w:rPr>
      </w:pPr>
      <w:r>
        <w:rPr>
          <w:rFonts w:ascii="LM Mono 10" w:hAnsi="LM Mono 10"/>
        </w:rPr>
        <w:t>T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::=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’b’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  <w:spacing w:val="-5"/>
        </w:rPr>
        <w:t>T.</w:t>
      </w:r>
    </w:p>
    <w:p>
      <w:pPr>
        <w:pStyle w:val="BodyText"/>
        <w:spacing w:line="188" w:lineRule="exact"/>
        <w:ind w:left="321"/>
        <w:rPr>
          <w:rFonts w:ascii="LM Mono 10" w:hAnsi="LM Mono 10"/>
        </w:rPr>
      </w:pPr>
      <w:r>
        <w:rPr>
          <w:rFonts w:ascii="LM Mono 10" w:hAnsi="LM Mono 10"/>
        </w:rPr>
        <w:t>A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::=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’b’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</w:rPr>
        <w:t>’b’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4"/>
        </w:rPr>
        <w:t> </w:t>
      </w:r>
      <w:r>
        <w:rPr>
          <w:rFonts w:ascii="LM Mono 10" w:hAnsi="LM Mono 10"/>
          <w:spacing w:val="-5"/>
        </w:rPr>
        <w:t>#.</w:t>
      </w:r>
    </w:p>
    <w:p>
      <w:pPr>
        <w:spacing w:line="213" w:lineRule="auto" w:before="97"/>
        <w:ind w:left="109" w:right="104" w:firstLine="319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GTB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output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intermediate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structures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suitable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visualisa- 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VCG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3">
        <w:r>
          <w:rPr>
            <w:rFonts w:ascii="LM Roman 12" w:hAnsi="LM Roman 12"/>
            <w:color w:val="0000FF"/>
            <w:w w:val="105"/>
            <w:sz w:val="21"/>
          </w:rPr>
          <w:t>2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but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many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applications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dynamic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animation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desirable.</w:t>
      </w:r>
      <w:r>
        <w:rPr>
          <w:rFonts w:ascii="LM Roman 12" w:hAnsi="LM Roman 12"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parser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animator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takes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tables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exported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GTB; </w:t>
      </w:r>
      <w:r>
        <w:rPr>
          <w:rFonts w:ascii="LM Roman 12" w:hAnsi="LM Roman 12"/>
          <w:sz w:val="21"/>
        </w:rPr>
        <w:t>constructs parse-time objects such as GSS’s and SPPF’s and then displays the</w:t>
      </w:r>
    </w:p>
    <w:p>
      <w:pPr>
        <w:pStyle w:val="BodyText"/>
        <w:spacing w:before="7"/>
        <w:rPr>
          <w:rFonts w:ascii="LM Roman 12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153701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10250pt;width:32.7pt;height:.1pt;mso-position-horizontal-relative:page;mso-position-vertical-relative:paragraph;z-index:-15727616;mso-wrap-distance-left:0;mso-wrap-distance-right:0" id="docshape3" coordorigin="1090,242" coordsize="654,0" path="m1090,242l1743,242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9">
        <w:r>
          <w:rPr>
            <w:rFonts w:ascii="MathJax_Typewriter"/>
            <w:color w:val="0000FF"/>
            <w:spacing w:val="-2"/>
            <w:sz w:val="18"/>
          </w:rPr>
          <w:t>a.johnstone@rhul.ac.uk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e.scott@rhul.ac.uk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3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before="8"/>
        <w:ind w:left="111"/>
        <w:rPr>
          <w:rFonts w:ascii="Times New Roman"/>
        </w:rPr>
      </w:pPr>
      <w:r>
        <w:rPr>
          <w:rFonts w:ascii="Times New Roman"/>
          <w:spacing w:val="-2"/>
        </w:rPr>
        <w:t>doi:10.1016/j.entcs.2004.06.003</w:t>
      </w:r>
    </w:p>
    <w:p>
      <w:pPr>
        <w:spacing w:after="0"/>
        <w:rPr>
          <w:rFonts w:ascii="Times New Roman"/>
        </w:rPr>
        <w:sectPr>
          <w:type w:val="continuous"/>
          <w:pgSz w:w="9360" w:h="13610"/>
          <w:pgMar w:top="1000" w:bottom="280" w:left="980" w:right="980"/>
        </w:sectPr>
      </w:pPr>
    </w:p>
    <w:p>
      <w:pPr>
        <w:tabs>
          <w:tab w:pos="776" w:val="left" w:leader="none"/>
        </w:tabs>
        <w:spacing w:before="77"/>
        <w:ind w:left="11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pacing w:val="-5"/>
          <w:sz w:val="16"/>
        </w:rPr>
        <w:t>174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A.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Johnstone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et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al.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110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(2004)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173–175</w:t>
      </w:r>
    </w:p>
    <w:p>
      <w:pPr>
        <w:pStyle w:val="BodyText"/>
        <w:spacing w:before="87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918055</wp:posOffset>
            </wp:positionH>
            <wp:positionV relativeFrom="paragraph">
              <wp:posOffset>216646</wp:posOffset>
            </wp:positionV>
            <wp:extent cx="4144516" cy="251098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516" cy="251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2007135</wp:posOffset>
            </wp:positionH>
            <wp:positionV relativeFrom="paragraph">
              <wp:posOffset>2845146</wp:posOffset>
            </wp:positionV>
            <wp:extent cx="1913573" cy="206216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573" cy="206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spacing w:before="75"/>
        <w:rPr>
          <w:rFonts w:ascii="Times New Roman"/>
          <w:i/>
        </w:rPr>
      </w:pPr>
    </w:p>
    <w:p>
      <w:pPr>
        <w:pStyle w:val="BodyText"/>
        <w:ind w:right="1"/>
        <w:jc w:val="center"/>
      </w:pPr>
      <w:bookmarkStart w:name="_bookmark1" w:id="2"/>
      <w:bookmarkEnd w:id="2"/>
      <w:r>
        <w:rPr/>
      </w:r>
      <w:r>
        <w:rPr/>
        <w:t>Fig. 1.</w:t>
      </w:r>
      <w:r>
        <w:rPr>
          <w:spacing w:val="18"/>
        </w:rPr>
        <w:t> </w:t>
      </w:r>
      <w:r>
        <w:rPr/>
        <w:t>GSS</w:t>
      </w:r>
      <w:r>
        <w:rPr>
          <w:spacing w:val="-3"/>
        </w:rPr>
        <w:t> </w:t>
      </w:r>
      <w:r>
        <w:rPr/>
        <w:t>animation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PAT</w:t>
      </w:r>
      <w:r>
        <w:rPr>
          <w:spacing w:val="-5"/>
        </w:rPr>
        <w:t> </w:t>
      </w:r>
      <w:r>
        <w:rPr/>
        <w:t>and equivalent</w:t>
      </w:r>
      <w:r>
        <w:rPr>
          <w:spacing w:val="-2"/>
        </w:rPr>
        <w:t> </w:t>
      </w:r>
      <w:r>
        <w:rPr/>
        <w:t>VCG</w:t>
      </w:r>
      <w:r>
        <w:rPr>
          <w:spacing w:val="-5"/>
        </w:rPr>
        <w:t> </w:t>
      </w:r>
      <w:r>
        <w:rPr>
          <w:spacing w:val="-2"/>
        </w:rPr>
        <w:t>rendition</w:t>
      </w:r>
    </w:p>
    <w:p>
      <w:pPr>
        <w:spacing w:line="213" w:lineRule="auto" w:before="155"/>
        <w:ind w:left="109" w:right="103" w:firstLine="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results.</w:t>
      </w:r>
      <w:r>
        <w:rPr>
          <w:rFonts w:ascii="LM Roman 12"/>
          <w:spacing w:val="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user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interactively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go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backwards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forwards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time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see </w:t>
      </w:r>
      <w:bookmarkStart w:name="References" w:id="3"/>
      <w:bookmarkEnd w:id="3"/>
      <w:r>
        <w:rPr>
          <w:rFonts w:ascii="LM Roman 12"/>
          <w:w w:val="103"/>
          <w:sz w:val="21"/>
        </w:rPr>
      </w:r>
      <w:bookmarkStart w:name="_bookmark2" w:id="4"/>
      <w:bookmarkEnd w:id="4"/>
      <w:r>
        <w:rPr>
          <w:rFonts w:ascii="LM Roman 12"/>
          <w:w w:val="105"/>
          <w:sz w:val="21"/>
        </w:rPr>
        <w:t>th</w:t>
      </w:r>
      <w:r>
        <w:rPr>
          <w:rFonts w:ascii="LM Roman 12"/>
          <w:w w:val="105"/>
          <w:sz w:val="21"/>
        </w:rPr>
        <w:t>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way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which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these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structures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built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up. We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shall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demonstrate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anima- tions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of Earley, Farshi, LR(1) RNGLR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and BRNGLR algorithms:</w:t>
      </w:r>
      <w:r>
        <w:rPr>
          <w:rFonts w:ascii="LM Roman 12"/>
          <w:spacing w:val="35"/>
          <w:w w:val="105"/>
          <w:sz w:val="21"/>
        </w:rPr>
        <w:t> </w:t>
      </w:r>
      <w:r>
        <w:rPr>
          <w:rFonts w:ascii="LM Roman 12"/>
          <w:w w:val="105"/>
          <w:sz w:val="21"/>
        </w:rPr>
        <w:t>Figure </w:t>
      </w:r>
      <w:hyperlink w:history="true" w:anchor="_bookmark1">
        <w:r>
          <w:rPr>
            <w:rFonts w:ascii="LM Roman 12"/>
            <w:color w:val="0000FF"/>
            <w:w w:val="105"/>
            <w:sz w:val="21"/>
          </w:rPr>
          <w:t>1</w:t>
        </w:r>
      </w:hyperlink>
      <w:r>
        <w:rPr>
          <w:rFonts w:ascii="LM Roman 12"/>
          <w:color w:val="0000FF"/>
          <w:w w:val="105"/>
          <w:sz w:val="21"/>
        </w:rPr>
        <w:t> </w:t>
      </w:r>
      <w:bookmarkStart w:name="_bookmark3" w:id="5"/>
      <w:bookmarkEnd w:id="5"/>
      <w:r>
        <w:rPr>
          <w:rFonts w:ascii="LM Roman 12"/>
          <w:color w:val="0000FF"/>
          <w:w w:val="103"/>
          <w:sz w:val="21"/>
        </w:rPr>
      </w:r>
      <w:r>
        <w:rPr>
          <w:rFonts w:ascii="LM Roman 12"/>
          <w:w w:val="105"/>
          <w:sz w:val="21"/>
        </w:rPr>
        <w:t>shows the output from an RNGLR parse of the above grammar.</w:t>
      </w:r>
    </w:p>
    <w:p>
      <w:pPr>
        <w:pStyle w:val="BodyText"/>
        <w:spacing w:before="91"/>
        <w:rPr>
          <w:rFonts w:ascii="LM Roman 12"/>
          <w:sz w:val="21"/>
        </w:rPr>
      </w:pPr>
    </w:p>
    <w:p>
      <w:pPr>
        <w:pStyle w:val="Heading1"/>
        <w:ind w:left="109"/>
        <w:rPr>
          <w:rFonts w:ascii="LM Roman 7"/>
        </w:rPr>
      </w:pPr>
      <w:r>
        <w:rPr>
          <w:rFonts w:ascii="LM Roman 7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341" w:val="left" w:leader="none"/>
        </w:tabs>
        <w:spacing w:line="172" w:lineRule="auto" w:before="237" w:after="0"/>
        <w:ind w:left="341" w:right="111" w:hanging="232"/>
        <w:jc w:val="left"/>
        <w:rPr>
          <w:sz w:val="16"/>
        </w:rPr>
      </w:pPr>
      <w:r>
        <w:rPr>
          <w:sz w:val="16"/>
        </w:rPr>
        <w:t>Rahman</w:t>
      </w:r>
      <w:r>
        <w:rPr>
          <w:spacing w:val="-11"/>
          <w:sz w:val="16"/>
        </w:rPr>
        <w:t> </w:t>
      </w:r>
      <w:r>
        <w:rPr>
          <w:sz w:val="16"/>
        </w:rPr>
        <w:t>Nozohoor-Farshi.</w:t>
      </w:r>
      <w:r>
        <w:rPr>
          <w:spacing w:val="16"/>
          <w:sz w:val="16"/>
        </w:rPr>
        <w:t> </w:t>
      </w:r>
      <w:r>
        <w:rPr>
          <w:sz w:val="16"/>
        </w:rPr>
        <w:t>GLR</w:t>
      </w:r>
      <w:r>
        <w:rPr>
          <w:spacing w:val="-11"/>
          <w:sz w:val="16"/>
        </w:rPr>
        <w:t> </w:t>
      </w:r>
      <w:r>
        <w:rPr>
          <w:sz w:val="16"/>
        </w:rPr>
        <w:t>parsing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rFonts w:ascii="Liberation Sans Narrow" w:hAnsi="Liberation Sans Narrow"/>
          <w:i/>
          <w:sz w:val="16"/>
        </w:rPr>
        <w:t>G</w:t>
      </w:r>
      <w:r>
        <w:rPr>
          <w:sz w:val="16"/>
        </w:rPr>
        <w:t>-grammars.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Masaru</w:t>
      </w:r>
      <w:r>
        <w:rPr>
          <w:spacing w:val="-7"/>
          <w:sz w:val="16"/>
        </w:rPr>
        <w:t> </w:t>
      </w:r>
      <w:r>
        <w:rPr>
          <w:sz w:val="16"/>
        </w:rPr>
        <w:t>Tomita,</w:t>
      </w:r>
      <w:r>
        <w:rPr>
          <w:spacing w:val="-10"/>
          <w:sz w:val="16"/>
        </w:rPr>
        <w:t> </w:t>
      </w:r>
      <w:r>
        <w:rPr>
          <w:sz w:val="16"/>
        </w:rPr>
        <w:t>editor,</w:t>
      </w:r>
      <w:r>
        <w:rPr>
          <w:spacing w:val="-7"/>
          <w:sz w:val="16"/>
        </w:rPr>
        <w:t> </w:t>
      </w:r>
      <w:r>
        <w:rPr>
          <w:i/>
          <w:sz w:val="16"/>
        </w:rPr>
        <w:t>Generalized</w:t>
      </w:r>
      <w:r>
        <w:rPr>
          <w:i/>
          <w:sz w:val="16"/>
        </w:rPr>
        <w:t> LR parsing</w:t>
      </w:r>
      <w:r>
        <w:rPr>
          <w:sz w:val="16"/>
        </w:rPr>
        <w:t>, pages 60–75. Kluwer Academic Publishers, Netherlands, 1991.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118" w:after="0"/>
        <w:ind w:left="339" w:right="0" w:hanging="230"/>
        <w:jc w:val="left"/>
        <w:rPr>
          <w:sz w:val="16"/>
        </w:rPr>
      </w:pPr>
      <w:r>
        <w:rPr>
          <w:sz w:val="16"/>
        </w:rPr>
        <w:t>Georg</w:t>
      </w:r>
      <w:r>
        <w:rPr>
          <w:spacing w:val="20"/>
          <w:sz w:val="16"/>
        </w:rPr>
        <w:t> </w:t>
      </w:r>
      <w:r>
        <w:rPr>
          <w:sz w:val="16"/>
        </w:rPr>
        <w:t>Sander.</w:t>
      </w:r>
      <w:r>
        <w:rPr>
          <w:spacing w:val="56"/>
          <w:w w:val="150"/>
          <w:sz w:val="16"/>
        </w:rPr>
        <w:t> </w:t>
      </w:r>
      <w:r>
        <w:rPr>
          <w:i/>
          <w:sz w:val="16"/>
        </w:rPr>
        <w:t>VCG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Visualisation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Compiler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Graphs</w:t>
      </w:r>
      <w:r>
        <w:rPr>
          <w:sz w:val="16"/>
        </w:rPr>
        <w:t>.</w:t>
      </w:r>
      <w:r>
        <w:rPr>
          <w:spacing w:val="61"/>
          <w:w w:val="150"/>
          <w:sz w:val="16"/>
        </w:rPr>
        <w:t> </w:t>
      </w:r>
      <w:r>
        <w:rPr>
          <w:sz w:val="16"/>
        </w:rPr>
        <w:t>Universit¨at</w:t>
      </w:r>
      <w:r>
        <w:rPr>
          <w:spacing w:val="20"/>
          <w:sz w:val="16"/>
        </w:rPr>
        <w:t> </w:t>
      </w:r>
      <w:r>
        <w:rPr>
          <w:sz w:val="16"/>
        </w:rPr>
        <w:t>des</w:t>
      </w:r>
      <w:r>
        <w:rPr>
          <w:spacing w:val="20"/>
          <w:sz w:val="16"/>
        </w:rPr>
        <w:t> </w:t>
      </w:r>
      <w:r>
        <w:rPr>
          <w:sz w:val="16"/>
        </w:rPr>
        <w:t>Saarlandes,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66041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top="94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952" w:val="left" w:leader="none"/>
          <w:tab w:pos="7282" w:val="right" w:leader="none"/>
        </w:tabs>
        <w:spacing w:line="240" w:lineRule="auto" w:before="78" w:after="0"/>
        <w:ind w:left="952" w:right="0" w:hanging="176"/>
        <w:jc w:val="left"/>
        <w:rPr>
          <w:rFonts w:ascii="Times New Roman" w:hAnsi="Times New Roman"/>
          <w:sz w:val="16"/>
        </w:rPr>
      </w:pPr>
      <w:bookmarkStart w:name="_bookmark4" w:id="6"/>
      <w:bookmarkEnd w:id="6"/>
      <w:r>
        <w:rPr/>
      </w:r>
      <w:bookmarkStart w:name="_bookmark5" w:id="7"/>
      <w:bookmarkEnd w:id="7"/>
      <w:r>
        <w:rPr/>
      </w:r>
      <w:r>
        <w:rPr>
          <w:rFonts w:ascii="Times New Roman" w:hAnsi="Times New Roman"/>
          <w:i/>
          <w:sz w:val="16"/>
        </w:rPr>
        <w:t>Johnstone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et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al.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110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(2004)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173–175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spacing w:val="-5"/>
          <w:sz w:val="16"/>
        </w:rPr>
        <w:t>175</w:t>
      </w:r>
    </w:p>
    <w:p>
      <w:pPr>
        <w:pStyle w:val="BodyText"/>
        <w:spacing w:before="157"/>
        <w:rPr>
          <w:rFonts w:ascii="Times New Roman"/>
        </w:rPr>
      </w:pPr>
    </w:p>
    <w:p>
      <w:pPr>
        <w:pStyle w:val="BodyText"/>
        <w:ind w:left="341"/>
      </w:pPr>
      <w:r>
        <w:rPr>
          <w:spacing w:val="-4"/>
        </w:rPr>
        <w:t>Saarbru¨cken,</w:t>
      </w:r>
      <w:r>
        <w:rPr>
          <w:spacing w:val="3"/>
        </w:rPr>
        <w:t> </w:t>
      </w:r>
      <w:r>
        <w:rPr>
          <w:spacing w:val="-4"/>
        </w:rPr>
        <w:t>Germany,</w:t>
      </w:r>
      <w:r>
        <w:rPr>
          <w:spacing w:val="-1"/>
        </w:rPr>
        <w:t> </w:t>
      </w:r>
      <w:r>
        <w:rPr>
          <w:spacing w:val="-4"/>
        </w:rPr>
        <w:t>February</w:t>
      </w:r>
      <w:r>
        <w:rPr>
          <w:spacing w:val="2"/>
        </w:rPr>
        <w:t> </w:t>
      </w:r>
      <w:r>
        <w:rPr>
          <w:spacing w:val="-4"/>
        </w:rPr>
        <w:t>1995.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341" w:val="left" w:leader="none"/>
        </w:tabs>
        <w:spacing w:line="172" w:lineRule="auto" w:before="147" w:after="0"/>
        <w:ind w:left="341" w:right="110" w:hanging="232"/>
        <w:jc w:val="both"/>
        <w:rPr>
          <w:sz w:val="16"/>
        </w:rPr>
      </w:pPr>
      <w:r>
        <w:rPr>
          <w:sz w:val="16"/>
        </w:rPr>
        <w:t>E.A. Scott, A.I.C. Johnstone, and G.R. Economopoulos.</w:t>
      </w:r>
      <w:r>
        <w:rPr>
          <w:spacing w:val="40"/>
          <w:sz w:val="16"/>
        </w:rPr>
        <w:t> </w:t>
      </w:r>
      <w:r>
        <w:rPr>
          <w:sz w:val="16"/>
        </w:rPr>
        <w:t>BRN-table based GLR parsers. Technical Report TR-03-06, Royal Holloway, University of London, Computer Science Department, 2003.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108" w:hanging="232"/>
        <w:jc w:val="both"/>
        <w:rPr>
          <w:sz w:val="16"/>
        </w:rPr>
      </w:pPr>
      <w:r>
        <w:rPr>
          <w:sz w:val="16"/>
        </w:rPr>
        <w:t>Elizabeth Scott, Adrian Johnstone, and Shamsa Sadaf Hussain.</w:t>
      </w:r>
      <w:r>
        <w:rPr>
          <w:spacing w:val="40"/>
          <w:sz w:val="16"/>
        </w:rPr>
        <w:t> </w:t>
      </w:r>
      <w:r>
        <w:rPr>
          <w:sz w:val="16"/>
        </w:rPr>
        <w:t>Tomita-style generalised LR parsers. Technical Report TR-00-12, Royal Holloway, University of London, Computer Science Department, December 2000.</w:t>
      </w:r>
    </w:p>
    <w:sectPr>
      <w:pgSz w:w="9360" w:h="13610"/>
      <w:pgMar w:top="94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53" w:hanging="17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4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4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9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4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9" w:hAnsi="LM Roman 9" w:eastAsia="LM Roman 9" w:cs="LM Roman 9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9" w:hAnsi="LM Roman 9" w:eastAsia="LM Roman 9" w:cs="LM Roman 9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LM Roman 12" w:hAnsi="LM Roman 12" w:eastAsia="LM Roman 12" w:cs="LM Roman 12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341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mailto:a.johnstone@rhul.ac.uk" TargetMode="External"/><Relationship Id="rId10" Type="http://schemas.openxmlformats.org/officeDocument/2006/relationships/hyperlink" Target="mailto:e.scott@rhul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Johnstone</dc:creator>
  <cp:keywords>Parsing; software animation</cp:keywords>
  <dc:subject>Electronic Notes in Theoretical Computer Science, 110 (2004) 173-175. doi:10.1016/j.entcs.2004.06.003</dc:subject>
  <dc:title>doi:10.1016/j.entcs.2004.06.003</dc:title>
  <dcterms:created xsi:type="dcterms:W3CDTF">2023-12-12T07:13:39Z</dcterms:created>
  <dcterms:modified xsi:type="dcterms:W3CDTF">2023-12-12T07:13:39Z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2004-12-09T00:00:00Z</vt:filetime>
  </property>
  <property fmtid="{D5CDD505-2E9C-101B-9397-08002B2CF9AE}" pid="3" name="Creator">
    <vt:lpwstr>Adobe Acrobat 6.0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10.1016/j.entcs.2004.06.003</vt:lpwstr>
  </property>
  <property fmtid="{D5CDD505-2E9C-101B-9397-08002B2CF9AE}" pid="12" name="robots">
    <vt:lpwstr>noindex</vt:lpwstr>
  </property>
</Properties>
</file>