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The</w:t>
      </w:r>
      <w:r>
        <w:rPr>
          <w:spacing w:val="6"/>
        </w:rPr>
        <w:t> </w:t>
      </w:r>
      <w:r>
        <w:rPr/>
        <w:t>domain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differentiable</w:t>
      </w:r>
      <w:r>
        <w:rPr>
          <w:spacing w:val="6"/>
        </w:rPr>
        <w:t> </w:t>
      </w:r>
      <w:r>
        <w:rPr>
          <w:spacing w:val="-2"/>
        </w:rPr>
        <w:t>functions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7" w:right="3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Abbas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2"/>
          <w:sz w:val="24"/>
        </w:rPr>
        <w:t>Edalat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280256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67417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80" w:lineRule="auto" w:before="87"/>
        <w:ind w:left="115" w:right="112"/>
        <w:jc w:val="both"/>
      </w:pPr>
      <w:r>
        <w:rPr/>
        <w:t>We construct a domain for differentiable real valued functions of a real variable. The classical C</w:t>
      </w:r>
      <w:r>
        <w:rPr>
          <w:rFonts w:ascii="LM Roman 6"/>
          <w:vertAlign w:val="superscript"/>
        </w:rPr>
        <w:t>1</w:t>
      </w:r>
      <w:r>
        <w:rPr>
          <w:rFonts w:ascii="LM Roman 6"/>
          <w:vertAlign w:val="baseline"/>
        </w:rPr>
        <w:t> </w:t>
      </w:r>
      <w:r>
        <w:rPr>
          <w:vertAlign w:val="baseline"/>
        </w:rPr>
        <w:t>functions, equipped with its C</w:t>
      </w:r>
      <w:r>
        <w:rPr>
          <w:rFonts w:ascii="LM Roman 6"/>
          <w:vertAlign w:val="superscript"/>
        </w:rPr>
        <w:t>1</w:t>
      </w:r>
      <w:r>
        <w:rPr>
          <w:rFonts w:ascii="LM Roman 6"/>
          <w:vertAlign w:val="baseline"/>
        </w:rPr>
        <w:t> </w:t>
      </w:r>
      <w:r>
        <w:rPr>
          <w:vertAlign w:val="baseline"/>
        </w:rPr>
        <w:t>norm, is embedded into the set of maximal elements of this domain,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can be generalized to C</w:t>
      </w:r>
      <w:r>
        <w:rPr>
          <w:rFonts w:ascii="LM Roman 6"/>
          <w:vertAlign w:val="superscript"/>
        </w:rPr>
        <w:t>k</w:t>
      </w:r>
      <w:r>
        <w:rPr>
          <w:rFonts w:ascii="LM Roman 6"/>
          <w:vertAlign w:val="baseline"/>
        </w:rPr>
        <w:t> </w:t>
      </w:r>
      <w:r>
        <w:rPr>
          <w:vertAlign w:val="baseline"/>
        </w:rPr>
        <w:t>functions and to real valued functions of several variables.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78270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163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5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10.1016/S1571-0661(05)80040-</w:t>
      </w:r>
      <w:r>
        <w:rPr>
          <w:spacing w:val="-10"/>
        </w:rPr>
        <w:t>4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2023-12-12T07:11:07Z</dcterms:created>
  <dcterms:modified xsi:type="dcterms:W3CDTF">2023-12-12T07:11:07Z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