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jpg" ContentType="image/jpeg"/>
  <Override PartName="/word/media/rId22.png" ContentType="image/png"/>
  <Override PartName="/word/media/rId24.png" ContentType="image/png"/>
  <Override PartName="/word/media/rId27.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influence</w:t>
      </w:r>
      <w:r>
        <w:t xml:space="preserve"> </w:t>
      </w:r>
      <w:r>
        <w:t xml:space="preserve">of</w:t>
      </w:r>
      <w:r>
        <w:t xml:space="preserve"> </w:t>
      </w:r>
      <w:r>
        <w:t xml:space="preserve">learning</w:t>
      </w:r>
      <w:r>
        <w:t xml:space="preserve"> </w:t>
      </w:r>
      <w:r>
        <w:t xml:space="preserve">in</w:t>
      </w:r>
      <w:r>
        <w:t xml:space="preserve"> </w:t>
      </w:r>
      <w:r>
        <w:t xml:space="preserve">visual</w:t>
      </w:r>
      <w:r>
        <w:t xml:space="preserve"> </w:t>
      </w:r>
      <w:r>
        <w:t xml:space="preserve">working</w:t>
      </w:r>
      <w:r>
        <w:t xml:space="preserve"> </w:t>
      </w:r>
      <w:r>
        <w:t xml:space="preserve">memory</w:t>
      </w:r>
    </w:p>
    <w:p>
      <w:pPr>
        <w:pStyle w:val="Author"/>
      </w:pPr>
      <w:r>
        <w:t xml:space="preserve">William</w:t>
      </w:r>
      <w:r>
        <w:t xml:space="preserve"> </w:t>
      </w:r>
      <w:r>
        <w:t xml:space="preserve">Xiang</w:t>
      </w:r>
      <w:r>
        <w:t xml:space="preserve"> </w:t>
      </w:r>
      <w:r>
        <w:t xml:space="preserve">Quan</w:t>
      </w:r>
      <w:r>
        <w:t xml:space="preserve"> </w:t>
      </w:r>
      <w:r>
        <w:t xml:space="preserve">Ngiam</w:t>
      </w:r>
    </w:p>
    <w:p>
      <w:pPr>
        <w:pStyle w:val="FirstParagraph"/>
      </w:pPr>
      <w:r>
        <w:t xml:space="preserve"> </w:t>
      </w:r>
    </w:p>
    <w:p>
      <w:pPr>
        <w:pStyle w:val="BodyText"/>
      </w:pPr>
    </w:p>
    <w:p>
      <w:pPr>
        <w:pStyle w:val="BodyText"/>
      </w:pPr>
    </w:p>
    <w:p>
      <w:pPr>
        <w:pStyle w:val="BodyText"/>
      </w:pPr>
      <w:r>
        <w:t xml:space="preserve">The visual system encounters an enormous amount of complex information that is processed to produce a smooth phenomenal experience of the world. The visual processes that achieve this remarkable feat require a memory store that encodes, retains and manipulates the visual information. For example, an active memory store integrates the information between saccades</w:t>
      </w:r>
      <w:r>
        <w:t xml:space="preserve"> </w:t>
      </w:r>
      <w:r>
        <w:t xml:space="preserve">(Irwin &amp; Andrews, 1996)</w:t>
      </w:r>
      <w:r>
        <w:t xml:space="preserve">, orients where attention should be deployed</w:t>
      </w:r>
      <w:r>
        <w:t xml:space="preserve"> </w:t>
      </w:r>
      <w:r>
        <w:t xml:space="preserve">(Awh &amp; Jonides, 2001)</w:t>
      </w:r>
      <w:r>
        <w:t xml:space="preserve">, and retains information about objects during visual tracking and search</w:t>
      </w:r>
      <w:r>
        <w:t xml:space="preserve"> </w:t>
      </w:r>
      <w:r>
        <w:t xml:space="preserve">(Carlisle, Arita, Pardo, &amp; Woodman, 2011)</w:t>
      </w:r>
      <w:r>
        <w:t xml:space="preserve">. The system responsible for actively storing the visual information for perception has been termed "visual working memory" (VWM). Despite its necessity in everyday perception, the VWM system is surprisingly limited in the amount of information it can encode, approximately three to four objects</w:t>
      </w:r>
      <w:r>
        <w:t xml:space="preserve"> </w:t>
      </w:r>
      <w:r>
        <w:t xml:space="preserve">(Luck &amp; Vogel, 1997)</w:t>
      </w:r>
      <w:r>
        <w:t xml:space="preserve">. This thesis explores the processes that contribute to this capacity limit with research that examines how memory performance can be boosted to overcome this limit. This chapter provides an overview of past visual working memory research.</w:t>
      </w:r>
    </w:p>
    <w:p>
      <w:pPr>
        <w:pStyle w:val="Heading2"/>
      </w:pPr>
      <w:bookmarkStart w:id="21" w:name="the-conception-of-working-memory"/>
      <w:bookmarkEnd w:id="21"/>
      <w:r>
        <w:t xml:space="preserve">The conception of working memory</w:t>
      </w:r>
    </w:p>
    <w:p>
      <w:pPr>
        <w:pStyle w:val="FirstParagraph"/>
      </w:pPr>
      <w:r>
        <w:t xml:space="preserve">Classical research separated memory into two distinct but interacting systems, short-term memory (STM) and long-term memory (LTM). The STM store has a highly limited capacity that holds current information in awareness, whereas LTM is thought to be unlimited in capacity, but the information stored is effortfully retrieved</w:t>
      </w:r>
      <w:r>
        <w:t xml:space="preserve"> </w:t>
      </w:r>
      <w:r>
        <w:t xml:space="preserve">(Atkinson &amp; Shiffrin, 1968)</w:t>
      </w:r>
      <w:r>
        <w:t xml:space="preserve">.</w:t>
      </w:r>
      <w:r>
        <w:t xml:space="preserve"> </w:t>
      </w:r>
      <w:r>
        <w:t xml:space="preserve">Atkinson &amp; Shiffrin (1968)</w:t>
      </w:r>
      <w:r>
        <w:t xml:space="preserve"> </w:t>
      </w:r>
      <w:r>
        <w:t xml:space="preserve">were one of the first to consider the STM system as "working"; "a system in which decisions are made, problems are solved and information flow is directed". This early conception of STM as "working" relied on two incorrect assumption that encoding of information into LTM, and therefore learning, required maintenance in STM, which has since been shown to be untrue</w:t>
      </w:r>
      <w:r>
        <w:t xml:space="preserve"> </w:t>
      </w:r>
      <w:r>
        <w:t xml:space="preserve">(Baddeley &amp; Hitch, 1974)</w:t>
      </w:r>
      <w:r>
        <w:t xml:space="preserve">. This was updated by Baddeley and Hitch's</w:t>
      </w:r>
      <w:r>
        <w:t xml:space="preserve"> </w:t>
      </w:r>
      <w:r>
        <w:t xml:space="preserve">(1974)</w:t>
      </w:r>
      <w:r>
        <w:t xml:space="preserve"> </w:t>
      </w:r>
      <w:r>
        <w:t xml:space="preserve">highly influential multi-component working memory model. Their first iteration contained three subsytems: the central executive, the phonological loop and the visuospatial sketchpad (</w:t>
      </w:r>
      <w:r>
        <w:t xml:space="preserve">). The phonological loop and the visuospatial sketchpad, collectively known as the "slave systems", maintain verbal and visual information respectively.</w:t>
      </w:r>
    </w:p>
    <w:p>
      <w:pPr>
        <w:pStyle w:val="FigureWithCaption"/>
      </w:pPr>
      <w:r>
        <w:drawing>
          <wp:inline>
            <wp:extent cx="5334000" cy="2467358"/>
            <wp:effectExtent b="0" l="0" r="0" t="0"/>
            <wp:docPr descr="An early model of working memory proposed by Baddeley. Figure taken from Baddeley &amp; Hitch (1974)." id="1" name="Picture"/>
            <a:graphic>
              <a:graphicData uri="http://schemas.openxmlformats.org/drawingml/2006/picture">
                <pic:pic>
                  <pic:nvPicPr>
                    <pic:cNvPr descr="/Users/will.ngiam/Documents/Github/Thesis/Figure%20Images/BaddeleyModelofVWM.png" id="0" name="Picture"/>
                    <pic:cNvPicPr>
                      <a:picLocks noChangeArrowheads="1" noChangeAspect="1"/>
                    </pic:cNvPicPr>
                  </pic:nvPicPr>
                  <pic:blipFill>
                    <a:blip r:embed="rId22"/>
                    <a:stretch>
                      <a:fillRect/>
                    </a:stretch>
                  </pic:blipFill>
                  <pic:spPr bwMode="auto">
                    <a:xfrm>
                      <a:off x="0" y="0"/>
                      <a:ext cx="5334000" cy="2467358"/>
                    </a:xfrm>
                    <a:prstGeom prst="rect">
                      <a:avLst/>
                    </a:prstGeom>
                    <a:noFill/>
                    <a:ln w="9525">
                      <a:noFill/>
                      <a:headEnd/>
                      <a:tailEnd/>
                    </a:ln>
                  </pic:spPr>
                </pic:pic>
              </a:graphicData>
            </a:graphic>
          </wp:inline>
        </w:drawing>
      </w:r>
    </w:p>
    <w:p>
      <w:pPr>
        <w:pStyle w:val="ImageCaption"/>
      </w:pPr>
      <w:r>
        <w:t xml:space="preserve">An early model of working memory proposed by Baddeley. Figure taken from</w:t>
      </w:r>
      <w:r>
        <w:t xml:space="preserve"> </w:t>
      </w:r>
      <w:r>
        <w:t xml:space="preserve">Baddeley &amp; Hitch (1974)</w:t>
      </w:r>
      <w:r>
        <w:t xml:space="preserve">.</w:t>
      </w:r>
    </w:p>
    <w:p>
      <w:pPr>
        <w:pStyle w:val="BodyText"/>
      </w:pPr>
      <w:r>
        <w:t xml:space="preserve">It is the visuospatial sketchpad that is analagous to what researchers now refer to as the VWM system. The term "visual working memory" is often used synonymously with "visual short-term memory".</w:t>
      </w:r>
      <w:r>
        <w:t xml:space="preserve"> </w:t>
      </w:r>
      <w:r>
        <w:t xml:space="preserve">Luck &amp; Vogel (2013)</w:t>
      </w:r>
      <w:r>
        <w:t xml:space="preserve"> </w:t>
      </w:r>
      <w:r>
        <w:t xml:space="preserve">provides three defining aspects of VWM: the information represented is visual in nature, VWM information is actively maintained and that the information is accessed for cognitive use.</w:t>
      </w:r>
    </w:p>
    <w:p>
      <w:pPr>
        <w:pStyle w:val="Heading2"/>
      </w:pPr>
      <w:bookmarkStart w:id="23" w:name="measuring-visual-working-memory-capacity"/>
      <w:bookmarkEnd w:id="23"/>
      <w:r>
        <w:t xml:space="preserve">Measuring visual working memory capacity</w:t>
      </w:r>
    </w:p>
    <w:p>
      <w:pPr>
        <w:pStyle w:val="FirstParagraph"/>
      </w:pPr>
      <w:r>
        <w:t xml:space="preserve">In their seminal study,</w:t>
      </w:r>
      <w:r>
        <w:t xml:space="preserve"> </w:t>
      </w:r>
      <w:r>
        <w:t xml:space="preserve">Luck &amp; Vogel (1997)</w:t>
      </w:r>
      <w:r>
        <w:t xml:space="preserve"> </w:t>
      </w:r>
      <w:r>
        <w:t xml:space="preserve">popularised the change-detection paradigm for the measurement of VWM capacity. In this paradigm (see</w:t>
      </w:r>
      <w:r>
        <w:t xml:space="preserve"> </w:t>
      </w:r>
      <w:r>
        <w:t xml:space="preserve">), an initial array (</w:t>
      </w:r>
      <w:r>
        <w:rPr>
          <w:i/>
        </w:rPr>
        <w:t xml:space="preserve">sample array</w:t>
      </w:r>
      <w:r>
        <w:t xml:space="preserve">) of objects is presented to the observer for a brief duration, usually no longer than a second, before disappearing. After a short delay, a second array (</w:t>
      </w:r>
      <w:r>
        <w:rPr>
          <w:i/>
        </w:rPr>
        <w:t xml:space="preserve">test array</w:t>
      </w:r>
      <w:r>
        <w:t xml:space="preserve">) may appear identically to the sample array (</w:t>
      </w:r>
      <w:r>
        <w:rPr>
          <w:i/>
        </w:rPr>
        <w:t xml:space="preserve">no-change</w:t>
      </w:r>
      <w:r>
        <w:t xml:space="preserve"> </w:t>
      </w:r>
      <w:r>
        <w:t xml:space="preserve">trials) or with one object replaced by another object (</w:t>
      </w:r>
      <w:r>
        <w:rPr>
          <w:i/>
        </w:rPr>
        <w:t xml:space="preserve">change</w:t>
      </w:r>
      <w:r>
        <w:t xml:space="preserve"> </w:t>
      </w:r>
      <w:r>
        <w:t xml:space="preserve">trials). The observer has to respond with whether they think a change occurred or not on that trial.</w:t>
      </w:r>
    </w:p>
    <w:p>
      <w:pPr>
        <w:pStyle w:val="FigureWithCaption"/>
      </w:pPr>
      <w:r>
        <w:drawing>
          <wp:inline>
            <wp:extent cx="5334000" cy="2391103"/>
            <wp:effectExtent b="0" l="0" r="0" t="0"/>
            <wp:docPr descr="An example of what is displayed on a change-detection trial." id="1" name="Picture"/>
            <a:graphic>
              <a:graphicData uri="http://schemas.openxmlformats.org/drawingml/2006/picture">
                <pic:pic>
                  <pic:nvPicPr>
                    <pic:cNvPr descr="/Users/will.ngiam/Documents/Github/Thesis/Figure%20Images/F1.png" id="0" name="Picture"/>
                    <pic:cNvPicPr>
                      <a:picLocks noChangeArrowheads="1" noChangeAspect="1"/>
                    </pic:cNvPicPr>
                  </pic:nvPicPr>
                  <pic:blipFill>
                    <a:blip r:embed="rId24"/>
                    <a:stretch>
                      <a:fillRect/>
                    </a:stretch>
                  </pic:blipFill>
                  <pic:spPr bwMode="auto">
                    <a:xfrm>
                      <a:off x="0" y="0"/>
                      <a:ext cx="5334000" cy="2391103"/>
                    </a:xfrm>
                    <a:prstGeom prst="rect">
                      <a:avLst/>
                    </a:prstGeom>
                    <a:noFill/>
                    <a:ln w="9525">
                      <a:noFill/>
                      <a:headEnd/>
                      <a:tailEnd/>
                    </a:ln>
                  </pic:spPr>
                </pic:pic>
              </a:graphicData>
            </a:graphic>
          </wp:inline>
        </w:drawing>
      </w:r>
    </w:p>
    <w:p>
      <w:pPr>
        <w:pStyle w:val="ImageCaption"/>
      </w:pPr>
      <w:r>
        <w:t xml:space="preserve">An example of what is displayed on a change-detection trial.</w:t>
      </w:r>
    </w:p>
    <w:p>
      <w:pPr>
        <w:pStyle w:val="BodyText"/>
      </w:pPr>
      <w:r>
        <w:t xml:space="preserve">The proportion of trials that a participant correctly detects a change or no change occurred can be used to estimate the number of items held in visual working memory. Assuming the observer has stored a certain number of objects (</w:t>
      </w:r>
      <w:r>
        <w:rPr>
          <w:i/>
        </w:rPr>
        <w:t xml:space="preserve">K</w:t>
      </w:r>
      <w:r>
        <w:t xml:space="preserve">) from the sample array, a correct response on a change trial (a 'hit') will occur whenever the changed item is one of those</w:t>
      </w:r>
      <w:r>
        <w:t xml:space="preserve"> </w:t>
      </w:r>
      <w:r>
        <w:rPr>
          <w:i/>
        </w:rPr>
        <w:t xml:space="preserve">K</w:t>
      </w:r>
      <w:r>
        <w:t xml:space="preserve"> </w:t>
      </w:r>
      <w:r>
        <w:t xml:space="preserve">objects. If an array contains</w:t>
      </w:r>
      <w:r>
        <w:t xml:space="preserve"> </w:t>
      </w:r>
      <w:r>
        <w:rPr>
          <w:i/>
        </w:rPr>
        <w:t xml:space="preserve">N</w:t>
      </w:r>
      <w:r>
        <w:t xml:space="preserve"> </w:t>
      </w:r>
      <w:r>
        <w:t xml:space="preserve">objects, on average this will occur on</w:t>
      </w:r>
      <w:r>
        <w:t xml:space="preserve"> </w:t>
      </w:r>
      <w:r>
        <w:rPr>
          <w:i/>
        </w:rPr>
        <w:t xml:space="preserve">K</w:t>
      </w:r>
      <w:r>
        <w:t xml:space="preserve"> </w:t>
      </w:r>
      <w:r>
        <w:t xml:space="preserve">out of</w:t>
      </w:r>
      <w:r>
        <w:t xml:space="preserve"> </w:t>
      </w:r>
      <w:r>
        <w:rPr>
          <w:i/>
        </w:rPr>
        <w:t xml:space="preserve">N</w:t>
      </w:r>
      <w:r>
        <w:t xml:space="preserve"> </w:t>
      </w:r>
      <w:r>
        <w:t xml:space="preserve">change trials. Additional hits will occur on a porportion (</w:t>
      </w:r>
      <w:r>
        <w:rPr>
          <w:i/>
        </w:rPr>
        <w:t xml:space="preserve">G</w:t>
      </w:r>
      <w:r>
        <w:t xml:space="preserve">) of the remaining (</w:t>
      </w:r>
      <w:r>
        <w:rPr>
          <w:i/>
        </w:rPr>
        <w:t xml:space="preserve">N-K</w:t>
      </w:r>
      <w:r>
        <w:t xml:space="preserve">) out of</w:t>
      </w:r>
      <w:r>
        <w:t xml:space="preserve"> </w:t>
      </w:r>
      <w:r>
        <w:rPr>
          <w:i/>
        </w:rPr>
        <w:t xml:space="preserve">N</w:t>
      </w:r>
      <w:r>
        <w:t xml:space="preserve"> </w:t>
      </w:r>
      <w:r>
        <w:t xml:space="preserve">change trials (when the changed object is not among those encoded) if the observer correctly guesses that a change has occurred. For an unbiased observer, this will occur on half of the remaining trials (</w:t>
      </w:r>
      <w:r>
        <w:rPr>
          <w:i/>
        </w:rPr>
        <w:t xml:space="preserve">G = 0.5</w:t>
      </w:r>
      <w:r>
        <w:t xml:space="preserve">), but</w:t>
      </w:r>
      <w:r>
        <w:t xml:space="preserve"> </w:t>
      </w:r>
      <w:r>
        <w:rPr>
          <w:i/>
        </w:rPr>
        <w:t xml:space="preserve">G</w:t>
      </w:r>
      <w:r>
        <w:t xml:space="preserve"> </w:t>
      </w:r>
      <w:r>
        <w:t xml:space="preserve">can be estimated using the observer's false alarm rate, the overall number of trials which a change is reported when no change occurred. This produces the model proposed by</w:t>
      </w:r>
      <w:r>
        <w:t xml:space="preserve"> </w:t>
      </w:r>
      <w:r>
        <w:t xml:space="preserve">Pashler (1988)</w:t>
      </w:r>
      <w:r>
        <w:t xml:space="preserve">:</w:t>
      </w:r>
    </w:p>
    <w:p>
      <w:pPr>
        <w:pStyle w:val="BodyText"/>
      </w:pPr>
      <w:r>
        <w:t xml:space="preserve">where</w:t>
      </w:r>
      <w:r>
        <w:t xml:space="preserve"> </w:t>
      </w:r>
      <w:r>
        <w:rPr>
          <w:i/>
        </w:rPr>
        <w:t xml:space="preserve">H</w:t>
      </w:r>
      <w:r>
        <w:t xml:space="preserve"> </w:t>
      </w:r>
      <w:r>
        <w:t xml:space="preserve">is the probability of a hit on a change trial. Rearranged to make</w:t>
      </w:r>
      <w:r>
        <w:t xml:space="preserve"> </w:t>
      </w:r>
      <w:r>
        <w:rPr>
          <w:i/>
        </w:rPr>
        <w:t xml:space="preserve">K</w:t>
      </w:r>
      <w:r>
        <w:t xml:space="preserve"> </w:t>
      </w:r>
      <w:r>
        <w:t xml:space="preserve">the subject:</w:t>
      </w:r>
    </w:p>
    <w:p>
      <w:pPr>
        <w:pStyle w:val="BodyText"/>
      </w:pPr>
      <w:r>
        <w:t xml:space="preserve">However, this equation assumes VWM has no bearing on a no-change trial</w:t>
      </w:r>
      <w:r>
        <w:t xml:space="preserve"> </w:t>
      </w:r>
      <w:r>
        <w:t xml:space="preserve">(Cowan et al., 2005)</w:t>
      </w:r>
      <w:r>
        <w:t xml:space="preserve">. On no-change trials, the guesswork is limited to items not stored in VWM (</w:t>
      </w:r>
      <w:r>
        <w:rPr>
          <w:i/>
        </w:rPr>
        <w:t xml:space="preserve">N-K</w:t>
      </w:r>
      <w:r>
        <w:t xml:space="preserve">). Cowan estimates that the subject will that a change has not occurred with a probability of</w:t>
      </w:r>
      <w:r>
        <w:t xml:space="preserve"> </w:t>
      </w:r>
      <w:r>
        <w:rPr>
          <w:i/>
        </w:rPr>
        <w:t xml:space="preserve">1 - G</w:t>
      </w:r>
      <w:r>
        <w:t xml:space="preserve">, where</w:t>
      </w:r>
      <w:r>
        <w:t xml:space="preserve"> </w:t>
      </w:r>
      <w:r>
        <w:rPr>
          <w:i/>
        </w:rPr>
        <w:t xml:space="preserve">G</w:t>
      </w:r>
      <w:r>
        <w:t xml:space="preserve"> </w:t>
      </w:r>
      <w:r>
        <w:t xml:space="preserve">is the probability of guessing a change had occurred. This was updated by</w:t>
      </w:r>
      <w:r>
        <w:t xml:space="preserve"> </w:t>
      </w:r>
      <w:r>
        <w:t xml:space="preserve">Cowan (2001)</w:t>
      </w:r>
      <w:r>
        <w:t xml:space="preserve"> </w:t>
      </w:r>
      <w:r>
        <w:t xml:space="preserve">to include the correct rejection rate (</w:t>
      </w:r>
      <w:r>
        <w:rPr>
          <w:i/>
        </w:rPr>
        <w:t xml:space="preserve">CR</w:t>
      </w:r>
      <w:r>
        <w:t xml:space="preserve">):</w:t>
      </w:r>
    </w:p>
    <w:p>
      <w:pPr>
        <w:pStyle w:val="BodyText"/>
      </w:pPr>
      <w:r>
        <w:t xml:space="preserve">Adding this to</w:t>
      </w:r>
      <w:r>
        <w:t xml:space="preserve"> </w:t>
      </w:r>
      <w:r>
        <w:t xml:space="preserve">:</w:t>
      </w:r>
    </w:p>
    <w:p>
      <w:pPr>
        <w:pStyle w:val="BodyText"/>
      </w:pPr>
      <w:r>
        <w:t xml:space="preserve">Rearranging to make</w:t>
      </w:r>
      <w:r>
        <w:t xml:space="preserve"> </w:t>
      </w:r>
      <w:r>
        <w:rPr>
          <w:i/>
        </w:rPr>
        <w:t xml:space="preserve">K</w:t>
      </w:r>
      <w:r>
        <w:t xml:space="preserve"> </w:t>
      </w:r>
      <w:r>
        <w:t xml:space="preserve">the subject:</w:t>
      </w:r>
    </w:p>
    <w:p>
      <w:pPr>
        <w:pStyle w:val="Heading2"/>
      </w:pPr>
      <w:bookmarkStart w:id="25" w:name="the-capacity-of-visual-working-memory"/>
      <w:bookmarkEnd w:id="25"/>
      <w:r>
        <w:t xml:space="preserve">The capacity of visual working memory</w:t>
      </w:r>
    </w:p>
    <w:p>
      <w:pPr>
        <w:pStyle w:val="FirstParagraph"/>
      </w:pPr>
      <w:r>
        <w:t xml:space="preserve">Despite its necessity, the capacity of visual working memory is surprisingly limited to approximately 3-4 items' worth of information.</w:t>
      </w:r>
      <w:r>
        <w:t xml:space="preserve"> </w:t>
      </w:r>
      <w:r>
        <w:t xml:space="preserve">Luck &amp; Vogel (1997)</w:t>
      </w:r>
      <w:r>
        <w:t xml:space="preserve"> </w:t>
      </w:r>
      <w:r>
        <w:t xml:space="preserve">presented sample arrays containing from 1 to 12 coloured squares for 100ms, before showing the test array approximately a second later. They found performance was almost perfect for arrays of 1 to 3 colour blocks and declined from 4 to 12 colour blocks. This pattern remained when observers were given two digits to rehearse aloud to suppress any influence of verbal working memory (see</w:t>
      </w:r>
      <w:r>
        <w:t xml:space="preserve"> </w:t>
      </w:r>
      <w:r>
        <w:t xml:space="preserve">a), when the sample duration was displayed for a longer duration, and when observers were required to only make a decision about a single cued item in the array (see</w:t>
      </w:r>
      <w:r>
        <w:t xml:space="preserve"> </w:t>
      </w:r>
      <w:r>
        <w:t xml:space="preserve">b). Estimating VWM capacity from the change-detection accuracy (see</w:t>
      </w:r>
      <w:r>
        <w:t xml:space="preserve"> </w:t>
      </w:r>
      <w:r>
        <w:t xml:space="preserve">) indicated observers stored approximately four items in VWM.</w:t>
      </w:r>
    </w:p>
    <w:p>
      <w:pPr>
        <w:pStyle w:val="BodyText"/>
      </w:pPr>
      <w:r>
        <w:t xml:space="preserve">Despite agreement of this capacity limit for simple visual objects, there has been contention over the architecture of VWM producing this limit. In addition to simple colours,</w:t>
      </w:r>
      <w:r>
        <w:t xml:space="preserve"> </w:t>
      </w:r>
      <w:r>
        <w:t xml:space="preserve">Luck &amp; Vogel (1997)</w:t>
      </w:r>
      <w:r>
        <w:t xml:space="preserve"> </w:t>
      </w:r>
      <w:r>
        <w:t xml:space="preserve">increased the number of relevant features in the visual stimuli presented in the same change-detection task and found an identical pattern of memory performance when presenting colours. For example, with conjunctions of colour and orientation, VWM performance was no different when instructed to detect changes in only colour, only orientation or in either feature (see</w:t>
      </w:r>
      <w:r>
        <w:t xml:space="preserve"> </w:t>
      </w:r>
      <w:r>
        <w:t xml:space="preserve">c). This pattern was also replicated with stimuli that were conjunctions of four features: colour, orientation, size and the presence of a gap (see</w:t>
      </w:r>
      <w:r>
        <w:t xml:space="preserve"> </w:t>
      </w:r>
      <w:r>
        <w:t xml:space="preserve">d) and conjunctions of the same feature type, such as two colours (see</w:t>
      </w:r>
      <w:r>
        <w:t xml:space="preserve"> </w:t>
      </w:r>
      <w:r>
        <w:t xml:space="preserve">e). Since increasing the number of relevant features in the visual stimuli did not influence memory performance,</w:t>
      </w:r>
      <w:r>
        <w:t xml:space="preserve"> </w:t>
      </w:r>
      <w:r>
        <w:t xml:space="preserve">Luck &amp; Vogel (1997)</w:t>
      </w:r>
      <w:r>
        <w:t xml:space="preserve"> </w:t>
      </w:r>
      <w:r>
        <w:t xml:space="preserve">proposed that the architecture of VWM is 3 to 4 'slots' where each slot stores a representation of the visual object with its features integrated, rather than the individual features of the object.</w:t>
      </w:r>
    </w:p>
    <w:p>
      <w:pPr>
        <w:pStyle w:val="FigureWithCaption"/>
      </w:pPr>
      <w:r>
        <w:drawing>
          <wp:inline>
            <wp:extent cx="2804160" cy="4645152"/>
            <wp:effectExtent b="0" l="0" r="0" t="0"/>
            <wp:docPr descr="Stimulus arrays and memory performance from multiple experiments in Luck &amp; Vogel (1997)." id="1" name="Picture"/>
            <a:graphic>
              <a:graphicData uri="http://schemas.openxmlformats.org/drawingml/2006/picture">
                <pic:pic>
                  <pic:nvPicPr>
                    <pic:cNvPr descr="/Users/will.ngiam/Documents/Github/Thesis/Figure%20Images/LuckVogel1997.jpg" id="0" name="Picture"/>
                    <pic:cNvPicPr>
                      <a:picLocks noChangeArrowheads="1" noChangeAspect="1"/>
                    </pic:cNvPicPr>
                  </pic:nvPicPr>
                  <pic:blipFill>
                    <a:blip r:embed="rId26"/>
                    <a:stretch>
                      <a:fillRect/>
                    </a:stretch>
                  </pic:blipFill>
                  <pic:spPr bwMode="auto">
                    <a:xfrm>
                      <a:off x="0" y="0"/>
                      <a:ext cx="2804160" cy="4645152"/>
                    </a:xfrm>
                    <a:prstGeom prst="rect">
                      <a:avLst/>
                    </a:prstGeom>
                    <a:noFill/>
                    <a:ln w="9525">
                      <a:noFill/>
                      <a:headEnd/>
                      <a:tailEnd/>
                    </a:ln>
                  </pic:spPr>
                </pic:pic>
              </a:graphicData>
            </a:graphic>
          </wp:inline>
        </w:drawing>
      </w:r>
    </w:p>
    <w:p>
      <w:pPr>
        <w:pStyle w:val="ImageCaption"/>
      </w:pPr>
      <w:r>
        <w:t xml:space="preserve">Stimulus arrays and memory performance from multiple experiments in</w:t>
      </w:r>
      <w:r>
        <w:t xml:space="preserve"> </w:t>
      </w:r>
      <w:r>
        <w:t xml:space="preserve">Luck &amp; Vogel (1997)</w:t>
      </w:r>
      <w:r>
        <w:t xml:space="preserve">.</w:t>
      </w:r>
    </w:p>
    <w:p>
      <w:pPr>
        <w:pStyle w:val="BodyText"/>
      </w:pPr>
      <w:r>
        <w:t xml:space="preserve">The 'slots' model was directly opposed by the findings of</w:t>
      </w:r>
      <w:r>
        <w:t xml:space="preserve"> </w:t>
      </w:r>
      <w:r>
        <w:t xml:space="preserve">Alvarez &amp; Cavanagh (2004)</w:t>
      </w:r>
      <w:r>
        <w:t xml:space="preserve">. In their study, participants completed the same change-detection task as in</w:t>
      </w:r>
      <w:r>
        <w:t xml:space="preserve"> </w:t>
      </w:r>
      <w:r>
        <w:t xml:space="preserve">Luck &amp; Vogel (1997)</w:t>
      </w:r>
      <w:r>
        <w:t xml:space="preserve"> </w:t>
      </w:r>
      <w:r>
        <w:t xml:space="preserve">but with different stimulus sets. The stimuli sets included colour squares as</w:t>
      </w:r>
      <w:r>
        <w:t xml:space="preserve"> </w:t>
      </w:r>
      <w:r>
        <w:t xml:space="preserve">Luck &amp; Vogel (1997)</w:t>
      </w:r>
      <w:r>
        <w:t xml:space="preserve"> </w:t>
      </w:r>
      <w:r>
        <w:t xml:space="preserve">had done, but also Snodgrass line drawings, shaded cubes, random polygons, Chinese characters and English letters (see</w:t>
      </w:r>
      <w:r>
        <w:t xml:space="preserve"> </w:t>
      </w:r>
      <w:r>
        <w:t xml:space="preserve">). VWM capacities were significantly different for the stimulus sets contradicting what would be predicted by the 'slots' model.</w:t>
      </w:r>
    </w:p>
    <w:p>
      <w:pPr>
        <w:pStyle w:val="FigureWithCaption"/>
      </w:pPr>
      <w:r>
        <w:drawing>
          <wp:inline>
            <wp:extent cx="4389120" cy="3421379"/>
            <wp:effectExtent b="0" l="0" r="0" t="0"/>
            <wp:docPr descr="The stimuli sets used in Alvarez and Cavanagh (2004)" id="1" name="Picture"/>
            <a:graphic>
              <a:graphicData uri="http://schemas.openxmlformats.org/drawingml/2006/picture">
                <pic:pic>
                  <pic:nvPicPr>
                    <pic:cNvPr descr="/Users/will.ngiam/Documents/Github/Thesis/Figure%20Images/F2.jpg" id="0" name="Picture"/>
                    <pic:cNvPicPr>
                      <a:picLocks noChangeArrowheads="1" noChangeAspect="1"/>
                    </pic:cNvPicPr>
                  </pic:nvPicPr>
                  <pic:blipFill>
                    <a:blip r:embed="rId27"/>
                    <a:stretch>
                      <a:fillRect/>
                    </a:stretch>
                  </pic:blipFill>
                  <pic:spPr bwMode="auto">
                    <a:xfrm>
                      <a:off x="0" y="0"/>
                      <a:ext cx="4389120" cy="3421379"/>
                    </a:xfrm>
                    <a:prstGeom prst="rect">
                      <a:avLst/>
                    </a:prstGeom>
                    <a:noFill/>
                    <a:ln w="9525">
                      <a:noFill/>
                      <a:headEnd/>
                      <a:tailEnd/>
                    </a:ln>
                  </pic:spPr>
                </pic:pic>
              </a:graphicData>
            </a:graphic>
          </wp:inline>
        </w:drawing>
      </w:r>
    </w:p>
    <w:p>
      <w:pPr>
        <w:pStyle w:val="ImageCaption"/>
      </w:pPr>
      <w:r>
        <w:t xml:space="preserve">The stimuli sets used in Alvarez and Cavanagh (2004)</w:t>
      </w:r>
    </w:p>
    <w:p>
      <w:pPr>
        <w:pStyle w:val="BodyText"/>
      </w:pPr>
      <w:r>
        <w:t xml:space="preserve">Critically,</w:t>
      </w:r>
      <w:r>
        <w:t xml:space="preserve"> </w:t>
      </w:r>
      <w:r>
        <w:t xml:space="preserve">Alvarez &amp; Cavanagh (2004)</w:t>
      </w:r>
      <w:r>
        <w:t xml:space="preserve"> </w:t>
      </w:r>
      <w:r>
        <w:t xml:space="preserve">indexed the</w:t>
      </w:r>
      <w:r>
        <w:t xml:space="preserve"> </w:t>
      </w:r>
      <w:r>
        <w:rPr>
          <w:i/>
        </w:rPr>
        <w:t xml:space="preserve">complexity</w:t>
      </w:r>
      <w:r>
        <w:t xml:space="preserve"> </w:t>
      </w:r>
      <w:r>
        <w:t xml:space="preserve">of each stimulus set by conducting a visual search task with the same stimulus sets. In the visual search task, observers were presented a target object before asking to locate whether that target was present in an array of objects from the same stimulus set. The arrays contained either 4, 8, or 12 objects and included the target object on half the trials. The</w:t>
      </w:r>
      <w:r>
        <w:t xml:space="preserve"> </w:t>
      </w:r>
      <w:r>
        <w:rPr>
          <w:i/>
        </w:rPr>
        <w:t xml:space="preserve">visual search rate</w:t>
      </w:r>
      <w:r>
        <w:t xml:space="preserve">, their measure of stimulus complexity, was the estimated amount of additional reaction time taken to respond that the target was present with each additional item in the array. Estimating capacity as the number of objects for each stimulus set that would correspond to 75% accuracy on the change-detection task, visual search rate was very strongly correlated (</w:t>
      </w:r>
      <w:r>
        <w:rPr>
          <w:i/>
        </w:rPr>
        <w:t xml:space="preserve">r</w:t>
      </w:r>
      <w:r>
        <w:t xml:space="preserve"> </w:t>
      </w:r>
      <w:r>
        <w:t xml:space="preserve">= .992) to the inverse of capacity (see</w:t>
      </w:r>
      <w:r>
        <w:t xml:space="preserve"> </w:t>
      </w:r>
      <w:r>
        <w:t xml:space="preserve">).</w:t>
      </w:r>
    </w:p>
    <w:p>
      <w:pPr>
        <w:pStyle w:val="FigureWithCaption"/>
      </w:pPr>
      <w:r>
        <w:drawing>
          <wp:inline>
            <wp:extent cx="5026002" cy="4680704"/>
            <wp:effectExtent b="0" l="0" r="0" t="0"/>
            <wp:docPr descr="The visual search rate is highly correlated to the number of objects that corresopnds to 75% accuracy on the change-detection task. The values beside each stimulus item is the calculated capacity for each stimulus set. Taken from Alvarez and Cavanagh (2004)" id="1" name="Picture"/>
            <a:graphic>
              <a:graphicData uri="http://schemas.openxmlformats.org/drawingml/2006/picture">
                <pic:pic>
                  <pic:nvPicPr>
                    <pic:cNvPr descr="/Users/will.ngiam/Documents/Github/Thesis/Figure%20Images/AlvarezCavanaghVisualSearchCorrelation.png" id="0" name="Picture"/>
                    <pic:cNvPicPr>
                      <a:picLocks noChangeArrowheads="1" noChangeAspect="1"/>
                    </pic:cNvPicPr>
                  </pic:nvPicPr>
                  <pic:blipFill>
                    <a:blip r:embed="rId28"/>
                    <a:stretch>
                      <a:fillRect/>
                    </a:stretch>
                  </pic:blipFill>
                  <pic:spPr bwMode="auto">
                    <a:xfrm>
                      <a:off x="0" y="0"/>
                      <a:ext cx="5026002" cy="4680704"/>
                    </a:xfrm>
                    <a:prstGeom prst="rect">
                      <a:avLst/>
                    </a:prstGeom>
                    <a:noFill/>
                    <a:ln w="9525">
                      <a:noFill/>
                      <a:headEnd/>
                      <a:tailEnd/>
                    </a:ln>
                  </pic:spPr>
                </pic:pic>
              </a:graphicData>
            </a:graphic>
          </wp:inline>
        </w:drawing>
      </w:r>
    </w:p>
    <w:p>
      <w:pPr>
        <w:pStyle w:val="ImageCaption"/>
      </w:pPr>
      <w:r>
        <w:t xml:space="preserve">The visual search rate is highly correlated to the number of objects that corresopnds to 75% accuracy on the change-detection task. The values beside each stimulus item is the calculated capacity for each stimulus set. Taken from Alvarez and Cavanagh (2004)</w:t>
      </w:r>
    </w:p>
    <w:p>
      <w:pPr>
        <w:pStyle w:val="BodyText"/>
      </w:pPr>
      <w:r>
        <w:t xml:space="preserve">Luck &amp; Vogel (1997)</w:t>
      </w:r>
      <w:r>
        <w:t xml:space="preserve"> </w:t>
      </w:r>
      <w:r>
        <w:t xml:space="preserve">and</w:t>
      </w:r>
      <w:r>
        <w:t xml:space="preserve"> </w:t>
      </w:r>
      <w:r>
        <w:t xml:space="preserve">Alvarez &amp; Cavanagh (2004)</w:t>
      </w:r>
      <w:r>
        <w:t xml:space="preserve"> </w:t>
      </w:r>
      <w:r>
        <w:t xml:space="preserve">provide contrasting findings. While</w:t>
      </w:r>
      <w:r>
        <w:t xml:space="preserve"> </w:t>
      </w:r>
      <w:r>
        <w:t xml:space="preserve">Luck &amp; Vogel (1997)</w:t>
      </w:r>
      <w:r>
        <w:t xml:space="preserve"> </w:t>
      </w:r>
      <w:r>
        <w:t xml:space="preserve">show VWM capacity is consistently approximately 4 objects when varying the number of features being combined, whereas</w:t>
      </w:r>
      <w:r>
        <w:t xml:space="preserve"> </w:t>
      </w:r>
      <w:r>
        <w:t xml:space="preserve">(</w:t>
      </w:r>
      <w:r>
        <w:rPr>
          <w:b/>
        </w:rPr>
        <w:t xml:space="preserve">???</w:t>
      </w:r>
      <w:r>
        <w:t xml:space="preserve">)</w:t>
      </w:r>
      <w:r>
        <w:t xml:space="preserve">(</w:t>
      </w:r>
      <w:r>
        <w:rPr>
          <w:b/>
        </w:rPr>
        <w:t xml:space="preserve">???</w:t>
      </w:r>
      <w:r>
        <w:t xml:space="preserve">)</w:t>
      </w:r>
      <w:r>
        <w:t xml:space="preserve"> </w:t>
      </w:r>
      <w:r>
        <w:t xml:space="preserve">find VWM capacity is different for stimuli of varying complexity.</w:t>
      </w:r>
      <w:r>
        <w:t xml:space="preserve"> </w:t>
      </w:r>
      <w:r>
        <w:t xml:space="preserve">Alvarez &amp; Cavanagh (2004)</w:t>
      </w:r>
      <w:r>
        <w:t xml:space="preserve"> </w:t>
      </w:r>
      <w:r>
        <w:t xml:space="preserve">suggested VWM capacity is limited by total amount of visual information rather than the number of objects as</w:t>
      </w:r>
      <w:r>
        <w:t xml:space="preserve"> </w:t>
      </w:r>
      <w:r>
        <w:t xml:space="preserve">Luck &amp; Vogel (1997)</w:t>
      </w:r>
      <w:r>
        <w:t xml:space="preserve"> </w:t>
      </w:r>
      <w:r>
        <w:t xml:space="preserve">suggested in their 'slots' model. They posited the 'resource' model, which suggests that more complex visual items (those with more features) require more resources to be encoded and stored. Thus, as the visual stimuli get more complex, less items are maintained in VWM.</w:t>
      </w:r>
    </w:p>
    <w:p>
      <w:pPr>
        <w:pStyle w:val="BodyText"/>
      </w:pPr>
      <w:r>
        <w:t xml:space="preserve">Awh, Barton, &amp; Vogel (2007)</w:t>
      </w:r>
      <w:r>
        <w:t xml:space="preserve"> </w:t>
      </w:r>
      <w:r>
        <w:t xml:space="preserve">disputes whether the varying VWM capacities found by</w:t>
      </w:r>
      <w:r>
        <w:t xml:space="preserve"> </w:t>
      </w:r>
      <w:r>
        <w:t xml:space="preserve">Alvarez &amp; Cavanagh (2004)</w:t>
      </w:r>
      <w:r>
        <w:t xml:space="preserve"> </w:t>
      </w:r>
      <w:r>
        <w:t xml:space="preserve">was due to stimulus complexity. They suggest that the variation in VWM performance is due to an increase in comparison errors made when the object stored in memory is visually similar to the object that changed in the test array. To examine this,</w:t>
      </w:r>
      <w:r>
        <w:t xml:space="preserve"> </w:t>
      </w:r>
      <w:r>
        <w:t xml:space="preserve">Awh et al. (2007)</w:t>
      </w:r>
      <w:r>
        <w:t xml:space="preserve"> </w:t>
      </w:r>
      <w:r>
        <w:t xml:space="preserve">gave participants a change-detection task with memory arrays containing 4 or 8 items selected from a stimulus set of 6 shaded cubes and 6 Chinese characters. This meant that either a</w:t>
      </w:r>
      <w:r>
        <w:t xml:space="preserve"> </w:t>
      </w:r>
      <w:r>
        <w:rPr>
          <w:i/>
        </w:rPr>
        <w:t xml:space="preserve">within-category</w:t>
      </w:r>
      <w:r>
        <w:t xml:space="preserve"> </w:t>
      </w:r>
      <w:r>
        <w:t xml:space="preserve">change would occur, where a shaded cube changed to another shaded cube or a Chinese character changed to another Chinese character, or a</w:t>
      </w:r>
      <w:r>
        <w:t xml:space="preserve"> </w:t>
      </w:r>
      <w:r>
        <w:rPr>
          <w:i/>
        </w:rPr>
        <w:t xml:space="preserve">cross-category</w:t>
      </w:r>
      <w:r>
        <w:t xml:space="preserve"> </w:t>
      </w:r>
      <w:r>
        <w:t xml:space="preserve">change would occur, where a shaded cube would change to a Chinese chracter or a Chinese character would change to a shaded cube. A</w:t>
      </w:r>
      <w:r>
        <w:t xml:space="preserve"> </w:t>
      </w:r>
      <w:r>
        <w:rPr>
          <w:i/>
        </w:rPr>
        <w:t xml:space="preserve">within-category</w:t>
      </w:r>
      <w:r>
        <w:t xml:space="preserve"> </w:t>
      </w:r>
      <w:r>
        <w:t xml:space="preserve">change is more likely to produce more errors as the to-be compared items come from the same stimulus set, whereas the to-be compared items in a</w:t>
      </w:r>
      <w:r>
        <w:t xml:space="preserve"> </w:t>
      </w:r>
      <w:r>
        <w:rPr>
          <w:i/>
        </w:rPr>
        <w:t xml:space="preserve">cross-category</w:t>
      </w:r>
      <w:r>
        <w:t xml:space="preserve"> </w:t>
      </w:r>
      <w:r>
        <w:t xml:space="preserve">change come from the other stimulus set and are therefore, relatively dissimilar. If stimulus complexity influences the number of items stored in VWM, then there should be no benefit of a</w:t>
      </w:r>
      <w:r>
        <w:t xml:space="preserve"> </w:t>
      </w:r>
      <w:r>
        <w:rPr>
          <w:i/>
        </w:rPr>
        <w:t xml:space="preserve">cross-category</w:t>
      </w:r>
      <w:r>
        <w:t xml:space="preserve"> </w:t>
      </w:r>
      <w:r>
        <w:t xml:space="preserve">change compared to a</w:t>
      </w:r>
      <w:r>
        <w:t xml:space="preserve"> </w:t>
      </w:r>
      <w:r>
        <w:rPr>
          <w:i/>
        </w:rPr>
        <w:t xml:space="preserve">within-category</w:t>
      </w:r>
      <w:r>
        <w:t xml:space="preserve"> </w:t>
      </w:r>
      <w:r>
        <w:t xml:space="preserve">change. But if stimulus complexity influences the comparison decision, there should be an improvement in performance for</w:t>
      </w:r>
      <w:r>
        <w:t xml:space="preserve"> </w:t>
      </w:r>
      <w:r>
        <w:rPr>
          <w:i/>
        </w:rPr>
        <w:t xml:space="preserve">cross-category</w:t>
      </w:r>
      <w:r>
        <w:t xml:space="preserve"> </w:t>
      </w:r>
      <w:r>
        <w:t xml:space="preserve">changes relative to</w:t>
      </w:r>
      <w:r>
        <w:t xml:space="preserve"> </w:t>
      </w:r>
      <w:r>
        <w:rPr>
          <w:i/>
        </w:rPr>
        <w:t xml:space="preserve">within-category</w:t>
      </w:r>
      <w:r>
        <w:t xml:space="preserve"> </w:t>
      </w:r>
      <w:r>
        <w:t xml:space="preserve">changes. They found that memory performance for</w:t>
      </w:r>
      <w:r>
        <w:t xml:space="preserve"> </w:t>
      </w:r>
      <w:r>
        <w:rPr>
          <w:i/>
        </w:rPr>
        <w:t xml:space="preserve">within-category</w:t>
      </w:r>
      <w:r>
        <w:t xml:space="preserve"> </w:t>
      </w:r>
      <w:r>
        <w:t xml:space="preserve">changes was significantly worse, although significantly worse for a Chinese character compared to a shaded cube. Additionally, change-detection performance for</w:t>
      </w:r>
      <w:r>
        <w:t xml:space="preserve"> </w:t>
      </w:r>
      <w:r>
        <w:rPr>
          <w:i/>
        </w:rPr>
        <w:t xml:space="preserve">cross-category</w:t>
      </w:r>
      <w:r>
        <w:t xml:space="preserve"> </w:t>
      </w:r>
      <w:r>
        <w:t xml:space="preserve">was equivalent for change-detection performance with colours, which has relatively low</w:t>
      </w:r>
      <w:r>
        <w:t xml:space="preserve"> </w:t>
      </w:r>
      <w:r>
        <w:rPr>
          <w:i/>
        </w:rPr>
        <w:t xml:space="preserve">sample-test similarity</w:t>
      </w:r>
      <w:r>
        <w:t xml:space="preserve">.</w:t>
      </w:r>
    </w:p>
    <w:p>
      <w:pPr>
        <w:pStyle w:val="FigureWithCaption"/>
      </w:pPr>
      <w:r>
        <w:drawing>
          <wp:inline>
            <wp:extent cx="2674043" cy="3081297"/>
            <wp:effectExtent b="0" l="0" r="0" t="0"/>
            <wp:docPr descr="Results of Experiment 2 from Awh et al. (2007), showing that change-detection accuracy was significantly better for cross-category changes compared to within-category changes." id="1" name="Picture"/>
            <a:graphic>
              <a:graphicData uri="http://schemas.openxmlformats.org/drawingml/2006/picture">
                <pic:pic>
                  <pic:nvPicPr>
                    <pic:cNvPr descr="/Users/will.ngiam/Documents/Github/Thesis/Figure%20Images/AwhVWMCrossChanges.jpg" id="0" name="Picture"/>
                    <pic:cNvPicPr>
                      <a:picLocks noChangeArrowheads="1" noChangeAspect="1"/>
                    </pic:cNvPicPr>
                  </pic:nvPicPr>
                  <pic:blipFill>
                    <a:blip r:embed="rId29"/>
                    <a:stretch>
                      <a:fillRect/>
                    </a:stretch>
                  </pic:blipFill>
                  <pic:spPr bwMode="auto">
                    <a:xfrm>
                      <a:off x="0" y="0"/>
                      <a:ext cx="2674043" cy="3081297"/>
                    </a:xfrm>
                    <a:prstGeom prst="rect">
                      <a:avLst/>
                    </a:prstGeom>
                    <a:noFill/>
                    <a:ln w="9525">
                      <a:noFill/>
                      <a:headEnd/>
                      <a:tailEnd/>
                    </a:ln>
                  </pic:spPr>
                </pic:pic>
              </a:graphicData>
            </a:graphic>
          </wp:inline>
        </w:drawing>
      </w:r>
    </w:p>
    <w:p>
      <w:pPr>
        <w:pStyle w:val="ImageCaption"/>
      </w:pPr>
      <w:r>
        <w:t xml:space="preserve">Results of Experiment 2 from Awh et al. (2007), showing that change-detection accuracy was significantly better for cross-category changes compared to within-category changes.</w:t>
      </w:r>
    </w:p>
    <w:p>
      <w:pPr>
        <w:pStyle w:val="BodyText"/>
      </w:pPr>
      <w:r>
        <w:t xml:space="preserve">From this,</w:t>
      </w:r>
      <w:r>
        <w:t xml:space="preserve"> </w:t>
      </w:r>
      <w:r>
        <w:t xml:space="preserve">Awh et al. (2007)</w:t>
      </w:r>
      <w:r>
        <w:t xml:space="preserve"> </w:t>
      </w:r>
      <w:r>
        <w:t xml:space="preserve">concluded that the number of items represented in visual working memory is fixed, regardless of the complexity of those items. However, their findings did not contradict the basic conclusion of</w:t>
      </w:r>
      <w:r>
        <w:t xml:space="preserve"> </w:t>
      </w:r>
      <w:r>
        <w:t xml:space="preserve">Alvarez &amp; Cavanagh (2004)</w:t>
      </w:r>
      <w:r>
        <w:t xml:space="preserve"> </w:t>
      </w:r>
      <w:r>
        <w:t xml:space="preserve">that stimulus complexity does influence change-detection performance. A key insight from the</w:t>
      </w:r>
      <w:r>
        <w:t xml:space="preserve"> </w:t>
      </w:r>
      <w:r>
        <w:t xml:space="preserve">Awh et al. (2007)</w:t>
      </w:r>
      <w:r>
        <w:t xml:space="preserve"> </w:t>
      </w:r>
      <w:r>
        <w:t xml:space="preserve">paper is that rather than the stored number of items, it may be the resolution with which objects are stored in visual working memory may be the key limiting factor in change-detection performance. That is, more complex objects are stored with a limited resolution such that it is more difficult to detect</w:t>
      </w:r>
      <w:r>
        <w:t xml:space="preserve"> </w:t>
      </w:r>
      <w:r>
        <w:rPr>
          <w:i/>
        </w:rPr>
        <w:t xml:space="preserve">within-category</w:t>
      </w:r>
      <w:r>
        <w:t xml:space="preserve"> </w:t>
      </w:r>
      <w:r>
        <w:t xml:space="preserve">changes, leading to poorer overall change-detection performance at the same set size.</w:t>
      </w:r>
    </w:p>
    <w:p>
      <w:pPr>
        <w:pStyle w:val="Heading2"/>
      </w:pPr>
      <w:bookmarkStart w:id="30" w:name="the-precision-of-representations-in-visual-working-memory"/>
      <w:bookmarkEnd w:id="30"/>
      <w:r>
        <w:t xml:space="preserve">The precision of representations in visual working memory</w:t>
      </w:r>
    </w:p>
    <w:p>
      <w:pPr>
        <w:pStyle w:val="Heading2"/>
      </w:pPr>
      <w:bookmarkStart w:id="31" w:name="current-models-of-visual-working-memory"/>
      <w:bookmarkEnd w:id="31"/>
      <w:r>
        <w:t xml:space="preserve">Current models of visual working memory</w:t>
      </w:r>
    </w:p>
    <w:p>
      <w:pPr>
        <w:pStyle w:val="FirstParagraph"/>
      </w:pPr>
      <w:r>
        <w:t xml:space="preserve">However, the effect of training participants to be familiar with stimuli on visual working memory performance is unclear. To train recognition to polygons, Chen, Eng and Jiang (2006) presented four polygons out of a training set of eight, before presenting two polygons, one the same and one from the unpresented set. Despite being able to recognise the trained polygon, this familiarity did not improve visual working memory performance for the trained polygons over novel polygons. However, Blalock (2015) found a positive effect of familiarity training on visual working memory performance. Blalock (2015) presented a target polygon before asking the participant to select the target out of an array of four polygons. This recognition training produced better change-detection performance for trained polygons over the novel polygons. Another notable discrepancy between these studies is the sample size. While Chen et al. (2006) used twelve participants in each of their experiments, Blalock (2015) used over seventy and 102 in each of theirs. This difference in the statistical power of experiments may explain the contrasting results of familiarity training.</w:t>
      </w:r>
    </w:p>
    <w:p>
      <w:pPr>
        <w:pStyle w:val="BodyText"/>
      </w:pPr>
      <w:r>
        <w:t xml:space="preserve"> </w:t>
      </w:r>
      <w:r>
        <w:t xml:space="preserve"> </w:t>
      </w:r>
      <w:r>
        <w:t xml:space="preserve"> </w:t>
      </w:r>
    </w:p>
    <w:p>
      <w:pPr>
        <w:pStyle w:val="Heading2"/>
      </w:pPr>
      <w:bookmarkStart w:id="32" w:name="abstract"/>
      <w:bookmarkEnd w:id="32"/>
      <w:r>
        <w:t xml:space="preserve">Abstract</w:t>
      </w:r>
    </w:p>
    <w:p>
      <w:pPr>
        <w:pStyle w:val="Heading2"/>
      </w:pPr>
      <w:bookmarkStart w:id="33" w:name="introduction"/>
      <w:bookmarkEnd w:id="33"/>
      <w:r>
        <w:t xml:space="preserve">Introduction</w:t>
      </w:r>
    </w:p>
    <w:p>
      <w:pPr>
        <w:pStyle w:val="FirstParagraph"/>
      </w:pPr>
      <w:r>
        <w:t xml:space="preserve">A common method employed by visual working memory (VWM) researchers is to manipulate the stimuli used in the change-detection task and examine its effect on memory performance. A major point of contention central to the current debate over the architecture of VWM is the influence of stimulus complexity on VWM processes. However, an overlooked influence on the VWM system and on the complexity of a stimulus is the observers' familiarity with the stimulus. This chapter examines influence of stimulus complexity and familiarity on two parameters of VWM, the encoding rate and capacity.</w:t>
      </w:r>
    </w:p>
    <w:p>
      <w:pPr>
        <w:pStyle w:val="Heading2"/>
      </w:pPr>
      <w:bookmarkStart w:id="34" w:name="complexity-and-architecture-of-vwm"/>
      <w:bookmarkEnd w:id="34"/>
      <w:r>
        <w:t xml:space="preserve">Complexity and architecture of VWM</w:t>
      </w:r>
    </w:p>
    <w:p>
      <w:pPr>
        <w:pStyle w:val="FirstParagraph"/>
      </w:pPr>
      <w:r>
        <w:t xml:space="preserve">Opposing findings regarding the influence of stimulus complexity on VWM capacity inspired the two conflicting models of VWM architecture that have shaped much of the research in VWM, the</w:t>
      </w:r>
      <w:r>
        <w:t xml:space="preserve"> </w:t>
      </w:r>
      <w:r>
        <w:rPr>
          <w:i/>
        </w:rPr>
        <w:t xml:space="preserve">slots</w:t>
      </w:r>
      <w:r>
        <w:t xml:space="preserve"> </w:t>
      </w:r>
      <w:r>
        <w:t xml:space="preserve">model and the</w:t>
      </w:r>
      <w:r>
        <w:t xml:space="preserve"> </w:t>
      </w:r>
      <w:r>
        <w:rPr>
          <w:i/>
        </w:rPr>
        <w:t xml:space="preserve">resources</w:t>
      </w:r>
      <w:r>
        <w:t xml:space="preserve"> </w:t>
      </w:r>
      <w:r>
        <w:t xml:space="preserve">model. Proponents of the</w:t>
      </w:r>
      <w:r>
        <w:t xml:space="preserve"> </w:t>
      </w:r>
      <w:r>
        <w:rPr>
          <w:i/>
        </w:rPr>
        <w:t xml:space="preserve">slots</w:t>
      </w:r>
      <w:r>
        <w:t xml:space="preserve"> </w:t>
      </w:r>
      <w:r>
        <w:t xml:space="preserve">model suggest the information capacity limit of VWM is defined stricly by the number of</w:t>
      </w:r>
      <w:r>
        <w:t xml:space="preserve"> </w:t>
      </w:r>
      <w:r>
        <w:rPr>
          <w:i/>
        </w:rPr>
        <w:t xml:space="preserve">items</w:t>
      </w:r>
      <w:r>
        <w:t xml:space="preserve"> </w:t>
      </w:r>
      <w:r>
        <w:t xml:space="preserve">to be stored, regardless of the complexity of the stored items. In their paper that established the</w:t>
      </w:r>
      <w:r>
        <w:t xml:space="preserve"> </w:t>
      </w:r>
      <w:r>
        <w:rPr>
          <w:i/>
        </w:rPr>
        <w:t xml:space="preserve">slots</w:t>
      </w:r>
      <w:r>
        <w:t xml:space="preserve"> </w:t>
      </w:r>
      <w:r>
        <w:t xml:space="preserve">model,</w:t>
      </w:r>
      <w:r>
        <w:t xml:space="preserve"> </w:t>
      </w:r>
      <w:r>
        <w:t xml:space="preserve">Luck &amp; Vogel (1997)</w:t>
      </w:r>
      <w:r>
        <w:t xml:space="preserve"> </w:t>
      </w:r>
      <w:r>
        <w:t xml:space="preserve">increased the complexity by increasing the amount of relevant features to the to-be-remembered stimuli. For example, the memoranda included various conjunctions of colour, orientation, size and the presence or absence of a gap. They found no change in VWM performance with the increased amount of relevant features that made up the stimuli in the change-detection task, suggesting the VWM system is object-based rather than feature-based.</w:t>
      </w:r>
    </w:p>
    <w:p>
      <w:pPr>
        <w:pStyle w:val="BodyText"/>
      </w:pPr>
      <w:r>
        <w:t xml:space="preserve">Similarly,</w:t>
      </w:r>
      <w:r>
        <w:t xml:space="preserve"> </w:t>
      </w:r>
      <w:r>
        <w:t xml:space="preserve">Alvarez &amp; Cavanagh (2004)</w:t>
      </w:r>
      <w:r>
        <w:t xml:space="preserve"> </w:t>
      </w:r>
      <w:r>
        <w:t xml:space="preserve">used various stimlus sets, ranging from the more complex random polygons and Chinese characters to the less complex colour squares, in a change-detection task. Critically, they indexed each stimuli's complexity by conducting a visual search task with those stimuli. In the visual search task, observers had to locate a target object amongst an array of 4, 8 or 12 objects from the same stimulus class. They then quantified complexity as the visual search rate, the additional time it took to find the target with each additional item in the search display. That is, more complex objects were those that made visual search slower with each added object.</w:t>
      </w:r>
      <w:r>
        <w:t xml:space="preserve"> </w:t>
      </w:r>
      <w:r>
        <w:t xml:space="preserve">Alvarez &amp; Cavanagh (2004)</w:t>
      </w:r>
      <w:r>
        <w:t xml:space="preserve"> </w:t>
      </w:r>
      <w:r>
        <w:t xml:space="preserve">found that change-detection performance was lower for more complex objects, such that the visual search rate was almost perfectly correlated with working memory capacity (</w:t>
      </w:r>
      <w:r>
        <w:rPr>
          <w:i/>
        </w:rPr>
        <w:t xml:space="preserve">r</w:t>
      </w:r>
      <w:r>
        <w:t xml:space="preserve"> </w:t>
      </w:r>
      <w:r>
        <w:t xml:space="preserve">= 0.992). This finding that stimulus complexity influenced VWM performance motivated</w:t>
      </w:r>
      <w:r>
        <w:t xml:space="preserve"> </w:t>
      </w:r>
      <w:r>
        <w:t xml:space="preserve">Alvarez &amp; Cavanagh (2004)</w:t>
      </w:r>
      <w:r>
        <w:t xml:space="preserve"> </w:t>
      </w:r>
      <w:r>
        <w:t xml:space="preserve">to propose the</w:t>
      </w:r>
      <w:r>
        <w:t xml:space="preserve"> </w:t>
      </w:r>
      <w:r>
        <w:rPr>
          <w:i/>
        </w:rPr>
        <w:t xml:space="preserve">resources</w:t>
      </w:r>
      <w:r>
        <w:t xml:space="preserve"> </w:t>
      </w:r>
      <w:r>
        <w:t xml:space="preserve">model, which suggests that the VWM system allocates a finite pool of resources to storing stimuli. As more complex items require more resources, less items can be stored in VWM.</w:t>
      </w:r>
    </w:p>
    <w:p>
      <w:pPr>
        <w:pStyle w:val="BodyText"/>
      </w:pPr>
      <w:r>
        <w:t xml:space="preserve">Although the object-based "slots" model</w:t>
      </w:r>
      <w:r>
        <w:t xml:space="preserve"> </w:t>
      </w:r>
      <w:r>
        <w:t xml:space="preserve">(Luck &amp; Vogel, 1997)</w:t>
      </w:r>
      <w:r>
        <w:t xml:space="preserve"> </w:t>
      </w:r>
      <w:r>
        <w:t xml:space="preserve">and the feature-based "resources" model</w:t>
      </w:r>
      <w:r>
        <w:t xml:space="preserve"> </w:t>
      </w:r>
      <w:r>
        <w:t xml:space="preserve">(Alvarez &amp; Cavanagh, 2004)</w:t>
      </w:r>
      <w:r>
        <w:t xml:space="preserve"> </w:t>
      </w:r>
      <w:r>
        <w:t xml:space="preserve">have been influential in VWM research, the manner in which object complexity influences VWM processes, a main difference between these models, is still contended. Firstly, stimulus complexity may influence VWM processes at an early stage, when items are being consolidated into VWM.</w:t>
      </w:r>
      <w:r>
        <w:t xml:space="preserve"> </w:t>
      </w:r>
      <w:r>
        <w:t xml:space="preserve">Eng, Chen, &amp; Jiang (2005)</w:t>
      </w:r>
      <w:r>
        <w:t xml:space="preserve"> </w:t>
      </w:r>
      <w:r>
        <w:t xml:space="preserve">were able to replicate</w:t>
      </w:r>
      <w:r>
        <w:t xml:space="preserve"> </w:t>
      </w:r>
      <w:r>
        <w:t xml:space="preserve">Alvarez &amp; Cavanagh (2004)</w:t>
      </w:r>
      <w:r>
        <w:t xml:space="preserve">, finding that visual search rate negatively correlated with VWM capacity with brief memory display presentations (500 and 1000 ms) and longer presentations (3000 ms). However, they did not replicate the near perfect negative correlation found by</w:t>
      </w:r>
      <w:r>
        <w:t xml:space="preserve"> </w:t>
      </w:r>
      <w:r>
        <w:t xml:space="preserve">Alvarez &amp; Cavanagh (2004)</w:t>
      </w:r>
      <w:r>
        <w:t xml:space="preserve">, and found the visual search rates were better predictors of VWM capacities at shorter presentation durations compared to longer durations. If capacity was purely determined by the complexity of the stimulus, it should not be influenced by duration presentation. Thus,</w:t>
      </w:r>
      <w:r>
        <w:t xml:space="preserve"> </w:t>
      </w:r>
      <w:r>
        <w:t xml:space="preserve">Eng et al. (2005)</w:t>
      </w:r>
      <w:r>
        <w:t xml:space="preserve"> </w:t>
      </w:r>
      <w:r>
        <w:t xml:space="preserve">suggests that increased stimulus complexity limits perceptual encoding rather than overall VWM capacity.</w:t>
      </w:r>
    </w:p>
    <w:p>
      <w:pPr>
        <w:pStyle w:val="BodyText"/>
      </w:pPr>
      <w:r>
        <w:t xml:space="preserve">Awh et al. (2007)</w:t>
      </w:r>
      <w:r>
        <w:t xml:space="preserve"> </w:t>
      </w:r>
      <w:r>
        <w:t xml:space="preserve">suggest that the differences in VWM capacity found by</w:t>
      </w:r>
      <w:r>
        <w:t xml:space="preserve"> </w:t>
      </w:r>
      <w:r>
        <w:t xml:space="preserve">Alvarez &amp; Cavanagh (2004)</w:t>
      </w:r>
      <w:r>
        <w:t xml:space="preserve"> </w:t>
      </w:r>
      <w:r>
        <w:t xml:space="preserve">were not due to stimulus complexity</w:t>
      </w:r>
      <w:r>
        <w:t xml:space="preserve"> </w:t>
      </w:r>
      <w:r>
        <w:rPr>
          <w:i/>
        </w:rPr>
        <w:t xml:space="preserve">per se</w:t>
      </w:r>
      <w:r>
        <w:t xml:space="preserve"> </w:t>
      </w:r>
      <w:r>
        <w:t xml:space="preserve">but rather because of confusion at the comparison stage in change-detection rather than during encoding.</w:t>
      </w:r>
      <w:r>
        <w:t xml:space="preserve"> </w:t>
      </w:r>
      <w:r>
        <w:t xml:space="preserve">Awh et al. (2007)</w:t>
      </w:r>
      <w:r>
        <w:t xml:space="preserve"> </w:t>
      </w:r>
      <w:r>
        <w:t xml:space="preserve">manipulated whether the changed object in the test array was from the same stimulus set (</w:t>
      </w:r>
      <w:r>
        <w:rPr>
          <w:i/>
        </w:rPr>
        <w:t xml:space="preserve">within-category</w:t>
      </w:r>
      <w:r>
        <w:t xml:space="preserve">) or from a different stimulus set (</w:t>
      </w:r>
      <w:r>
        <w:rPr>
          <w:i/>
        </w:rPr>
        <w:t xml:space="preserve">cross-category</w:t>
      </w:r>
      <w:r>
        <w:t xml:space="preserve">). They similarly replicated the finding of</w:t>
      </w:r>
      <w:r>
        <w:t xml:space="preserve"> </w:t>
      </w:r>
      <w:r>
        <w:t xml:space="preserve">Alvarez &amp; Cavanagh (2004)</w:t>
      </w:r>
      <w:r>
        <w:t xml:space="preserve"> </w:t>
      </w:r>
      <w:r>
        <w:t xml:space="preserve">that change-detection accuracy decreased as complexity increased with within-category changes, but found accuracy was equivalent when changes were cross-category. As objects that were more complex were more visually similar (high</w:t>
      </w:r>
      <w:r>
        <w:t xml:space="preserve"> </w:t>
      </w:r>
      <w:r>
        <w:rPr>
          <w:i/>
        </w:rPr>
        <w:t xml:space="preserve">sample-test similarity</w:t>
      </w:r>
      <w:r>
        <w:t xml:space="preserve">), within-category changes produced more errors made when detecting changes in the test array, lowering estimates of VWM capacity.</w:t>
      </w:r>
    </w:p>
    <w:p>
      <w:pPr>
        <w:pStyle w:val="Heading2"/>
      </w:pPr>
      <w:bookmarkStart w:id="35" w:name="encoding-rate"/>
      <w:bookmarkEnd w:id="35"/>
      <w:r>
        <w:t xml:space="preserve">Encoding rate</w:t>
      </w:r>
    </w:p>
    <w:p>
      <w:pPr>
        <w:pStyle w:val="FirstParagraph"/>
      </w:pPr>
      <w:r>
        <w:t xml:space="preserve">Like the capacity of visual working memory, the encoding rate of information into VWM is similarly limited. The encoding rate was first quantified by</w:t>
      </w:r>
      <w:r>
        <w:t xml:space="preserve"> </w:t>
      </w:r>
      <w:r>
        <w:t xml:space="preserve">Vogel, Woodman, &amp; Luck (2006)</w:t>
      </w:r>
      <w:r>
        <w:t xml:space="preserve">.</w:t>
      </w:r>
      <w:r>
        <w:t xml:space="preserve"> </w:t>
      </w:r>
      <w:r>
        <w:t xml:space="preserve">Vogel et al. (2006)</w:t>
      </w:r>
      <w:r>
        <w:t xml:space="preserve"> </w:t>
      </w:r>
      <w:r>
        <w:t xml:space="preserve">presented four colours for a fixed duration (100 ms) to observers in a change-detection task. VWM processes creating a durable representation of those colours were then interrupted with a backward mask.</w:t>
      </w:r>
      <w:r>
        <w:t xml:space="preserve"> </w:t>
      </w:r>
      <w:r>
        <w:t xml:space="preserve">Vogel et al. (2006)</w:t>
      </w:r>
      <w:r>
        <w:t xml:space="preserve"> </w:t>
      </w:r>
      <w:r>
        <w:t xml:space="preserve">varied the</w:t>
      </w:r>
      <w:r>
        <w:t xml:space="preserve"> </w:t>
      </w:r>
      <w:r>
        <w:rPr>
          <w:i/>
        </w:rPr>
        <w:t xml:space="preserve">stimulus onset asynchrony</w:t>
      </w:r>
      <w:r>
        <w:t xml:space="preserve"> </w:t>
      </w:r>
      <w:r>
        <w:t xml:space="preserve">(SOA), the duration allowed for VWM processes prior to the onset of the backward mask. They found change-detection performance improved with increased encoding duration up to 200 ms, before plateauing. Prior to the asymptote, each colour block took approximately 50 ms to encode.</w:t>
      </w:r>
    </w:p>
    <w:p>
      <w:pPr>
        <w:pStyle w:val="BodyText"/>
      </w:pPr>
      <w:r>
        <w:t xml:space="preserve">Although the encoding rate reflects early processing creating durable VWM representations, it is often ignored by researchers despite the possibility influences on early VWM processing might vary VWM capacity estimates. In our study, we adpoted the</w:t>
      </w:r>
      <w:r>
        <w:t xml:space="preserve"> </w:t>
      </w:r>
      <w:r>
        <w:t xml:space="preserve">Vogel et al. (2006)</w:t>
      </w:r>
      <w:r>
        <w:t xml:space="preserve"> </w:t>
      </w:r>
      <w:r>
        <w:t xml:space="preserve">paradigm with various stimulus sets to examine whether the encoding rate is influenced by stimulus complexity. This allows us to determine whether a stimulus set with items containing more features (more complex) takes longer to encode into VWM. Increasing object complexity may slow the rate of encoding into VWM, such that complex objects will require more time to saturate VWM capacity. This would confound conclusions made from comparisons of VWM capacity for objects of different complexity with the same memory array durations, such as those found by</w:t>
      </w:r>
      <w:r>
        <w:t xml:space="preserve"> </w:t>
      </w:r>
      <w:r>
        <w:t xml:space="preserve">Alvarez &amp; Cavanagh (2004)</w:t>
      </w:r>
      <w:r>
        <w:t xml:space="preserve">.</w:t>
      </w:r>
    </w:p>
    <w:p>
      <w:pPr>
        <w:pStyle w:val="Heading2"/>
      </w:pPr>
      <w:bookmarkStart w:id="36" w:name="defining-complexity"/>
      <w:bookmarkEnd w:id="36"/>
      <w:r>
        <w:t xml:space="preserve">Defining complexity</w:t>
      </w:r>
    </w:p>
    <w:p>
      <w:pPr>
        <w:pStyle w:val="FirstParagraph"/>
      </w:pPr>
      <w:r>
        <w:t xml:space="preserve">Inconsistent definitions, measures and manipulations of complexity may have lead to the vastly differing models of VWM architecture. For example,</w:t>
      </w:r>
      <w:r>
        <w:t xml:space="preserve"> </w:t>
      </w:r>
      <w:r>
        <w:t xml:space="preserve">Luck &amp; Vogel (1997)</w:t>
      </w:r>
      <w:r>
        <w:t xml:space="preserve"> </w:t>
      </w:r>
      <w:r>
        <w:t xml:space="preserve">manipulated stimulus complexity by increasing the number of relevant features in the stimuli, whereas</w:t>
      </w:r>
      <w:r>
        <w:t xml:space="preserve"> </w:t>
      </w:r>
      <w:r>
        <w:t xml:space="preserve">Alvarez &amp; Cavanagh (2004)</w:t>
      </w:r>
      <w:r>
        <w:t xml:space="preserve"> </w:t>
      </w:r>
      <w:r>
        <w:t xml:space="preserve">varied stimulus sets and measuring their visual information load using a visual search task. In the present chapter, we defined stimulus complexity using</w:t>
      </w:r>
      <w:r>
        <w:t xml:space="preserve"> </w:t>
      </w:r>
      <w:r>
        <w:rPr>
          <w:i/>
        </w:rPr>
        <w:t xml:space="preserve">perimetric complexity</w:t>
      </w:r>
      <w:r>
        <w:t xml:space="preserve">, the square of the combined inside and outside perimeters of a letter, divide by its area</w:t>
      </w:r>
      <w:r>
        <w:t xml:space="preserve"> </w:t>
      </w:r>
      <w:r>
        <w:t xml:space="preserve">(Attneave &amp; Arnoult, 1956)</w:t>
      </w:r>
      <w:r>
        <w:t xml:space="preserve">. As letters increase in perimetric complexity, they are identified increasing inefficiently</w:t>
      </w:r>
      <w:r>
        <w:t xml:space="preserve"> </w:t>
      </w:r>
      <w:r>
        <w:t xml:space="preserve">(Pelli, Burns, Farell, &amp; Moore-Page, 2006)</w:t>
      </w:r>
      <w:r>
        <w:t xml:space="preserve">. Perimetric complexity is a superior measure of complexity to previous manipulations of complexity because it is objective, measured from the stimulus directly. Additionally, an increase in perimetric complexity reflects an increase in stimulus complexity without the addition of extra feature dimensions. In the present study, we selected letters of the English alphabet and varied the perimetric complexity by presenting the letters in four different fonts (Experiment 1), as well as presented characters from four alphabets that were unfamiliar to our participants (Experiment 2).</w:t>
      </w:r>
    </w:p>
    <w:p>
      <w:pPr>
        <w:pStyle w:val="Heading2"/>
      </w:pPr>
      <w:bookmarkStart w:id="37" w:name="familiarity"/>
      <w:bookmarkEnd w:id="37"/>
      <w:r>
        <w:t xml:space="preserve">Familiarity</w:t>
      </w:r>
    </w:p>
    <w:p>
      <w:pPr>
        <w:pStyle w:val="FirstParagraph"/>
      </w:pPr>
      <w:r>
        <w:t xml:space="preserve">An additional factor that has been shown to influence consolidation and storage in VWM is familiarity. For example, chess experts showed an improved memory performance for chess game positions compared to novices, but equivalent memory performance when the chess pieces were random on the board</w:t>
      </w:r>
      <w:r>
        <w:t xml:space="preserve"> </w:t>
      </w:r>
      <w:r>
        <w:t xml:space="preserve">(Chase &amp; Simon, 1973)</w:t>
      </w:r>
      <w:r>
        <w:t xml:space="preserve">. More recently, higher VWM capacities have been found for famous faces over unfamiliar faces</w:t>
      </w:r>
      <w:r>
        <w:t xml:space="preserve"> </w:t>
      </w:r>
      <w:r>
        <w:t xml:space="preserve">(Jackson &amp; Raymond, 2008)</w:t>
      </w:r>
      <w:r>
        <w:t xml:space="preserve">, as well as for Pokémon (characters from a popular childhood cartoon) from an original generation over a recent generation only for those reporting familiarity with the characters</w:t>
      </w:r>
      <w:r>
        <w:t xml:space="preserve"> </w:t>
      </w:r>
      <w:r>
        <w:t xml:space="preserve">(Xie &amp; Zhang, 2016)</w:t>
      </w:r>
      <w:r>
        <w:t xml:space="preserve">. Similarly, those familiar showed a higher encoding rate for Pokémon</w:t>
      </w:r>
      <w:r>
        <w:t xml:space="preserve"> </w:t>
      </w:r>
      <w:r>
        <w:t xml:space="preserve">(Xie &amp; Zhang, 2017)</w:t>
      </w:r>
      <w:r>
        <w:t xml:space="preserve">. Although, these studies do not control stimulus complexity and it is unknown whether these effects of familiarity are independent of stimulus complexity. We examined this in Experiment 3, controlling for stimulus complexity by using the Brussels Artificial Character Set (BACS)</w:t>
      </w:r>
      <w:r>
        <w:t xml:space="preserve"> </w:t>
      </w:r>
      <w:r>
        <w:t xml:space="preserve">(Vidal, Content, &amp; Chetail, 2017)</w:t>
      </w:r>
      <w:r>
        <w:t xml:space="preserve">. The BACS is designed to have the same number of junctions, strokes and terminations as English letters but is unfamiliar to the observer. Additionally, we matched the perimetric complexity of the BACS to the English letters.</w:t>
      </w:r>
    </w:p>
    <w:p>
      <w:pPr>
        <w:pStyle w:val="BodyText"/>
      </w:pPr>
      <w:r>
        <w:t xml:space="preserve">Encoding and capacity limits in VWM might best be described in terms of</w:t>
      </w:r>
      <w:r>
        <w:t xml:space="preserve"> </w:t>
      </w:r>
      <w:r>
        <w:rPr>
          <w:i/>
        </w:rPr>
        <w:t xml:space="preserve">objects</w:t>
      </w:r>
      <w:r>
        <w:t xml:space="preserve">, as in the "slots" model or in terms of</w:t>
      </w:r>
      <w:r>
        <w:t xml:space="preserve"> </w:t>
      </w:r>
      <w:r>
        <w:rPr>
          <w:i/>
        </w:rPr>
        <w:t xml:space="preserve">features</w:t>
      </w:r>
      <w:r>
        <w:t xml:space="preserve">, as in the "resources" model. If feature intergration limits the encoding rate into VWM, more complex letters will be encoded at a slower rate. If this is not the case, encoding rate will not vary with stimulus complexity. Similarly, if the number of features limits VWM capacity, fewer items will be stored from more complex alphabets. Otherwise, VWM capacity maybe be determined by the number of items, and will not vary with stimulus complexity. These models are shown in Figure 1.</w:t>
      </w:r>
    </w:p>
    <w:p>
      <w:pPr>
        <w:pStyle w:val="BodyText"/>
      </w:pPr>
      <w:r>
        <w:t xml:space="preserve"> </w:t>
      </w:r>
      <w:r>
        <w:t xml:space="preserve"> </w:t>
      </w:r>
      <w:r>
        <w:t xml:space="preserve"> </w:t>
      </w:r>
    </w:p>
    <w:p>
      <w:pPr>
        <w:pStyle w:val="Heading2"/>
      </w:pPr>
      <w:bookmarkStart w:id="38" w:name="abstract-1"/>
      <w:bookmarkEnd w:id="38"/>
      <w:r>
        <w:t xml:space="preserve">Abstract</w:t>
      </w:r>
    </w:p>
    <w:p>
      <w:pPr>
        <w:pStyle w:val="FirstParagraph"/>
      </w:pPr>
      <w:r>
        <w:t xml:space="preserve">In the previous chapter, the effect of familiarity on VWM was examined...</w:t>
      </w:r>
    </w:p>
    <w:p>
      <w:pPr>
        <w:pStyle w:val="Heading2"/>
      </w:pPr>
      <w:bookmarkStart w:id="39" w:name="introduction-1"/>
      <w:bookmarkEnd w:id="39"/>
      <w:r>
        <w:t xml:space="preserve">Introduction</w:t>
      </w:r>
    </w:p>
    <w:p>
      <w:pPr>
        <w:pStyle w:val="FirstParagraph"/>
      </w:pPr>
      <w:r>
        <w:t xml:space="preserve">Given the strict capacity limit of VWM and its robust correlations to measures of cognitive ability such as fluid intelligence and scholastic achievement</w:t>
      </w:r>
      <w:r>
        <w:t xml:space="preserve"> </w:t>
      </w:r>
      <w:r>
        <w:t xml:space="preserve">(A. R. A. Conway, Cowan, Bunting, Therriault, &amp; Minkoff, 2002; Cowan, Chen, &amp; Rouder, 2004; Fukuda, Vogel, Mayr, &amp; Awh, 2010; Unsworth, Fukuda, Awh, &amp; Vogel, 2014)</w:t>
      </w:r>
      <w:r>
        <w:t xml:space="preserve">, there is sustained interest in manipulations that potentially enhance VWM capacity. An influential paper by</w:t>
      </w:r>
      <w:r>
        <w:t xml:space="preserve"> </w:t>
      </w:r>
      <w:r>
        <w:t xml:space="preserve">Brady, Konkle, &amp; Alvarez (2009)</w:t>
      </w:r>
      <w:r>
        <w:t xml:space="preserve"> </w:t>
      </w:r>
      <w:r>
        <w:t xml:space="preserve">demonstrated including regularities in the color pairs shown in displays improved VWM recall performance relative to displays without any regularities. That is, when specific pairs of colours were more likely to appear in the display, observers were able to use this to their advantage and improve recall accuracy. This chapter explores This set of experiments investigated the mechanism of learning that produces the enhanced memory performance, and how that maps on to the architecture of VWM.</w:t>
      </w:r>
    </w:p>
    <w:p>
      <w:pPr>
        <w:pStyle w:val="Heading3"/>
      </w:pPr>
      <w:bookmarkStart w:id="40" w:name="chunking"/>
      <w:bookmarkEnd w:id="40"/>
      <w:r>
        <w:t xml:space="preserve">Chunking</w:t>
      </w:r>
    </w:p>
    <w:p>
      <w:pPr>
        <w:pStyle w:val="FirstParagraph"/>
      </w:pPr>
      <w:r>
        <w:t xml:space="preserve">Improvement in memory performance has classically been explained using</w:t>
      </w:r>
      <w:r>
        <w:t xml:space="preserve"> </w:t>
      </w:r>
      <w:r>
        <w:rPr>
          <w:i/>
        </w:rPr>
        <w:t xml:space="preserve">chunking</w:t>
      </w:r>
      <w:r>
        <w:t xml:space="preserve">.</w:t>
      </w:r>
      <w:r>
        <w:t xml:space="preserve"> </w:t>
      </w:r>
      <w:r>
        <w:t xml:space="preserve">Miller (1956)</w:t>
      </w:r>
      <w:r>
        <w:t xml:space="preserve"> </w:t>
      </w:r>
      <w:r>
        <w:t xml:space="preserve">proposed learning allowed greater amounts of information to be stored more efficiently in "chunks", with the absolute number of chunks stored into memory remaining constant</w:t>
      </w:r>
      <w:r>
        <w:t xml:space="preserve"> </w:t>
      </w:r>
      <w:r>
        <w:t xml:space="preserve">(Miller, 1956)</w:t>
      </w:r>
      <w:r>
        <w:t xml:space="preserve">. For example, experts recall chess positions from real matches significantly better than novices, but not better when these positions are random distributed chess pieces</w:t>
      </w:r>
      <w:r>
        <w:t xml:space="preserve"> </w:t>
      </w:r>
      <w:r>
        <w:t xml:space="preserve">(</w:t>
      </w:r>
      <w:r>
        <w:rPr>
          <w:b/>
        </w:rPr>
        <w:t xml:space="preserve">???</w:t>
      </w:r>
      <w:r>
        <w:t xml:space="preserve">)</w:t>
      </w:r>
      <w:r>
        <w:t xml:space="preserve">. As recall performance was equivalent on random positions, this suggests chess masters do not have a larger VWM capacity but instead use their expertise to efficiently "chunk" game positions, which novices cannot do.</w:t>
      </w:r>
    </w:p>
    <w:p>
      <w:pPr>
        <w:pStyle w:val="BodyText"/>
      </w:pPr>
      <w:r>
        <w:t xml:space="preserve">Brady et al. (2009)</w:t>
      </w:r>
      <w:r>
        <w:t xml:space="preserve"> </w:t>
      </w:r>
      <w:r>
        <w:t xml:space="preserve">show chunking models provide an accurate approximation of how observers may take advantange of the statistical regularities.</w:t>
      </w:r>
    </w:p>
    <w:p>
      <w:pPr>
        <w:pStyle w:val="BodyText"/>
      </w:pPr>
      <w:r>
        <w:t xml:space="preserve"> </w:t>
      </w:r>
    </w:p>
    <w:p>
      <w:pPr>
        <w:pStyle w:val="BodyText"/>
      </w:pPr>
    </w:p>
    <w:p>
      <w:pPr>
        <w:pStyle w:val="BodyText"/>
      </w:pPr>
    </w:p>
    <w:p>
      <w:pPr>
        <w:pStyle w:val="Heading1"/>
      </w:pPr>
      <w:bookmarkStart w:id="41" w:name="references"/>
      <w:bookmarkEnd w:id="41"/>
      <w:r>
        <w:t xml:space="preserve">References</w:t>
      </w:r>
    </w:p>
    <w:p>
      <w:pPr>
        <w:pStyle w:val="FirstParagraph"/>
      </w:pPr>
      <w:r>
        <w:t xml:space="preserve"> </w:t>
      </w:r>
      <w:r>
        <w:t xml:space="preserve"> </w:t>
      </w:r>
      <w:r>
        <w:t xml:space="preserve"> </w:t>
      </w:r>
    </w:p>
    <w:p>
      <w:pPr>
        <w:pStyle w:val="Bibliography"/>
      </w:pPr>
      <w:r>
        <w:t xml:space="preserve">Alvarez, G. A., &amp; Cavanagh, P. (2004). The Capacity of Visual Short-Term Memory Is Set Both by Visual Information Load and by Number of Objects.</w:t>
      </w:r>
      <w:r>
        <w:t xml:space="preserve"> </w:t>
      </w:r>
      <w:r>
        <w:rPr>
          <w:i/>
        </w:rPr>
        <w:t xml:space="preserve">Psychological Science</w:t>
      </w:r>
      <w:r>
        <w:t xml:space="preserve">,</w:t>
      </w:r>
      <w:r>
        <w:t xml:space="preserve"> </w:t>
      </w:r>
      <w:r>
        <w:rPr>
          <w:i/>
        </w:rPr>
        <w:t xml:space="preserve">15</w:t>
      </w:r>
      <w:r>
        <w:t xml:space="preserve">, 106–111. Retrieved from</w:t>
      </w:r>
      <w:r>
        <w:t xml:space="preserve"> </w:t>
      </w:r>
      <w:hyperlink r:id="rId42">
        <w:r>
          <w:rPr>
            <w:rStyle w:val="Hyperlink"/>
          </w:rPr>
          <w:t xml:space="preserve">http://visionlab.harvard.edu/Members/Patrick/PDF.files/2005%20pdfs/Alvarez%26Cavanagh(2004).pdf</w:t>
        </w:r>
      </w:hyperlink>
    </w:p>
    <w:p>
      <w:pPr>
        <w:pStyle w:val="Bibliography"/>
      </w:pPr>
      <w:r>
        <w:t xml:space="preserve">Atkinson, R. C., &amp; Shiffrin, R. M. (1968). Human Memory: A Proposed System and its Control Processes. In (Vol. 2, pp. 89–195). Elsevier. Retrieved from</w:t>
      </w:r>
      <w:r>
        <w:t xml:space="preserve"> </w:t>
      </w:r>
      <w:hyperlink r:id="rId43">
        <w:r>
          <w:rPr>
            <w:rStyle w:val="Hyperlink"/>
          </w:rPr>
          <w:t xml:space="preserve">http://dx.doi.org/10.1016/s0079-7421(08)60422-3</w:t>
        </w:r>
      </w:hyperlink>
    </w:p>
    <w:p>
      <w:pPr>
        <w:pStyle w:val="Bibliography"/>
      </w:pPr>
      <w:r>
        <w:t xml:space="preserve">Attneave, F., &amp; Arnoult, M. D. (1956). The quantitative study of shape and pattern perception.</w:t>
      </w:r>
      <w:r>
        <w:t xml:space="preserve"> </w:t>
      </w:r>
      <w:r>
        <w:rPr>
          <w:i/>
        </w:rPr>
        <w:t xml:space="preserve">Psychological Bulletin</w:t>
      </w:r>
      <w:r>
        <w:t xml:space="preserve">,</w:t>
      </w:r>
      <w:r>
        <w:t xml:space="preserve"> </w:t>
      </w:r>
      <w:r>
        <w:rPr>
          <w:i/>
        </w:rPr>
        <w:t xml:space="preserve">53</w:t>
      </w:r>
      <w:r>
        <w:t xml:space="preserve">(6), 452.</w:t>
      </w:r>
    </w:p>
    <w:p>
      <w:pPr>
        <w:pStyle w:val="Bibliography"/>
      </w:pPr>
      <w:r>
        <w:t xml:space="preserve">Awh, E., &amp; Jonides, J. (2001). Overlapping mechanisms of attention and spatial working memory.</w:t>
      </w:r>
      <w:r>
        <w:t xml:space="preserve"> </w:t>
      </w:r>
      <w:r>
        <w:rPr>
          <w:i/>
        </w:rPr>
        <w:t xml:space="preserve">Trends in Cognitive Sciences</w:t>
      </w:r>
      <w:r>
        <w:t xml:space="preserve">,</w:t>
      </w:r>
      <w:r>
        <w:t xml:space="preserve"> </w:t>
      </w:r>
      <w:r>
        <w:rPr>
          <w:i/>
        </w:rPr>
        <w:t xml:space="preserve">5</w:t>
      </w:r>
      <w:r>
        <w:t xml:space="preserve">(3), 119–126. doi:</w:t>
      </w:r>
      <w:hyperlink r:id="rId44">
        <w:r>
          <w:rPr>
            <w:rStyle w:val="Hyperlink"/>
          </w:rPr>
          <w:t xml:space="preserve">10.1016/S1364-6613(00)01593-X</w:t>
        </w:r>
      </w:hyperlink>
    </w:p>
    <w:p>
      <w:pPr>
        <w:pStyle w:val="Bibliography"/>
      </w:pPr>
      <w:r>
        <w:t xml:space="preserve">Awh, E., Barton, B., &amp; Vogel, E. K. (2007). Visual Working Memory Represents a Fixed Number of Items Regardless of Complexity.</w:t>
      </w:r>
      <w:r>
        <w:t xml:space="preserve"> </w:t>
      </w:r>
      <w:r>
        <w:rPr>
          <w:i/>
        </w:rPr>
        <w:t xml:space="preserve">Psychological Science</w:t>
      </w:r>
      <w:r>
        <w:t xml:space="preserve">,</w:t>
      </w:r>
      <w:r>
        <w:t xml:space="preserve"> </w:t>
      </w:r>
      <w:r>
        <w:rPr>
          <w:i/>
        </w:rPr>
        <w:t xml:space="preserve">18</w:t>
      </w:r>
      <w:r>
        <w:t xml:space="preserve">(7), 622–628. doi:</w:t>
      </w:r>
      <w:hyperlink r:id="rId45">
        <w:r>
          <w:rPr>
            <w:rStyle w:val="Hyperlink"/>
          </w:rPr>
          <w:t xml:space="preserve">10.1111/j.1467-9280.2007.01949.x</w:t>
        </w:r>
      </w:hyperlink>
    </w:p>
    <w:p>
      <w:pPr>
        <w:pStyle w:val="Bibliography"/>
      </w:pPr>
      <w:r>
        <w:t xml:space="preserve">Baddeley, A. D., &amp; Hitch, G. (1974). Working Memory. In G. H. Bower (Ed.),</w:t>
      </w:r>
      <w:r>
        <w:t xml:space="preserve"> </w:t>
      </w:r>
      <w:r>
        <w:rPr>
          <w:i/>
        </w:rPr>
        <w:t xml:space="preserve">Psychology of Learning and Motivation</w:t>
      </w:r>
      <w:r>
        <w:t xml:space="preserve"> </w:t>
      </w:r>
      <w:r>
        <w:t xml:space="preserve">(Vol. 8, pp. 47–89). Academic Press. Retrieved from</w:t>
      </w:r>
      <w:r>
        <w:t xml:space="preserve"> </w:t>
      </w:r>
      <w:hyperlink r:id="rId46">
        <w:r>
          <w:rPr>
            <w:rStyle w:val="Hyperlink"/>
          </w:rPr>
          <w:t xml:space="preserve">http://www.sciencedirect.com/science/article/pii/S0079742108604521</w:t>
        </w:r>
      </w:hyperlink>
    </w:p>
    <w:p>
      <w:pPr>
        <w:pStyle w:val="Bibliography"/>
      </w:pPr>
      <w:r>
        <w:t xml:space="preserve">Brady, T. F., Konkle, T., &amp; Alvarez, G. A. (2009). Compression in Visual Working Memory: Using Statistical Regularities to Form More Efficient Memory Representations.</w:t>
      </w:r>
      <w:r>
        <w:t xml:space="preserve"> </w:t>
      </w:r>
      <w:r>
        <w:rPr>
          <w:i/>
        </w:rPr>
        <w:t xml:space="preserve">Journal of Experimental Psychology: General</w:t>
      </w:r>
      <w:r>
        <w:t xml:space="preserve">,</w:t>
      </w:r>
      <w:r>
        <w:t xml:space="preserve"> </w:t>
      </w:r>
      <w:r>
        <w:rPr>
          <w:i/>
        </w:rPr>
        <w:t xml:space="preserve">138</w:t>
      </w:r>
      <w:r>
        <w:t xml:space="preserve">(4), 487–502. Retrieved from</w:t>
      </w:r>
      <w:r>
        <w:t xml:space="preserve"> </w:t>
      </w:r>
      <w:hyperlink r:id="rId47">
        <w:r>
          <w:rPr>
            <w:rStyle w:val="Hyperlink"/>
          </w:rPr>
          <w:t xml:space="preserve">https://www.researchgate.net/profile/Talia_Konkle/publication/38061305_Compression_in_visual_working_memory_using_statistical_regularities_to_form_more_efficient_memory_representations/links/09e4150c87249c1627000000.pdf</w:t>
        </w:r>
      </w:hyperlink>
    </w:p>
    <w:p>
      <w:pPr>
        <w:pStyle w:val="Bibliography"/>
      </w:pPr>
      <w:r>
        <w:t xml:space="preserve">Carlisle, N. B., Arita, J. T., Pardo, D., &amp; Woodman, G. F. (2011). Attentional Templates in Visual Working Memory.</w:t>
      </w:r>
      <w:r>
        <w:t xml:space="preserve"> </w:t>
      </w:r>
      <w:r>
        <w:rPr>
          <w:i/>
        </w:rPr>
        <w:t xml:space="preserve">Journal of Neuroscience</w:t>
      </w:r>
      <w:r>
        <w:t xml:space="preserve">,</w:t>
      </w:r>
      <w:r>
        <w:t xml:space="preserve"> </w:t>
      </w:r>
      <w:r>
        <w:rPr>
          <w:i/>
        </w:rPr>
        <w:t xml:space="preserve">31</w:t>
      </w:r>
      <w:r>
        <w:t xml:space="preserve">(25), 9315–9322. doi:</w:t>
      </w:r>
      <w:hyperlink r:id="rId48">
        <w:r>
          <w:rPr>
            <w:rStyle w:val="Hyperlink"/>
          </w:rPr>
          <w:t xml:space="preserve">10.1523/JNEUROSCI.1097-11.2011</w:t>
        </w:r>
      </w:hyperlink>
    </w:p>
    <w:p>
      <w:pPr>
        <w:pStyle w:val="Bibliography"/>
      </w:pPr>
      <w:r>
        <w:t xml:space="preserve">Chase, W. G., &amp; Simon, H. A. (1973). Perception in chess.</w:t>
      </w:r>
      <w:r>
        <w:t xml:space="preserve"> </w:t>
      </w:r>
      <w:r>
        <w:rPr>
          <w:i/>
        </w:rPr>
        <w:t xml:space="preserve">Cognitive Psychology</w:t>
      </w:r>
      <w:r>
        <w:t xml:space="preserve">,</w:t>
      </w:r>
      <w:r>
        <w:t xml:space="preserve"> </w:t>
      </w:r>
      <w:r>
        <w:rPr>
          <w:i/>
        </w:rPr>
        <w:t xml:space="preserve">4</w:t>
      </w:r>
      <w:r>
        <w:t xml:space="preserve">(1), 55–81. doi:</w:t>
      </w:r>
      <w:hyperlink r:id="rId49">
        <w:r>
          <w:rPr>
            <w:rStyle w:val="Hyperlink"/>
          </w:rPr>
          <w:t xml:space="preserve">10.1016/0010-0285(73)90004-2</w:t>
        </w:r>
      </w:hyperlink>
    </w:p>
    <w:p>
      <w:pPr>
        <w:pStyle w:val="Bibliography"/>
      </w:pPr>
      <w:r>
        <w:t xml:space="preserve">Conway, A. R. A., Cowan, N., Bunting, M. F., Therriault, D. J., &amp; Minkoff, S. R. B. (2002). A latent variable analysis of working memory capacity, short-term memory capacity, processing speed, and general fluid intelligence.</w:t>
      </w:r>
      <w:r>
        <w:t xml:space="preserve"> </w:t>
      </w:r>
      <w:r>
        <w:rPr>
          <w:i/>
        </w:rPr>
        <w:t xml:space="preserve">Intelligence</w:t>
      </w:r>
      <w:r>
        <w:t xml:space="preserve">,</w:t>
      </w:r>
      <w:r>
        <w:t xml:space="preserve"> </w:t>
      </w:r>
      <w:r>
        <w:rPr>
          <w:i/>
        </w:rPr>
        <w:t xml:space="preserve">30</w:t>
      </w:r>
      <w:r>
        <w:t xml:space="preserve">(2), 163–183. doi:</w:t>
      </w:r>
      <w:hyperlink r:id="rId50">
        <w:r>
          <w:rPr>
            <w:rStyle w:val="Hyperlink"/>
          </w:rPr>
          <w:t xml:space="preserve">10.1016/S0160-2896(01)00096-4</w:t>
        </w:r>
      </w:hyperlink>
    </w:p>
    <w:p>
      <w:pPr>
        <w:pStyle w:val="Bibliography"/>
      </w:pPr>
      <w:r>
        <w:t xml:space="preserve">Cowan, N. (2001). Metatheory of storage capacity limits.</w:t>
      </w:r>
      <w:r>
        <w:t xml:space="preserve"> </w:t>
      </w:r>
      <w:r>
        <w:rPr>
          <w:i/>
        </w:rPr>
        <w:t xml:space="preserve">Behavioral and Brain Sciences; New York</w:t>
      </w:r>
      <w:r>
        <w:t xml:space="preserve">,</w:t>
      </w:r>
      <w:r>
        <w:t xml:space="preserve"> </w:t>
      </w:r>
      <w:r>
        <w:rPr>
          <w:i/>
        </w:rPr>
        <w:t xml:space="preserve">24</w:t>
      </w:r>
      <w:r>
        <w:t xml:space="preserve">(1), 154–176. Retrieved from</w:t>
      </w:r>
      <w:r>
        <w:t xml:space="preserve"> </w:t>
      </w:r>
      <w:hyperlink r:id="rId51">
        <w:r>
          <w:rPr>
            <w:rStyle w:val="Hyperlink"/>
          </w:rPr>
          <w:t xml:space="preserve">https://search-proquest-com.ezproxy1.library.usyd.edu.au/docview/212310135/abstract/FFB98D1D6F504F6CPQ/1</w:t>
        </w:r>
      </w:hyperlink>
    </w:p>
    <w:p>
      <w:pPr>
        <w:pStyle w:val="Bibliography"/>
      </w:pPr>
      <w:r>
        <w:t xml:space="preserve">Cowan, N., Chen, Z., &amp; Rouder, J. N. (2004). Constant Capacity in an Immediate Serial-Recall Task: A Logical Sequel to Miller (1956).</w:t>
      </w:r>
      <w:r>
        <w:t xml:space="preserve"> </w:t>
      </w:r>
      <w:r>
        <w:rPr>
          <w:i/>
        </w:rPr>
        <w:t xml:space="preserve">Psychological Science</w:t>
      </w:r>
      <w:r>
        <w:t xml:space="preserve">,</w:t>
      </w:r>
      <w:r>
        <w:t xml:space="preserve"> </w:t>
      </w:r>
      <w:r>
        <w:rPr>
          <w:i/>
        </w:rPr>
        <w:t xml:space="preserve">15</w:t>
      </w:r>
      <w:r>
        <w:t xml:space="preserve">(9), 634–640. doi:</w:t>
      </w:r>
      <w:hyperlink r:id="rId52">
        <w:r>
          <w:rPr>
            <w:rStyle w:val="Hyperlink"/>
          </w:rPr>
          <w:t xml:space="preserve">10.1111/j.0956-7976.2004.00732.x</w:t>
        </w:r>
      </w:hyperlink>
    </w:p>
    <w:p>
      <w:pPr>
        <w:pStyle w:val="Bibliography"/>
      </w:pPr>
      <w:r>
        <w:t xml:space="preserve">Cowan, N., Elliott, E. M., Scott Saults, J., Morey, C. C., Mattox, S., Hismjatullina, A., &amp; Conway, A. R. A. (2005). On the capacity of attention: Its estimation and its role in working memory and cognitive aptitudes.</w:t>
      </w:r>
      <w:r>
        <w:t xml:space="preserve"> </w:t>
      </w:r>
      <w:r>
        <w:rPr>
          <w:i/>
        </w:rPr>
        <w:t xml:space="preserve">Cognitive Psychology</w:t>
      </w:r>
      <w:r>
        <w:t xml:space="preserve">,</w:t>
      </w:r>
      <w:r>
        <w:t xml:space="preserve"> </w:t>
      </w:r>
      <w:r>
        <w:rPr>
          <w:i/>
        </w:rPr>
        <w:t xml:space="preserve">51</w:t>
      </w:r>
      <w:r>
        <w:t xml:space="preserve">(1), 42–100. doi:</w:t>
      </w:r>
      <w:hyperlink r:id="rId53">
        <w:r>
          <w:rPr>
            <w:rStyle w:val="Hyperlink"/>
          </w:rPr>
          <w:t xml:space="preserve">10.1016/j.cogpsych.2004.12.001</w:t>
        </w:r>
      </w:hyperlink>
    </w:p>
    <w:p>
      <w:pPr>
        <w:pStyle w:val="Bibliography"/>
      </w:pPr>
      <w:r>
        <w:t xml:space="preserve">Eng, H. Y., Chen, D., &amp; Jiang, Y. (2005). Visual working memory for simple and complex visual stimuli.</w:t>
      </w:r>
      <w:r>
        <w:t xml:space="preserve"> </w:t>
      </w:r>
      <w:r>
        <w:rPr>
          <w:i/>
        </w:rPr>
        <w:t xml:space="preserve">Psychonomic Bulletin &amp; Review</w:t>
      </w:r>
      <w:r>
        <w:t xml:space="preserve">,</w:t>
      </w:r>
      <w:r>
        <w:t xml:space="preserve"> </w:t>
      </w:r>
      <w:r>
        <w:rPr>
          <w:i/>
        </w:rPr>
        <w:t xml:space="preserve">12</w:t>
      </w:r>
      <w:r>
        <w:t xml:space="preserve">(6), 1127–1133. doi:</w:t>
      </w:r>
      <w:hyperlink r:id="rId54">
        <w:r>
          <w:rPr>
            <w:rStyle w:val="Hyperlink"/>
          </w:rPr>
          <w:t xml:space="preserve">10.3758/BF03206454</w:t>
        </w:r>
      </w:hyperlink>
    </w:p>
    <w:p>
      <w:pPr>
        <w:pStyle w:val="Bibliography"/>
      </w:pPr>
      <w:r>
        <w:t xml:space="preserve">Fukuda, K., Vogel, E., Mayr, U., &amp; Awh, E. (2010). Quantity, not quality: The relationship between fluid intelligence and working memory capacity.</w:t>
      </w:r>
      <w:r>
        <w:t xml:space="preserve"> </w:t>
      </w:r>
      <w:r>
        <w:rPr>
          <w:i/>
        </w:rPr>
        <w:t xml:space="preserve">Psychonomic Bulletin &amp; Review</w:t>
      </w:r>
      <w:r>
        <w:t xml:space="preserve">,</w:t>
      </w:r>
      <w:r>
        <w:t xml:space="preserve"> </w:t>
      </w:r>
      <w:r>
        <w:rPr>
          <w:i/>
        </w:rPr>
        <w:t xml:space="preserve">17</w:t>
      </w:r>
      <w:r>
        <w:t xml:space="preserve">(5), 673–679. doi:</w:t>
      </w:r>
      <w:hyperlink r:id="rId55">
        <w:r>
          <w:rPr>
            <w:rStyle w:val="Hyperlink"/>
          </w:rPr>
          <w:t xml:space="preserve">10.3758/17.5.673</w:t>
        </w:r>
      </w:hyperlink>
    </w:p>
    <w:p>
      <w:pPr>
        <w:pStyle w:val="Bibliography"/>
      </w:pPr>
      <w:r>
        <w:t xml:space="preserve">Irwin, D. E., &amp; Andrews, R. V. (1996). Integration and accumulation of information across saccadic eye movements.</w:t>
      </w:r>
      <w:r>
        <w:t xml:space="preserve"> </w:t>
      </w:r>
      <w:r>
        <w:rPr>
          <w:i/>
        </w:rPr>
        <w:t xml:space="preserve">Attention and Performance XVI: Information Integration in Perception and Communication</w:t>
      </w:r>
      <w:r>
        <w:t xml:space="preserve">,</w:t>
      </w:r>
      <w:r>
        <w:t xml:space="preserve"> </w:t>
      </w:r>
      <w:r>
        <w:rPr>
          <w:i/>
        </w:rPr>
        <w:t xml:space="preserve">16</w:t>
      </w:r>
      <w:r>
        <w:t xml:space="preserve">, 125–155. Retrieved from</w:t>
      </w:r>
      <w:r>
        <w:t xml:space="preserve"> </w:t>
      </w:r>
      <w:hyperlink r:id="rId56">
        <w:r>
          <w:rPr>
            <w:rStyle w:val="Hyperlink"/>
          </w:rPr>
          <w:t xml:space="preserve">https://books.google.com/books?hl=en&amp;lr=&amp;id=HUcGqC-O8i0C&amp;oi=fnd&amp;pg=PA125&amp;ots=UWQsVUeSfh&amp;sig=R6Df_G3AVOHh__q_XjHHILzVxvA</w:t>
        </w:r>
      </w:hyperlink>
    </w:p>
    <w:p>
      <w:pPr>
        <w:pStyle w:val="Bibliography"/>
      </w:pPr>
      <w:r>
        <w:t xml:space="preserve">Jackson, M. C., &amp; Raymond, J. E. (2008). Familiarity enhances visual working memory for faces.</w:t>
      </w:r>
      <w:r>
        <w:t xml:space="preserve"> </w:t>
      </w:r>
      <w:r>
        <w:rPr>
          <w:i/>
        </w:rPr>
        <w:t xml:space="preserve">Journal of Experimental Psychology: Human Perception and Performance</w:t>
      </w:r>
      <w:r>
        <w:t xml:space="preserve">,</w:t>
      </w:r>
      <w:r>
        <w:t xml:space="preserve"> </w:t>
      </w:r>
      <w:r>
        <w:rPr>
          <w:i/>
        </w:rPr>
        <w:t xml:space="preserve">34</w:t>
      </w:r>
      <w:r>
        <w:t xml:space="preserve">(3), 556.</w:t>
      </w:r>
    </w:p>
    <w:p>
      <w:pPr>
        <w:pStyle w:val="Bibliography"/>
      </w:pPr>
      <w:r>
        <w:t xml:space="preserve">Luck, S. J., &amp; Vogel, E. K. (1997). The capacity of visual working memory for features and conjunctions.</w:t>
      </w:r>
      <w:r>
        <w:t xml:space="preserve"> </w:t>
      </w:r>
      <w:r>
        <w:rPr>
          <w:i/>
        </w:rPr>
        <w:t xml:space="preserve">Nature</w:t>
      </w:r>
      <w:r>
        <w:t xml:space="preserve">,</w:t>
      </w:r>
      <w:r>
        <w:t xml:space="preserve"> </w:t>
      </w:r>
      <w:r>
        <w:rPr>
          <w:i/>
        </w:rPr>
        <w:t xml:space="preserve">390</w:t>
      </w:r>
      <w:r>
        <w:t xml:space="preserve">(6657), 279–281. doi:</w:t>
      </w:r>
      <w:hyperlink r:id="rId57">
        <w:r>
          <w:rPr>
            <w:rStyle w:val="Hyperlink"/>
          </w:rPr>
          <w:t xml:space="preserve">10.1038/36846</w:t>
        </w:r>
      </w:hyperlink>
    </w:p>
    <w:p>
      <w:pPr>
        <w:pStyle w:val="Bibliography"/>
      </w:pPr>
      <w:r>
        <w:t xml:space="preserve">Luck, S. J., &amp; Vogel, E. K. (2013). Visual working memory capacity: From psychophysics and neurobiology to individual differences.</w:t>
      </w:r>
      <w:r>
        <w:t xml:space="preserve"> </w:t>
      </w:r>
      <w:r>
        <w:rPr>
          <w:i/>
        </w:rPr>
        <w:t xml:space="preserve">Trends in Cognitive Sciences</w:t>
      </w:r>
      <w:r>
        <w:t xml:space="preserve">,</w:t>
      </w:r>
      <w:r>
        <w:t xml:space="preserve"> </w:t>
      </w:r>
      <w:r>
        <w:rPr>
          <w:i/>
        </w:rPr>
        <w:t xml:space="preserve">17</w:t>
      </w:r>
      <w:r>
        <w:t xml:space="preserve">(8), 391–400. doi:</w:t>
      </w:r>
      <w:hyperlink r:id="rId58">
        <w:r>
          <w:rPr>
            <w:rStyle w:val="Hyperlink"/>
          </w:rPr>
          <w:t xml:space="preserve">10.1016/j.tics.2013.06.006</w:t>
        </w:r>
      </w:hyperlink>
    </w:p>
    <w:p>
      <w:pPr>
        <w:pStyle w:val="Bibliography"/>
      </w:pPr>
      <w:r>
        <w:t xml:space="preserve">Miller, G. (1956). The Magical Number Seven, Plus or Minus Two: Some Limits on Our Capacity for Processing Information.</w:t>
      </w:r>
      <w:r>
        <w:t xml:space="preserve"> </w:t>
      </w:r>
      <w:r>
        <w:rPr>
          <w:i/>
        </w:rPr>
        <w:t xml:space="preserve">The Psychological Review</w:t>
      </w:r>
      <w:r>
        <w:t xml:space="preserve">. Journal (Paginated). Retrieved from</w:t>
      </w:r>
      <w:r>
        <w:t xml:space="preserve"> </w:t>
      </w:r>
      <w:hyperlink r:id="rId59">
        <w:r>
          <w:rPr>
            <w:rStyle w:val="Hyperlink"/>
          </w:rPr>
          <w:t xml:space="preserve">http://cogprints.org/730/</w:t>
        </w:r>
      </w:hyperlink>
    </w:p>
    <w:p>
      <w:pPr>
        <w:pStyle w:val="Bibliography"/>
      </w:pPr>
      <w:r>
        <w:t xml:space="preserve">Pashler, H. (1988). Familiarity and visual change detection.</w:t>
      </w:r>
      <w:r>
        <w:t xml:space="preserve"> </w:t>
      </w:r>
      <w:r>
        <w:rPr>
          <w:i/>
        </w:rPr>
        <w:t xml:space="preserve">Perception &amp; Psychophysics</w:t>
      </w:r>
      <w:r>
        <w:t xml:space="preserve">,</w:t>
      </w:r>
      <w:r>
        <w:t xml:space="preserve"> </w:t>
      </w:r>
      <w:r>
        <w:rPr>
          <w:i/>
        </w:rPr>
        <w:t xml:space="preserve">44</w:t>
      </w:r>
      <w:r>
        <w:t xml:space="preserve">(4), 369–378. doi:</w:t>
      </w:r>
      <w:hyperlink r:id="rId60">
        <w:r>
          <w:rPr>
            <w:rStyle w:val="Hyperlink"/>
          </w:rPr>
          <w:t xml:space="preserve">10.3758/BF03210419</w:t>
        </w:r>
      </w:hyperlink>
    </w:p>
    <w:p>
      <w:pPr>
        <w:pStyle w:val="Bibliography"/>
      </w:pPr>
      <w:r>
        <w:t xml:space="preserve">Pelli, D. G., Burns, C. W., Farell, B., &amp; Moore-Page, D. C. (2006). Feature detection and letter identification.</w:t>
      </w:r>
      <w:r>
        <w:t xml:space="preserve"> </w:t>
      </w:r>
      <w:r>
        <w:rPr>
          <w:i/>
        </w:rPr>
        <w:t xml:space="preserve">Vision Research</w:t>
      </w:r>
      <w:r>
        <w:t xml:space="preserve">,</w:t>
      </w:r>
      <w:r>
        <w:t xml:space="preserve"> </w:t>
      </w:r>
      <w:r>
        <w:rPr>
          <w:i/>
        </w:rPr>
        <w:t xml:space="preserve">46</w:t>
      </w:r>
      <w:r>
        <w:t xml:space="preserve">(28), 4646–4674.</w:t>
      </w:r>
    </w:p>
    <w:p>
      <w:pPr>
        <w:pStyle w:val="Bibliography"/>
      </w:pPr>
      <w:r>
        <w:t xml:space="preserve">Unsworth, N., Fukuda, K., Awh, E., &amp; Vogel, E. K. (2014). Working memory and fluid intelligence: Capacity, attention control, and secondary memory retrieval.</w:t>
      </w:r>
      <w:r>
        <w:t xml:space="preserve"> </w:t>
      </w:r>
      <w:r>
        <w:rPr>
          <w:i/>
        </w:rPr>
        <w:t xml:space="preserve">Cognitive Psychology</w:t>
      </w:r>
      <w:r>
        <w:t xml:space="preserve">,</w:t>
      </w:r>
      <w:r>
        <w:t xml:space="preserve"> </w:t>
      </w:r>
      <w:r>
        <w:rPr>
          <w:i/>
        </w:rPr>
        <w:t xml:space="preserve">71</w:t>
      </w:r>
      <w:r>
        <w:t xml:space="preserve">, 1–26. doi:</w:t>
      </w:r>
      <w:hyperlink r:id="rId61">
        <w:r>
          <w:rPr>
            <w:rStyle w:val="Hyperlink"/>
          </w:rPr>
          <w:t xml:space="preserve">10.1016/j.cogpsych.2014.01.003</w:t>
        </w:r>
      </w:hyperlink>
    </w:p>
    <w:p>
      <w:pPr>
        <w:pStyle w:val="Bibliography"/>
      </w:pPr>
      <w:r>
        <w:t xml:space="preserve">Vidal, C., Content, A., &amp; Chetail, F. (2017). BACS: The Brussels Artificial Character Sets for studies in cognitive psychology and neuroscience.</w:t>
      </w:r>
      <w:r>
        <w:t xml:space="preserve"> </w:t>
      </w:r>
      <w:r>
        <w:rPr>
          <w:i/>
        </w:rPr>
        <w:t xml:space="preserve">Behavior Research Methods</w:t>
      </w:r>
      <w:r>
        <w:t xml:space="preserve">. doi:</w:t>
      </w:r>
      <w:hyperlink r:id="rId62">
        <w:r>
          <w:rPr>
            <w:rStyle w:val="Hyperlink"/>
          </w:rPr>
          <w:t xml:space="preserve">10.3758/s13428-016-0844-8</w:t>
        </w:r>
      </w:hyperlink>
    </w:p>
    <w:p>
      <w:pPr>
        <w:pStyle w:val="Bibliography"/>
      </w:pPr>
      <w:r>
        <w:t xml:space="preserve">Vogel, E. K., Woodman, G. F., &amp; Luck, S. J. (2006). The time course of consolidation in visual working memory.</w:t>
      </w:r>
      <w:r>
        <w:t xml:space="preserve"> </w:t>
      </w:r>
      <w:r>
        <w:rPr>
          <w:i/>
        </w:rPr>
        <w:t xml:space="preserve">Journal of Experimental Psychology. Human Perception and Performance</w:t>
      </w:r>
      <w:r>
        <w:t xml:space="preserve">,</w:t>
      </w:r>
      <w:r>
        <w:t xml:space="preserve"> </w:t>
      </w:r>
      <w:r>
        <w:rPr>
          <w:i/>
        </w:rPr>
        <w:t xml:space="preserve">32</w:t>
      </w:r>
      <w:r>
        <w:t xml:space="preserve">(6), 1436–1451. doi:</w:t>
      </w:r>
      <w:hyperlink r:id="rId63">
        <w:r>
          <w:rPr>
            <w:rStyle w:val="Hyperlink"/>
          </w:rPr>
          <w:t xml:space="preserve">10.1037/0096-1523.32.6.1436</w:t>
        </w:r>
      </w:hyperlink>
    </w:p>
    <w:p>
      <w:pPr>
        <w:pStyle w:val="Bibliography"/>
      </w:pPr>
      <w:r>
        <w:t xml:space="preserve">Xie, W., &amp; Zhang, W. (2016). Familiarity increases the number of remembered Pokémon in visual short-term memory.</w:t>
      </w:r>
      <w:r>
        <w:t xml:space="preserve"> </w:t>
      </w:r>
      <w:r>
        <w:rPr>
          <w:i/>
        </w:rPr>
        <w:t xml:space="preserve">Memory &amp; Cognition</w:t>
      </w:r>
      <w:r>
        <w:t xml:space="preserve">, 1–13. doi:</w:t>
      </w:r>
      <w:hyperlink r:id="rId64">
        <w:r>
          <w:rPr>
            <w:rStyle w:val="Hyperlink"/>
          </w:rPr>
          <w:t xml:space="preserve">10.3758/s13421-016-0679-7</w:t>
        </w:r>
      </w:hyperlink>
    </w:p>
    <w:p>
      <w:pPr>
        <w:pStyle w:val="Bibliography"/>
      </w:pPr>
      <w:r>
        <w:t xml:space="preserve">Xie, W., &amp; Zhang, W. (2017). Familiarity Speeds Up Visual Short-term Memory Consolidation: Electrophysiological Evidence from Contralateral Delay Activities.</w:t>
      </w:r>
      <w:r>
        <w:t xml:space="preserve"> </w:t>
      </w:r>
      <w:r>
        <w:rPr>
          <w:i/>
        </w:rPr>
        <w:t xml:space="preserve">Journal of Cognitive Neuroscience</w:t>
      </w:r>
      <w:r>
        <w:t xml:space="preserve">, 1–13. doi:</w:t>
      </w:r>
      <w:hyperlink r:id="rId65">
        <w:r>
          <w:rPr>
            <w:rStyle w:val="Hyperlink"/>
          </w:rPr>
          <w:t xml:space="preserve">10.1162/jocn_a_01188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8505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jp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jpg" /><Relationship Type="http://schemas.openxmlformats.org/officeDocument/2006/relationships/image" Id="rId26" Target="media/rId26.jpg" /><Relationship Type="http://schemas.openxmlformats.org/officeDocument/2006/relationships/hyperlink" Id="rId59" Target="http://cogprints.org/730/" TargetMode="External" /><Relationship Type="http://schemas.openxmlformats.org/officeDocument/2006/relationships/hyperlink" Id="rId43" Target="http://dx.doi.org/10.1016/s0079-7421(08)60422-3" TargetMode="External" /><Relationship Type="http://schemas.openxmlformats.org/officeDocument/2006/relationships/hyperlink" Id="rId42" Target="http://visionlab.harvard.edu/Members/Patrick/PDF.files/2005%20pdfs/Alvarez%26Cavanagh(2004).pdf" TargetMode="External" /><Relationship Type="http://schemas.openxmlformats.org/officeDocument/2006/relationships/hyperlink" Id="rId46" Target="http://www.sciencedirect.com/science/article/pii/S0079742108604521" TargetMode="External" /><Relationship Type="http://schemas.openxmlformats.org/officeDocument/2006/relationships/hyperlink" Id="rId56" Target="https://books.google.com/books?hl=en&amp;lr=&amp;id=HUcGqC-O8i0C&amp;oi=fnd&amp;pg=PA125&amp;ots=UWQsVUeSfh&amp;sig=R6Df_G3AVOHh__q_XjHHILzVxvA" TargetMode="External" /><Relationship Type="http://schemas.openxmlformats.org/officeDocument/2006/relationships/hyperlink" Id="rId49" Target="https://doi.org/10.1016/0010-0285(73)90004-2" TargetMode="External" /><Relationship Type="http://schemas.openxmlformats.org/officeDocument/2006/relationships/hyperlink" Id="rId50" Target="https://doi.org/10.1016/S0160-2896(01)00096-4" TargetMode="External" /><Relationship Type="http://schemas.openxmlformats.org/officeDocument/2006/relationships/hyperlink" Id="rId44" Target="https://doi.org/10.1016/S1364-6613(00)01593-X" TargetMode="External" /><Relationship Type="http://schemas.openxmlformats.org/officeDocument/2006/relationships/hyperlink" Id="rId53" Target="https://doi.org/10.1016/j.cogpsych.2004.12.001" TargetMode="External" /><Relationship Type="http://schemas.openxmlformats.org/officeDocument/2006/relationships/hyperlink" Id="rId61" Target="https://doi.org/10.1016/j.cogpsych.2014.01.003" TargetMode="External" /><Relationship Type="http://schemas.openxmlformats.org/officeDocument/2006/relationships/hyperlink" Id="rId58" Target="https://doi.org/10.1016/j.tics.2013.06.006" TargetMode="External" /><Relationship Type="http://schemas.openxmlformats.org/officeDocument/2006/relationships/hyperlink" Id="rId63" Target="https://doi.org/10.1037/0096-1523.32.6.1436" TargetMode="External" /><Relationship Type="http://schemas.openxmlformats.org/officeDocument/2006/relationships/hyperlink" Id="rId57" Target="https://doi.org/10.1038/36846" TargetMode="External" /><Relationship Type="http://schemas.openxmlformats.org/officeDocument/2006/relationships/hyperlink" Id="rId52" Target="https://doi.org/10.1111/j.0956-7976.2004.00732.x" TargetMode="External" /><Relationship Type="http://schemas.openxmlformats.org/officeDocument/2006/relationships/hyperlink" Id="rId45" Target="https://doi.org/10.1111/j.1467-9280.2007.01949.x" TargetMode="External" /><Relationship Type="http://schemas.openxmlformats.org/officeDocument/2006/relationships/hyperlink" Id="rId65" Target="https://doi.org/10.1162/jocn_a_01188" TargetMode="External" /><Relationship Type="http://schemas.openxmlformats.org/officeDocument/2006/relationships/hyperlink" Id="rId48" Target="https://doi.org/10.1523/JNEUROSCI.1097-11.2011" TargetMode="External" /><Relationship Type="http://schemas.openxmlformats.org/officeDocument/2006/relationships/hyperlink" Id="rId55" Target="https://doi.org/10.3758/17.5.673" TargetMode="External" /><Relationship Type="http://schemas.openxmlformats.org/officeDocument/2006/relationships/hyperlink" Id="rId54" Target="https://doi.org/10.3758/BF03206454" TargetMode="External" /><Relationship Type="http://schemas.openxmlformats.org/officeDocument/2006/relationships/hyperlink" Id="rId60" Target="https://doi.org/10.3758/BF03210419" TargetMode="External" /><Relationship Type="http://schemas.openxmlformats.org/officeDocument/2006/relationships/hyperlink" Id="rId64" Target="https://doi.org/10.3758/s13421-016-0679-7" TargetMode="External" /><Relationship Type="http://schemas.openxmlformats.org/officeDocument/2006/relationships/hyperlink" Id="rId62" Target="https://doi.org/10.3758/s13428-016-0844-8" TargetMode="External" /><Relationship Type="http://schemas.openxmlformats.org/officeDocument/2006/relationships/hyperlink" Id="rId51" Target="https://search-proquest-com.ezproxy1.library.usyd.edu.au/docview/212310135/abstract/FFB98D1D6F504F6CPQ/1" TargetMode="External" /><Relationship Type="http://schemas.openxmlformats.org/officeDocument/2006/relationships/hyperlink" Id="rId47" Target="https://www.researchgate.net/profile/Talia_Konkle/publication/38061305_Compression_in_visual_working_memory_using_statistical_regularities_to_form_more_efficient_memory_representations/links/09e4150c87249c1627000000.pdf" TargetMode="External" /></Relationships>
</file>

<file path=word/_rels/footnotes.xml.rels><?xml version="1.0" encoding="UTF-8"?>
<Relationships xmlns="http://schemas.openxmlformats.org/package/2006/relationships"><Relationship Type="http://schemas.openxmlformats.org/officeDocument/2006/relationships/hyperlink" Id="rId59" Target="http://cogprints.org/730/" TargetMode="External" /><Relationship Type="http://schemas.openxmlformats.org/officeDocument/2006/relationships/hyperlink" Id="rId43" Target="http://dx.doi.org/10.1016/s0079-7421(08)60422-3" TargetMode="External" /><Relationship Type="http://schemas.openxmlformats.org/officeDocument/2006/relationships/hyperlink" Id="rId42" Target="http://visionlab.harvard.edu/Members/Patrick/PDF.files/2005%20pdfs/Alvarez%26Cavanagh(2004).pdf" TargetMode="External" /><Relationship Type="http://schemas.openxmlformats.org/officeDocument/2006/relationships/hyperlink" Id="rId46" Target="http://www.sciencedirect.com/science/article/pii/S0079742108604521" TargetMode="External" /><Relationship Type="http://schemas.openxmlformats.org/officeDocument/2006/relationships/hyperlink" Id="rId56" Target="https://books.google.com/books?hl=en&amp;lr=&amp;id=HUcGqC-O8i0C&amp;oi=fnd&amp;pg=PA125&amp;ots=UWQsVUeSfh&amp;sig=R6Df_G3AVOHh__q_XjHHILzVxvA" TargetMode="External" /><Relationship Type="http://schemas.openxmlformats.org/officeDocument/2006/relationships/hyperlink" Id="rId49" Target="https://doi.org/10.1016/0010-0285(73)90004-2" TargetMode="External" /><Relationship Type="http://schemas.openxmlformats.org/officeDocument/2006/relationships/hyperlink" Id="rId50" Target="https://doi.org/10.1016/S0160-2896(01)00096-4" TargetMode="External" /><Relationship Type="http://schemas.openxmlformats.org/officeDocument/2006/relationships/hyperlink" Id="rId44" Target="https://doi.org/10.1016/S1364-6613(00)01593-X" TargetMode="External" /><Relationship Type="http://schemas.openxmlformats.org/officeDocument/2006/relationships/hyperlink" Id="rId53" Target="https://doi.org/10.1016/j.cogpsych.2004.12.001" TargetMode="External" /><Relationship Type="http://schemas.openxmlformats.org/officeDocument/2006/relationships/hyperlink" Id="rId61" Target="https://doi.org/10.1016/j.cogpsych.2014.01.003" TargetMode="External" /><Relationship Type="http://schemas.openxmlformats.org/officeDocument/2006/relationships/hyperlink" Id="rId58" Target="https://doi.org/10.1016/j.tics.2013.06.006" TargetMode="External" /><Relationship Type="http://schemas.openxmlformats.org/officeDocument/2006/relationships/hyperlink" Id="rId63" Target="https://doi.org/10.1037/0096-1523.32.6.1436" TargetMode="External" /><Relationship Type="http://schemas.openxmlformats.org/officeDocument/2006/relationships/hyperlink" Id="rId57" Target="https://doi.org/10.1038/36846" TargetMode="External" /><Relationship Type="http://schemas.openxmlformats.org/officeDocument/2006/relationships/hyperlink" Id="rId52" Target="https://doi.org/10.1111/j.0956-7976.2004.00732.x" TargetMode="External" /><Relationship Type="http://schemas.openxmlformats.org/officeDocument/2006/relationships/hyperlink" Id="rId45" Target="https://doi.org/10.1111/j.1467-9280.2007.01949.x" TargetMode="External" /><Relationship Type="http://schemas.openxmlformats.org/officeDocument/2006/relationships/hyperlink" Id="rId65" Target="https://doi.org/10.1162/jocn_a_01188" TargetMode="External" /><Relationship Type="http://schemas.openxmlformats.org/officeDocument/2006/relationships/hyperlink" Id="rId48" Target="https://doi.org/10.1523/JNEUROSCI.1097-11.2011" TargetMode="External" /><Relationship Type="http://schemas.openxmlformats.org/officeDocument/2006/relationships/hyperlink" Id="rId55" Target="https://doi.org/10.3758/17.5.673" TargetMode="External" /><Relationship Type="http://schemas.openxmlformats.org/officeDocument/2006/relationships/hyperlink" Id="rId54" Target="https://doi.org/10.3758/BF03206454" TargetMode="External" /><Relationship Type="http://schemas.openxmlformats.org/officeDocument/2006/relationships/hyperlink" Id="rId60" Target="https://doi.org/10.3758/BF03210419" TargetMode="External" /><Relationship Type="http://schemas.openxmlformats.org/officeDocument/2006/relationships/hyperlink" Id="rId64" Target="https://doi.org/10.3758/s13421-016-0679-7" TargetMode="External" /><Relationship Type="http://schemas.openxmlformats.org/officeDocument/2006/relationships/hyperlink" Id="rId62" Target="https://doi.org/10.3758/s13428-016-0844-8" TargetMode="External" /><Relationship Type="http://schemas.openxmlformats.org/officeDocument/2006/relationships/hyperlink" Id="rId51" Target="https://search-proquest-com.ezproxy1.library.usyd.edu.au/docview/212310135/abstract/FFB98D1D6F504F6CPQ/1" TargetMode="External" /><Relationship Type="http://schemas.openxmlformats.org/officeDocument/2006/relationships/hyperlink" Id="rId47" Target="https://www.researchgate.net/profile/Talia_Konkle/publication/38061305_Compression_in_visual_working_memory_using_statistical_regularities_to_form_more_efficient_memory_representations/links/09e4150c87249c1627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influence of learning in visual working memory</dc:title>
  <dc:creator>William Xiang Quan Ngiam</dc:creator>
  <dcterms:created xsi:type="dcterms:W3CDTF">2018-05-01T06:09:04Z</dcterms:created>
  <dcterms:modified xsi:type="dcterms:W3CDTF">2018-05-01T06:09:04Z</dcterms:modified>
</cp:coreProperties>
</file>