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4127500" cy="222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5f2c738396f4c6e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4a734c30965b499a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DarkList-Accent4"/>
      <w:tblLook w:val="04A0"/>
      <w:tblW w:type="pct" w:w="5000"/>
    </w:tblPr>
    <w:tblGrid>
      <w:gridCol w:w="4320"/>
      <w:gridCol w:w="4320"/>
    </w:tblGrid>
    <w:tr>
      <w:tc>
        <w:tcPr>
          <w:tcW w:w="4320" w:type="dxa"/>
        </w:tcPr>
        <w:p>
          <w:pPr/>
          <w:r>
            <w:t>xceed.com</w:t>
          </w:r>
        </w:p>
      </w:tc>
      <w:tc>
        <w:tcPr>
          <w:tcW w:w="4320" w:type="dxa"/>
        </w:tcPr>
        <w:p>
          <w:pPr/>
          <w:r>
            <w:t>@copyright 2024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9438dc70-236f-44ed-8704-7add70dff0b3.jpg" Id="R25f2c738396f4c6e" /><Relationship Type="http://schemas.openxmlformats.org/officeDocument/2006/relationships/hyperlink" Target="https://en.wikipedia.org/wiki/New_Year" TargetMode="External" Id="R4a734c30965b499a" /></Relationships>
</file>

<file path=word/_rels/footer2.xml.rels><?xml version="1.0" encoding="utf-8" standalone="yes"?>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