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4127500" cy="222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233f54bbf984313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78bd798db3ab4ed2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DarkList-Accent4"/>
      <w:tblLook w:val="04A0"/>
      <w:tblW w:type="pct" w:w="5000"/>
    </w:tblPr>
    <w:tblGrid>
      <w:gridCol w:w="4320"/>
      <w:gridCol w:w="4320"/>
    </w:tblGrid>
    <w:tr>
      <w:tc>
        <w:tcPr>
          <w:tcW w:w="4320" w:type="dxa"/>
        </w:tcPr>
        <w:p>
          <w:pPr/>
          <w:r>
            <w:t>xceed.com</w:t>
          </w:r>
        </w:p>
      </w:tc>
      <w:tc>
        <w:tcPr>
          <w:tcW w:w="4320" w:type="dxa"/>
        </w:tcPr>
        <w:p>
          <w:pPr/>
          <w:r>
            <w:t>@copyright 2025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8e39350b-79c0-4792-a030-09c01362432a.jpg" Id="Rb233f54bbf984313" /><Relationship Type="http://schemas.openxmlformats.org/officeDocument/2006/relationships/hyperlink" Target="https://en.wikipedia.org/wiki/New_Year" TargetMode="External" Id="R78bd798db3ab4ed2" /></Relationships>
</file>

<file path=word/_rels/footer2.xml.rels><?xml version="1.0" encoding="utf-8" standalone="yes"?>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