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6A20" w14:textId="2DB0B47B" w:rsidR="009A1DD2" w:rsidRDefault="00F20251">
      <w:pPr>
        <w:pStyle w:val="Title"/>
      </w:pPr>
      <w:r>
        <w:t>Facial Paralysis</w:t>
      </w:r>
      <w:r w:rsidR="00D95476">
        <w:t xml:space="preserve"> </w:t>
      </w:r>
      <w:r>
        <w:t>Technical Report</w:t>
      </w:r>
    </w:p>
    <w:p w14:paraId="7CB36A22" w14:textId="77777777" w:rsidR="009A1DD2" w:rsidRDefault="00F20251">
      <w:pPr>
        <w:pStyle w:val="Heading1"/>
      </w:pPr>
      <w:r>
        <w:t>1. Data Preprocessing</w:t>
      </w:r>
    </w:p>
    <w:p w14:paraId="7CB36A23" w14:textId="77777777" w:rsidR="009A1DD2" w:rsidRDefault="00F20251">
      <w:pPr>
        <w:pStyle w:val="Heading2"/>
      </w:pPr>
      <w:r>
        <w:t>1.1 Input Data</w:t>
      </w:r>
    </w:p>
    <w:p w14:paraId="7CB36A24" w14:textId="4F133FCC" w:rsidR="009A1DD2" w:rsidRDefault="00F20251">
      <w:pPr>
        <w:spacing w:after="120"/>
      </w:pPr>
      <w:r>
        <w:t xml:space="preserve">Each session is a single iPhone video recorded with the </w:t>
      </w:r>
      <w:proofErr w:type="spellStart"/>
      <w:r>
        <w:t>LiveLinkFace</w:t>
      </w:r>
      <w:proofErr w:type="spellEnd"/>
      <w:r>
        <w:t xml:space="preserve"> application. The video is captured in portrait at 720 × 1280, at 60 frames per second. Recordings are short by design</w:t>
      </w:r>
      <w:r w:rsidR="00CE145D">
        <w:t xml:space="preserve"> (ideally 45s, but the current videos are around 3-4 mins)</w:t>
      </w:r>
      <w:r>
        <w:t xml:space="preserve">. </w:t>
      </w:r>
    </w:p>
    <w:p w14:paraId="7CB36A26" w14:textId="77777777" w:rsidR="009A1DD2" w:rsidRDefault="00F20251">
      <w:pPr>
        <w:pStyle w:val="Heading2"/>
      </w:pPr>
      <w:r>
        <w:t>1.2 Landmark Extraction</w:t>
      </w:r>
    </w:p>
    <w:p w14:paraId="7CB36A27" w14:textId="19A8AFA3" w:rsidR="009A1DD2" w:rsidRDefault="00F20251">
      <w:pPr>
        <w:spacing w:after="120"/>
      </w:pPr>
      <w:r>
        <w:t xml:space="preserve">Each frame is processed by Google </w:t>
      </w:r>
      <w:proofErr w:type="spellStart"/>
      <w:r>
        <w:t>MediaPipe</w:t>
      </w:r>
      <w:proofErr w:type="spellEnd"/>
      <w:r>
        <w:t xml:space="preserve"> </w:t>
      </w:r>
      <w:proofErr w:type="spellStart"/>
      <w:r>
        <w:t>FaceLandmarker</w:t>
      </w:r>
      <w:proofErr w:type="spellEnd"/>
      <w:r>
        <w:t xml:space="preserve"> in video mode, under a single-face assumption. The model returns three per-frame outputs. The first is a set of 478 three-dimensional facial landmarks, of which 468 lie on the face mesh and 10 trace the iris boundaries. The second is a vector of 52 ARKit-compatible </w:t>
      </w:r>
      <w:proofErr w:type="spellStart"/>
      <w:r>
        <w:t>blendshape</w:t>
      </w:r>
      <w:proofErr w:type="spellEnd"/>
      <w:r>
        <w:t xml:space="preserve"> coefficients in [0, 1], encoding higher-level expressions. The third is a 4 × 4 rigid transformation matrix that describes the six-degree-of-freedom head pose. Downstream modeling reads from these three streams</w:t>
      </w:r>
      <w:r w:rsidR="00630274">
        <w:t>.</w:t>
      </w:r>
    </w:p>
    <w:p w14:paraId="7CB36A28" w14:textId="77777777" w:rsidR="009A1DD2" w:rsidRDefault="00F20251">
      <w:pPr>
        <w:pStyle w:val="Heading2"/>
      </w:pPr>
      <w:r>
        <w:t>1.3 Per-Take Outputs</w:t>
      </w:r>
    </w:p>
    <w:p w14:paraId="7CB36A29" w14:textId="77777777" w:rsidR="009A1DD2" w:rsidRDefault="00F20251">
      <w:pPr>
        <w:spacing w:after="120"/>
      </w:pPr>
      <w:r>
        <w:t>For each video the pipeline writes the artifacts below, together with an annotated preview video and a top-level batch manifest.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522"/>
        <w:gridCol w:w="2323"/>
        <w:gridCol w:w="4179"/>
      </w:tblGrid>
      <w:tr w:rsidR="009A1DD2" w14:paraId="7CB36A2D" w14:textId="77777777" w:rsidTr="001A7FD2">
        <w:trPr>
          <w:tblHeader/>
        </w:trPr>
        <w:tc>
          <w:tcPr>
            <w:tcW w:w="2600" w:type="dxa"/>
            <w:tcBorders>
              <w:top w:val="single" w:sz="1" w:space="0" w:color="B0B0B0"/>
              <w:left w:val="single" w:sz="1" w:space="0" w:color="B0B0B0"/>
              <w:bottom w:val="single" w:sz="1" w:space="0" w:color="B0B0B0"/>
              <w:right w:val="single" w:sz="1" w:space="0" w:color="B0B0B0"/>
            </w:tcBorders>
            <w:vAlign w:val="center"/>
          </w:tcPr>
          <w:p w14:paraId="7CB36A2A" w14:textId="77777777" w:rsidR="009A1DD2" w:rsidRDefault="00F20251">
            <w:r>
              <w:rPr>
                <w:b/>
                <w:bCs/>
                <w:sz w:val="20"/>
                <w:szCs w:val="20"/>
              </w:rPr>
              <w:t>Artifact</w:t>
            </w:r>
          </w:p>
        </w:tc>
        <w:tc>
          <w:tcPr>
            <w:tcW w:w="2400" w:type="dxa"/>
            <w:tcBorders>
              <w:top w:val="single" w:sz="1" w:space="0" w:color="B0B0B0"/>
              <w:left w:val="single" w:sz="1" w:space="0" w:color="B0B0B0"/>
              <w:bottom w:val="single" w:sz="1" w:space="0" w:color="B0B0B0"/>
              <w:right w:val="single" w:sz="1" w:space="0" w:color="B0B0B0"/>
            </w:tcBorders>
            <w:vAlign w:val="center"/>
          </w:tcPr>
          <w:p w14:paraId="7CB36A2B" w14:textId="77777777" w:rsidR="009A1DD2" w:rsidRDefault="00F20251">
            <w:r>
              <w:rPr>
                <w:b/>
                <w:bCs/>
                <w:sz w:val="20"/>
                <w:szCs w:val="20"/>
              </w:rPr>
              <w:t>Shape</w:t>
            </w:r>
          </w:p>
        </w:tc>
        <w:tc>
          <w:tcPr>
            <w:tcW w:w="4360" w:type="dxa"/>
            <w:tcBorders>
              <w:top w:val="single" w:sz="1" w:space="0" w:color="B0B0B0"/>
              <w:left w:val="single" w:sz="1" w:space="0" w:color="B0B0B0"/>
              <w:bottom w:val="single" w:sz="1" w:space="0" w:color="B0B0B0"/>
              <w:right w:val="single" w:sz="1" w:space="0" w:color="B0B0B0"/>
            </w:tcBorders>
            <w:vAlign w:val="center"/>
          </w:tcPr>
          <w:p w14:paraId="7CB36A2C" w14:textId="77777777" w:rsidR="009A1DD2" w:rsidRDefault="00F20251">
            <w:r>
              <w:rPr>
                <w:b/>
                <w:bCs/>
                <w:sz w:val="20"/>
                <w:szCs w:val="20"/>
              </w:rPr>
              <w:t>Description</w:t>
            </w:r>
          </w:p>
        </w:tc>
      </w:tr>
      <w:tr w:rsidR="009A1DD2" w14:paraId="7CB36A31" w14:textId="77777777">
        <w:tc>
          <w:tcPr>
            <w:tcW w:w="2600" w:type="dxa"/>
            <w:tcBorders>
              <w:top w:val="single" w:sz="1" w:space="0" w:color="B0B0B0"/>
              <w:left w:val="single" w:sz="1" w:space="0" w:color="B0B0B0"/>
              <w:bottom w:val="single" w:sz="1" w:space="0" w:color="B0B0B0"/>
              <w:right w:val="single" w:sz="1" w:space="0" w:color="B0B0B0"/>
            </w:tcBorders>
          </w:tcPr>
          <w:p w14:paraId="7CB36A2E" w14:textId="77777777" w:rsidR="009A1DD2" w:rsidRDefault="00F20251">
            <w:r>
              <w:rPr>
                <w:sz w:val="20"/>
                <w:szCs w:val="20"/>
              </w:rPr>
              <w:t>Landmark coordinates</w:t>
            </w:r>
          </w:p>
        </w:tc>
        <w:tc>
          <w:tcPr>
            <w:tcW w:w="2400" w:type="dxa"/>
            <w:tcBorders>
              <w:top w:val="single" w:sz="1" w:space="0" w:color="B0B0B0"/>
              <w:left w:val="single" w:sz="1" w:space="0" w:color="B0B0B0"/>
              <w:bottom w:val="single" w:sz="1" w:space="0" w:color="B0B0B0"/>
              <w:right w:val="single" w:sz="1" w:space="0" w:color="B0B0B0"/>
            </w:tcBorders>
          </w:tcPr>
          <w:p w14:paraId="7CB36A2F" w14:textId="77777777" w:rsidR="009A1DD2" w:rsidRDefault="00F20251">
            <w:proofErr w:type="spellStart"/>
            <w:r>
              <w:rPr>
                <w:sz w:val="20"/>
                <w:szCs w:val="20"/>
              </w:rPr>
              <w:t>n_frames</w:t>
            </w:r>
            <w:proofErr w:type="spellEnd"/>
            <w:r>
              <w:rPr>
                <w:sz w:val="20"/>
                <w:szCs w:val="20"/>
              </w:rPr>
              <w:t xml:space="preserve"> × 478 × 3</w:t>
            </w:r>
          </w:p>
        </w:tc>
        <w:tc>
          <w:tcPr>
            <w:tcW w:w="4360" w:type="dxa"/>
            <w:tcBorders>
              <w:top w:val="single" w:sz="1" w:space="0" w:color="B0B0B0"/>
              <w:left w:val="single" w:sz="1" w:space="0" w:color="B0B0B0"/>
              <w:bottom w:val="single" w:sz="1" w:space="0" w:color="B0B0B0"/>
              <w:right w:val="single" w:sz="1" w:space="0" w:color="B0B0B0"/>
            </w:tcBorders>
          </w:tcPr>
          <w:p w14:paraId="7CB36A30" w14:textId="77777777" w:rsidR="009A1DD2" w:rsidRDefault="00F20251">
            <w:r>
              <w:rPr>
                <w:sz w:val="20"/>
                <w:szCs w:val="20"/>
              </w:rPr>
              <w:t>Image-plane x, y in [0, 1] and a relative depth per landmark</w:t>
            </w:r>
          </w:p>
        </w:tc>
      </w:tr>
      <w:tr w:rsidR="009A1DD2" w14:paraId="7CB36A35" w14:textId="77777777">
        <w:tc>
          <w:tcPr>
            <w:tcW w:w="2600" w:type="dxa"/>
            <w:tcBorders>
              <w:top w:val="single" w:sz="1" w:space="0" w:color="B0B0B0"/>
              <w:left w:val="single" w:sz="1" w:space="0" w:color="B0B0B0"/>
              <w:bottom w:val="single" w:sz="1" w:space="0" w:color="B0B0B0"/>
              <w:right w:val="single" w:sz="1" w:space="0" w:color="B0B0B0"/>
            </w:tcBorders>
          </w:tcPr>
          <w:p w14:paraId="7CB36A32" w14:textId="77777777" w:rsidR="009A1DD2" w:rsidRDefault="00F20251">
            <w:proofErr w:type="spellStart"/>
            <w:r>
              <w:rPr>
                <w:sz w:val="20"/>
                <w:szCs w:val="20"/>
              </w:rPr>
              <w:t>Blendshape</w:t>
            </w:r>
            <w:proofErr w:type="spellEnd"/>
            <w:r>
              <w:rPr>
                <w:sz w:val="20"/>
                <w:szCs w:val="20"/>
              </w:rPr>
              <w:t xml:space="preserve"> coefficients</w:t>
            </w:r>
          </w:p>
        </w:tc>
        <w:tc>
          <w:tcPr>
            <w:tcW w:w="2400" w:type="dxa"/>
            <w:tcBorders>
              <w:top w:val="single" w:sz="1" w:space="0" w:color="B0B0B0"/>
              <w:left w:val="single" w:sz="1" w:space="0" w:color="B0B0B0"/>
              <w:bottom w:val="single" w:sz="1" w:space="0" w:color="B0B0B0"/>
              <w:right w:val="single" w:sz="1" w:space="0" w:color="B0B0B0"/>
            </w:tcBorders>
          </w:tcPr>
          <w:p w14:paraId="7CB36A33" w14:textId="77777777" w:rsidR="009A1DD2" w:rsidRDefault="00F20251">
            <w:proofErr w:type="spellStart"/>
            <w:r>
              <w:rPr>
                <w:sz w:val="20"/>
                <w:szCs w:val="20"/>
              </w:rPr>
              <w:t>n_frames</w:t>
            </w:r>
            <w:proofErr w:type="spellEnd"/>
            <w:r>
              <w:rPr>
                <w:sz w:val="20"/>
                <w:szCs w:val="20"/>
              </w:rPr>
              <w:t xml:space="preserve"> × 52</w:t>
            </w:r>
          </w:p>
        </w:tc>
        <w:tc>
          <w:tcPr>
            <w:tcW w:w="4360" w:type="dxa"/>
            <w:tcBorders>
              <w:top w:val="single" w:sz="1" w:space="0" w:color="B0B0B0"/>
              <w:left w:val="single" w:sz="1" w:space="0" w:color="B0B0B0"/>
              <w:bottom w:val="single" w:sz="1" w:space="0" w:color="B0B0B0"/>
              <w:right w:val="single" w:sz="1" w:space="0" w:color="B0B0B0"/>
            </w:tcBorders>
          </w:tcPr>
          <w:p w14:paraId="7CB36A34" w14:textId="77777777" w:rsidR="009A1DD2" w:rsidRDefault="00F20251">
            <w:r>
              <w:rPr>
                <w:sz w:val="20"/>
                <w:szCs w:val="20"/>
              </w:rPr>
              <w:t>ARKit expression intensities in [0, 1]</w:t>
            </w:r>
          </w:p>
        </w:tc>
      </w:tr>
      <w:tr w:rsidR="009A1DD2" w14:paraId="7CB36A39" w14:textId="77777777">
        <w:tc>
          <w:tcPr>
            <w:tcW w:w="2600" w:type="dxa"/>
            <w:tcBorders>
              <w:top w:val="single" w:sz="1" w:space="0" w:color="B0B0B0"/>
              <w:left w:val="single" w:sz="1" w:space="0" w:color="B0B0B0"/>
              <w:bottom w:val="single" w:sz="1" w:space="0" w:color="B0B0B0"/>
              <w:right w:val="single" w:sz="1" w:space="0" w:color="B0B0B0"/>
            </w:tcBorders>
          </w:tcPr>
          <w:p w14:paraId="7CB36A36" w14:textId="77777777" w:rsidR="009A1DD2" w:rsidRDefault="00F20251">
            <w:r>
              <w:rPr>
                <w:sz w:val="20"/>
                <w:szCs w:val="20"/>
              </w:rPr>
              <w:t>Head pose matrices</w:t>
            </w:r>
          </w:p>
        </w:tc>
        <w:tc>
          <w:tcPr>
            <w:tcW w:w="2400" w:type="dxa"/>
            <w:tcBorders>
              <w:top w:val="single" w:sz="1" w:space="0" w:color="B0B0B0"/>
              <w:left w:val="single" w:sz="1" w:space="0" w:color="B0B0B0"/>
              <w:bottom w:val="single" w:sz="1" w:space="0" w:color="B0B0B0"/>
              <w:right w:val="single" w:sz="1" w:space="0" w:color="B0B0B0"/>
            </w:tcBorders>
          </w:tcPr>
          <w:p w14:paraId="7CB36A37" w14:textId="77777777" w:rsidR="009A1DD2" w:rsidRDefault="00F20251">
            <w:proofErr w:type="spellStart"/>
            <w:r>
              <w:rPr>
                <w:sz w:val="20"/>
                <w:szCs w:val="20"/>
              </w:rPr>
              <w:t>n_frames</w:t>
            </w:r>
            <w:proofErr w:type="spellEnd"/>
            <w:r>
              <w:rPr>
                <w:sz w:val="20"/>
                <w:szCs w:val="20"/>
              </w:rPr>
              <w:t xml:space="preserve"> × 4 × 4</w:t>
            </w:r>
          </w:p>
        </w:tc>
        <w:tc>
          <w:tcPr>
            <w:tcW w:w="4360" w:type="dxa"/>
            <w:tcBorders>
              <w:top w:val="single" w:sz="1" w:space="0" w:color="B0B0B0"/>
              <w:left w:val="single" w:sz="1" w:space="0" w:color="B0B0B0"/>
              <w:bottom w:val="single" w:sz="1" w:space="0" w:color="B0B0B0"/>
              <w:right w:val="single" w:sz="1" w:space="0" w:color="B0B0B0"/>
            </w:tcBorders>
          </w:tcPr>
          <w:p w14:paraId="7CB36A38" w14:textId="77777777" w:rsidR="009A1DD2" w:rsidRDefault="00F20251">
            <w:r>
              <w:rPr>
                <w:sz w:val="20"/>
                <w:szCs w:val="20"/>
              </w:rPr>
              <w:t>Per-frame 6-DOF rigid transform of the face</w:t>
            </w:r>
          </w:p>
        </w:tc>
      </w:tr>
      <w:tr w:rsidR="009A1DD2" w14:paraId="7CB36A3D" w14:textId="77777777">
        <w:tc>
          <w:tcPr>
            <w:tcW w:w="2600" w:type="dxa"/>
            <w:tcBorders>
              <w:top w:val="single" w:sz="1" w:space="0" w:color="B0B0B0"/>
              <w:left w:val="single" w:sz="1" w:space="0" w:color="B0B0B0"/>
              <w:bottom w:val="single" w:sz="1" w:space="0" w:color="B0B0B0"/>
              <w:right w:val="single" w:sz="1" w:space="0" w:color="B0B0B0"/>
            </w:tcBorders>
          </w:tcPr>
          <w:p w14:paraId="7CB36A3A" w14:textId="77777777" w:rsidR="009A1DD2" w:rsidRDefault="00F20251">
            <w:r>
              <w:rPr>
                <w:sz w:val="20"/>
                <w:szCs w:val="20"/>
              </w:rPr>
              <w:t>Annotated preview video</w:t>
            </w:r>
          </w:p>
        </w:tc>
        <w:tc>
          <w:tcPr>
            <w:tcW w:w="2400" w:type="dxa"/>
            <w:tcBorders>
              <w:top w:val="single" w:sz="1" w:space="0" w:color="B0B0B0"/>
              <w:left w:val="single" w:sz="1" w:space="0" w:color="B0B0B0"/>
              <w:bottom w:val="single" w:sz="1" w:space="0" w:color="B0B0B0"/>
              <w:right w:val="single" w:sz="1" w:space="0" w:color="B0B0B0"/>
            </w:tcBorders>
          </w:tcPr>
          <w:p w14:paraId="7CB36A3B" w14:textId="77777777" w:rsidR="009A1DD2" w:rsidRDefault="00F20251">
            <w:r>
              <w:rPr>
                <w:sz w:val="20"/>
                <w:szCs w:val="20"/>
              </w:rPr>
              <w:t>Original resolution and frame rate</w:t>
            </w:r>
          </w:p>
        </w:tc>
        <w:tc>
          <w:tcPr>
            <w:tcW w:w="4360" w:type="dxa"/>
            <w:tcBorders>
              <w:top w:val="single" w:sz="1" w:space="0" w:color="B0B0B0"/>
              <w:left w:val="single" w:sz="1" w:space="0" w:color="B0B0B0"/>
              <w:bottom w:val="single" w:sz="1" w:space="0" w:color="B0B0B0"/>
              <w:right w:val="single" w:sz="1" w:space="0" w:color="B0B0B0"/>
            </w:tcBorders>
          </w:tcPr>
          <w:p w14:paraId="7CB36A3C" w14:textId="77777777" w:rsidR="009A1DD2" w:rsidRDefault="00F20251">
            <w:r>
              <w:rPr>
                <w:sz w:val="20"/>
                <w:szCs w:val="20"/>
              </w:rPr>
              <w:t>All 478 landmarks overlaid for visual inspection</w:t>
            </w:r>
          </w:p>
        </w:tc>
      </w:tr>
      <w:tr w:rsidR="009A1DD2" w14:paraId="7CB36A41" w14:textId="77777777">
        <w:tc>
          <w:tcPr>
            <w:tcW w:w="2600" w:type="dxa"/>
            <w:tcBorders>
              <w:top w:val="single" w:sz="1" w:space="0" w:color="B0B0B0"/>
              <w:left w:val="single" w:sz="1" w:space="0" w:color="B0B0B0"/>
              <w:bottom w:val="single" w:sz="1" w:space="0" w:color="B0B0B0"/>
              <w:right w:val="single" w:sz="1" w:space="0" w:color="B0B0B0"/>
            </w:tcBorders>
          </w:tcPr>
          <w:p w14:paraId="7CB36A3E" w14:textId="77777777" w:rsidR="009A1DD2" w:rsidRDefault="00F20251">
            <w:r>
              <w:rPr>
                <w:sz w:val="20"/>
                <w:szCs w:val="20"/>
              </w:rPr>
              <w:t>Batch manifest</w:t>
            </w:r>
          </w:p>
        </w:tc>
        <w:tc>
          <w:tcPr>
            <w:tcW w:w="2400" w:type="dxa"/>
            <w:tcBorders>
              <w:top w:val="single" w:sz="1" w:space="0" w:color="B0B0B0"/>
              <w:left w:val="single" w:sz="1" w:space="0" w:color="B0B0B0"/>
              <w:bottom w:val="single" w:sz="1" w:space="0" w:color="B0B0B0"/>
              <w:right w:val="single" w:sz="1" w:space="0" w:color="B0B0B0"/>
            </w:tcBorders>
          </w:tcPr>
          <w:p w14:paraId="7CB36A3F" w14:textId="77777777" w:rsidR="009A1DD2" w:rsidRDefault="00F20251">
            <w:r>
              <w:rPr>
                <w:sz w:val="20"/>
                <w:szCs w:val="20"/>
              </w:rPr>
              <w:t>One row per video</w:t>
            </w:r>
          </w:p>
        </w:tc>
        <w:tc>
          <w:tcPr>
            <w:tcW w:w="4360" w:type="dxa"/>
            <w:tcBorders>
              <w:top w:val="single" w:sz="1" w:space="0" w:color="B0B0B0"/>
              <w:left w:val="single" w:sz="1" w:space="0" w:color="B0B0B0"/>
              <w:bottom w:val="single" w:sz="1" w:space="0" w:color="B0B0B0"/>
              <w:right w:val="single" w:sz="1" w:space="0" w:color="B0B0B0"/>
            </w:tcBorders>
          </w:tcPr>
          <w:p w14:paraId="7CB36A40" w14:textId="77777777" w:rsidR="009A1DD2" w:rsidRDefault="00F20251">
            <w:r>
              <w:rPr>
                <w:sz w:val="20"/>
                <w:szCs w:val="20"/>
              </w:rPr>
              <w:t>Resolution, frame rate, frame counts, face-detection rate, processing time</w:t>
            </w:r>
          </w:p>
        </w:tc>
      </w:tr>
    </w:tbl>
    <w:p w14:paraId="7CB36A42" w14:textId="77777777" w:rsidR="009A1DD2" w:rsidRDefault="00F20251">
      <w:pPr>
        <w:spacing w:after="120"/>
      </w:pPr>
      <w:r>
        <w:t xml:space="preserve"> </w:t>
      </w:r>
    </w:p>
    <w:p w14:paraId="7CB36A43" w14:textId="77777777" w:rsidR="009A1DD2" w:rsidRDefault="00F20251">
      <w:pPr>
        <w:pStyle w:val="Heading2"/>
      </w:pPr>
      <w:r>
        <w:t>1.4 Training-Time Preprocessing</w:t>
      </w:r>
    </w:p>
    <w:p w14:paraId="7CB36A44" w14:textId="77777777" w:rsidR="009A1DD2" w:rsidRDefault="00F20251">
      <w:pPr>
        <w:spacing w:after="120"/>
      </w:pPr>
      <w:r>
        <w:t xml:space="preserve">The outputs of Section 1.3 are general-purpose. Each downstream model defines its own training preprocessing on top of them. Every pose recording is summarized by a small set of representative frames, at minimum a neutral start frame and a peak-exertion frame. The peak frame is selected automatically from </w:t>
      </w:r>
      <w:proofErr w:type="spellStart"/>
      <w:r>
        <w:t>blendshape</w:t>
      </w:r>
      <w:proofErr w:type="spellEnd"/>
      <w:r>
        <w:t xml:space="preserve"> activity. These frames are then assembled into the input expected by the chosen architecture. Hard geometric pre-alignment of the face is avoided. Compensatory head tilt is itself a facial-palsy </w:t>
      </w:r>
      <w:proofErr w:type="gramStart"/>
      <w:r>
        <w:t>feature, and</w:t>
      </w:r>
      <w:proofErr w:type="gramEnd"/>
      <w:r>
        <w:t xml:space="preserve"> forced left-right symmetry destroys the very asymmetry the model is meant to measure. Implementation details are deferred to the training scripts.</w:t>
      </w:r>
    </w:p>
    <w:p w14:paraId="7CB36A45" w14:textId="77777777" w:rsidR="009A1DD2" w:rsidRDefault="00F20251">
      <w:pPr>
        <w:pStyle w:val="Heading2"/>
      </w:pPr>
      <w:r>
        <w:t>1.5 Pretraining and External Datasets</w:t>
      </w:r>
    </w:p>
    <w:p w14:paraId="7CB36A46" w14:textId="64CE6DCA" w:rsidR="009A1DD2" w:rsidRDefault="00F20251">
      <w:pPr>
        <w:spacing w:after="120"/>
      </w:pPr>
      <w:r>
        <w:t>Transfer learning is essential at the planned cohort size. We combine self-supervised face-video pretraining with FP-specific supervised pretraining, using the public resources below.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161"/>
        <w:gridCol w:w="1759"/>
        <w:gridCol w:w="5104"/>
      </w:tblGrid>
      <w:tr w:rsidR="009A1DD2" w14:paraId="7CB36A4A" w14:textId="77777777" w:rsidTr="001A7FD2">
        <w:trPr>
          <w:tblHeader/>
        </w:trPr>
        <w:tc>
          <w:tcPr>
            <w:tcW w:w="2200" w:type="dxa"/>
            <w:tcBorders>
              <w:top w:val="single" w:sz="1" w:space="0" w:color="B0B0B0"/>
              <w:left w:val="single" w:sz="1" w:space="0" w:color="B0B0B0"/>
              <w:bottom w:val="single" w:sz="1" w:space="0" w:color="B0B0B0"/>
              <w:right w:val="single" w:sz="1" w:space="0" w:color="B0B0B0"/>
            </w:tcBorders>
            <w:vAlign w:val="center"/>
          </w:tcPr>
          <w:p w14:paraId="7CB36A47" w14:textId="77777777" w:rsidR="009A1DD2" w:rsidRDefault="00F20251">
            <w:r>
              <w:rPr>
                <w:b/>
                <w:bCs/>
                <w:sz w:val="20"/>
                <w:szCs w:val="20"/>
              </w:rPr>
              <w:lastRenderedPageBreak/>
              <w:t>Source</w:t>
            </w:r>
          </w:p>
        </w:tc>
        <w:tc>
          <w:tcPr>
            <w:tcW w:w="1800" w:type="dxa"/>
            <w:tcBorders>
              <w:top w:val="single" w:sz="1" w:space="0" w:color="B0B0B0"/>
              <w:left w:val="single" w:sz="1" w:space="0" w:color="B0B0B0"/>
              <w:bottom w:val="single" w:sz="1" w:space="0" w:color="B0B0B0"/>
              <w:right w:val="single" w:sz="1" w:space="0" w:color="B0B0B0"/>
            </w:tcBorders>
            <w:vAlign w:val="center"/>
          </w:tcPr>
          <w:p w14:paraId="7CB36A48" w14:textId="77777777" w:rsidR="009A1DD2" w:rsidRDefault="00F20251">
            <w:r>
              <w:rPr>
                <w:b/>
                <w:bCs/>
                <w:sz w:val="20"/>
                <w:szCs w:val="20"/>
              </w:rPr>
              <w:t>Scale and type</w:t>
            </w:r>
          </w:p>
        </w:tc>
        <w:tc>
          <w:tcPr>
            <w:tcW w:w="5360" w:type="dxa"/>
            <w:tcBorders>
              <w:top w:val="single" w:sz="1" w:space="0" w:color="B0B0B0"/>
              <w:left w:val="single" w:sz="1" w:space="0" w:color="B0B0B0"/>
              <w:bottom w:val="single" w:sz="1" w:space="0" w:color="B0B0B0"/>
              <w:right w:val="single" w:sz="1" w:space="0" w:color="B0B0B0"/>
            </w:tcBorders>
            <w:vAlign w:val="center"/>
          </w:tcPr>
          <w:p w14:paraId="7CB36A49" w14:textId="77777777" w:rsidR="009A1DD2" w:rsidRDefault="00F20251">
            <w:r>
              <w:rPr>
                <w:b/>
                <w:bCs/>
                <w:sz w:val="20"/>
                <w:szCs w:val="20"/>
              </w:rPr>
              <w:t>How we use it</w:t>
            </w:r>
          </w:p>
        </w:tc>
      </w:tr>
      <w:tr w:rsidR="009A1DD2" w14:paraId="7CB36A4E" w14:textId="77777777">
        <w:tc>
          <w:tcPr>
            <w:tcW w:w="2200" w:type="dxa"/>
            <w:tcBorders>
              <w:top w:val="single" w:sz="1" w:space="0" w:color="B0B0B0"/>
              <w:left w:val="single" w:sz="1" w:space="0" w:color="B0B0B0"/>
              <w:bottom w:val="single" w:sz="1" w:space="0" w:color="B0B0B0"/>
              <w:right w:val="single" w:sz="1" w:space="0" w:color="B0B0B0"/>
            </w:tcBorders>
          </w:tcPr>
          <w:p w14:paraId="7CB36A4B" w14:textId="77777777" w:rsidR="009A1DD2" w:rsidRDefault="00F20251">
            <w:r>
              <w:rPr>
                <w:sz w:val="20"/>
                <w:szCs w:val="20"/>
              </w:rPr>
              <w:t>Marlin (CVPR 2023)</w:t>
            </w:r>
          </w:p>
        </w:tc>
        <w:tc>
          <w:tcPr>
            <w:tcW w:w="1800" w:type="dxa"/>
            <w:tcBorders>
              <w:top w:val="single" w:sz="1" w:space="0" w:color="B0B0B0"/>
              <w:left w:val="single" w:sz="1" w:space="0" w:color="B0B0B0"/>
              <w:bottom w:val="single" w:sz="1" w:space="0" w:color="B0B0B0"/>
              <w:right w:val="single" w:sz="1" w:space="0" w:color="B0B0B0"/>
            </w:tcBorders>
          </w:tcPr>
          <w:p w14:paraId="7CB36A4C" w14:textId="77777777" w:rsidR="009A1DD2" w:rsidRDefault="00F20251">
            <w:r>
              <w:rPr>
                <w:sz w:val="20"/>
                <w:szCs w:val="20"/>
              </w:rPr>
              <w:t>700k+ YouTube face videos, MAE-pretrained</w:t>
            </w:r>
          </w:p>
        </w:tc>
        <w:tc>
          <w:tcPr>
            <w:tcW w:w="5360" w:type="dxa"/>
            <w:tcBorders>
              <w:top w:val="single" w:sz="1" w:space="0" w:color="B0B0B0"/>
              <w:left w:val="single" w:sz="1" w:space="0" w:color="B0B0B0"/>
              <w:bottom w:val="single" w:sz="1" w:space="0" w:color="B0B0B0"/>
              <w:right w:val="single" w:sz="1" w:space="0" w:color="B0B0B0"/>
            </w:tcBorders>
          </w:tcPr>
          <w:p w14:paraId="7CB36A4D" w14:textId="77777777" w:rsidR="009A1DD2" w:rsidRDefault="00F20251">
            <w:r>
              <w:rPr>
                <w:sz w:val="20"/>
                <w:szCs w:val="20"/>
              </w:rPr>
              <w:t>Frozen face-video encoder for facial dynamics</w:t>
            </w:r>
          </w:p>
        </w:tc>
      </w:tr>
      <w:tr w:rsidR="009A1DD2" w14:paraId="7CB36A52" w14:textId="77777777">
        <w:tc>
          <w:tcPr>
            <w:tcW w:w="2200" w:type="dxa"/>
            <w:tcBorders>
              <w:top w:val="single" w:sz="1" w:space="0" w:color="B0B0B0"/>
              <w:left w:val="single" w:sz="1" w:space="0" w:color="B0B0B0"/>
              <w:bottom w:val="single" w:sz="1" w:space="0" w:color="B0B0B0"/>
              <w:right w:val="single" w:sz="1" w:space="0" w:color="B0B0B0"/>
            </w:tcBorders>
          </w:tcPr>
          <w:p w14:paraId="7CB36A4F" w14:textId="77777777" w:rsidR="009A1DD2" w:rsidRDefault="00F20251">
            <w:proofErr w:type="spellStart"/>
            <w:r>
              <w:rPr>
                <w:sz w:val="20"/>
                <w:szCs w:val="20"/>
              </w:rPr>
              <w:t>FaRL</w:t>
            </w:r>
            <w:proofErr w:type="spellEnd"/>
            <w:r>
              <w:rPr>
                <w:sz w:val="20"/>
                <w:szCs w:val="20"/>
              </w:rPr>
              <w:t xml:space="preserve"> (CVPR 2022)</w:t>
            </w:r>
          </w:p>
        </w:tc>
        <w:tc>
          <w:tcPr>
            <w:tcW w:w="1800" w:type="dxa"/>
            <w:tcBorders>
              <w:top w:val="single" w:sz="1" w:space="0" w:color="B0B0B0"/>
              <w:left w:val="single" w:sz="1" w:space="0" w:color="B0B0B0"/>
              <w:bottom w:val="single" w:sz="1" w:space="0" w:color="B0B0B0"/>
              <w:right w:val="single" w:sz="1" w:space="0" w:color="B0B0B0"/>
            </w:tcBorders>
          </w:tcPr>
          <w:p w14:paraId="7CB36A50" w14:textId="77777777" w:rsidR="009A1DD2" w:rsidRDefault="00F20251">
            <w:r>
              <w:rPr>
                <w:sz w:val="20"/>
                <w:szCs w:val="20"/>
              </w:rPr>
              <w:t>20M face-text pairs, CLIP-style</w:t>
            </w:r>
          </w:p>
        </w:tc>
        <w:tc>
          <w:tcPr>
            <w:tcW w:w="5360" w:type="dxa"/>
            <w:tcBorders>
              <w:top w:val="single" w:sz="1" w:space="0" w:color="B0B0B0"/>
              <w:left w:val="single" w:sz="1" w:space="0" w:color="B0B0B0"/>
              <w:bottom w:val="single" w:sz="1" w:space="0" w:color="B0B0B0"/>
              <w:right w:val="single" w:sz="1" w:space="0" w:color="B0B0B0"/>
            </w:tcBorders>
          </w:tcPr>
          <w:p w14:paraId="7CB36A51" w14:textId="77777777" w:rsidR="009A1DD2" w:rsidRDefault="00F20251">
            <w:r>
              <w:rPr>
                <w:sz w:val="20"/>
                <w:szCs w:val="20"/>
              </w:rPr>
              <w:t>Alternative per-frame face image encoder</w:t>
            </w:r>
          </w:p>
        </w:tc>
      </w:tr>
      <w:tr w:rsidR="009A1DD2" w14:paraId="7CB36A56" w14:textId="77777777">
        <w:tc>
          <w:tcPr>
            <w:tcW w:w="2200" w:type="dxa"/>
            <w:tcBorders>
              <w:top w:val="single" w:sz="1" w:space="0" w:color="B0B0B0"/>
              <w:left w:val="single" w:sz="1" w:space="0" w:color="B0B0B0"/>
              <w:bottom w:val="single" w:sz="1" w:space="0" w:color="B0B0B0"/>
              <w:right w:val="single" w:sz="1" w:space="0" w:color="B0B0B0"/>
            </w:tcBorders>
          </w:tcPr>
          <w:p w14:paraId="7CB36A53" w14:textId="77777777" w:rsidR="009A1DD2" w:rsidRDefault="00F20251">
            <w:r>
              <w:rPr>
                <w:sz w:val="20"/>
                <w:szCs w:val="20"/>
              </w:rPr>
              <w:t>MEEI Facial Palsy Standard Set</w:t>
            </w:r>
          </w:p>
        </w:tc>
        <w:tc>
          <w:tcPr>
            <w:tcW w:w="1800" w:type="dxa"/>
            <w:tcBorders>
              <w:top w:val="single" w:sz="1" w:space="0" w:color="B0B0B0"/>
              <w:left w:val="single" w:sz="1" w:space="0" w:color="B0B0B0"/>
              <w:bottom w:val="single" w:sz="1" w:space="0" w:color="B0B0B0"/>
              <w:right w:val="single" w:sz="1" w:space="0" w:color="B0B0B0"/>
            </w:tcBorders>
          </w:tcPr>
          <w:p w14:paraId="7CB36A54" w14:textId="77777777" w:rsidR="009A1DD2" w:rsidRDefault="00F20251">
            <w:r>
              <w:rPr>
                <w:sz w:val="20"/>
                <w:szCs w:val="20"/>
              </w:rPr>
              <w:t xml:space="preserve">60 patients, with SFGS, HB, and </w:t>
            </w:r>
            <w:proofErr w:type="spellStart"/>
            <w:r>
              <w:rPr>
                <w:sz w:val="20"/>
                <w:szCs w:val="20"/>
              </w:rPr>
              <w:t>eFACE</w:t>
            </w:r>
            <w:proofErr w:type="spellEnd"/>
            <w:r>
              <w:rPr>
                <w:sz w:val="20"/>
                <w:szCs w:val="20"/>
              </w:rPr>
              <w:t xml:space="preserve"> labels</w:t>
            </w:r>
          </w:p>
        </w:tc>
        <w:tc>
          <w:tcPr>
            <w:tcW w:w="5360" w:type="dxa"/>
            <w:tcBorders>
              <w:top w:val="single" w:sz="1" w:space="0" w:color="B0B0B0"/>
              <w:left w:val="single" w:sz="1" w:space="0" w:color="B0B0B0"/>
              <w:bottom w:val="single" w:sz="1" w:space="0" w:color="B0B0B0"/>
              <w:right w:val="single" w:sz="1" w:space="0" w:color="B0B0B0"/>
            </w:tcBorders>
          </w:tcPr>
          <w:p w14:paraId="7CB36A55" w14:textId="77777777" w:rsidR="009A1DD2" w:rsidRDefault="00F20251">
            <w:r>
              <w:rPr>
                <w:sz w:val="20"/>
                <w:szCs w:val="20"/>
              </w:rPr>
              <w:t xml:space="preserve">Supervised </w:t>
            </w:r>
            <w:proofErr w:type="gramStart"/>
            <w:r>
              <w:rPr>
                <w:sz w:val="20"/>
                <w:szCs w:val="20"/>
              </w:rPr>
              <w:t>warm-start</w:t>
            </w:r>
            <w:proofErr w:type="gramEnd"/>
            <w:r>
              <w:rPr>
                <w:sz w:val="20"/>
                <w:szCs w:val="20"/>
              </w:rPr>
              <w:t xml:space="preserve"> before Mayo fine-tuning</w:t>
            </w:r>
          </w:p>
        </w:tc>
      </w:tr>
      <w:tr w:rsidR="009A1DD2" w14:paraId="7CB36A5A" w14:textId="77777777">
        <w:tc>
          <w:tcPr>
            <w:tcW w:w="2200" w:type="dxa"/>
            <w:tcBorders>
              <w:top w:val="single" w:sz="1" w:space="0" w:color="B0B0B0"/>
              <w:left w:val="single" w:sz="1" w:space="0" w:color="B0B0B0"/>
              <w:bottom w:val="single" w:sz="1" w:space="0" w:color="B0B0B0"/>
              <w:right w:val="single" w:sz="1" w:space="0" w:color="B0B0B0"/>
            </w:tcBorders>
          </w:tcPr>
          <w:p w14:paraId="7CB36A57" w14:textId="77777777" w:rsidR="009A1DD2" w:rsidRDefault="00F20251">
            <w:r>
              <w:rPr>
                <w:sz w:val="20"/>
                <w:szCs w:val="20"/>
              </w:rPr>
              <w:t>YouTube Facial Palsy (YFP)</w:t>
            </w:r>
          </w:p>
        </w:tc>
        <w:tc>
          <w:tcPr>
            <w:tcW w:w="1800" w:type="dxa"/>
            <w:tcBorders>
              <w:top w:val="single" w:sz="1" w:space="0" w:color="B0B0B0"/>
              <w:left w:val="single" w:sz="1" w:space="0" w:color="B0B0B0"/>
              <w:bottom w:val="single" w:sz="1" w:space="0" w:color="B0B0B0"/>
              <w:right w:val="single" w:sz="1" w:space="0" w:color="B0B0B0"/>
            </w:tcBorders>
          </w:tcPr>
          <w:p w14:paraId="7CB36A58" w14:textId="77777777" w:rsidR="009A1DD2" w:rsidRDefault="00F20251">
            <w:r>
              <w:rPr>
                <w:sz w:val="20"/>
                <w:szCs w:val="20"/>
              </w:rPr>
              <w:t>31 videos, 21 patients</w:t>
            </w:r>
          </w:p>
        </w:tc>
        <w:tc>
          <w:tcPr>
            <w:tcW w:w="5360" w:type="dxa"/>
            <w:tcBorders>
              <w:top w:val="single" w:sz="1" w:space="0" w:color="B0B0B0"/>
              <w:left w:val="single" w:sz="1" w:space="0" w:color="B0B0B0"/>
              <w:bottom w:val="single" w:sz="1" w:space="0" w:color="B0B0B0"/>
              <w:right w:val="single" w:sz="1" w:space="0" w:color="B0B0B0"/>
            </w:tcBorders>
          </w:tcPr>
          <w:p w14:paraId="7CB36A59" w14:textId="77777777" w:rsidR="009A1DD2" w:rsidRDefault="00F20251">
            <w:r>
              <w:rPr>
                <w:sz w:val="20"/>
                <w:szCs w:val="20"/>
              </w:rPr>
              <w:t>External validation benchmark</w:t>
            </w:r>
          </w:p>
        </w:tc>
      </w:tr>
      <w:tr w:rsidR="009A1DD2" w14:paraId="7CB36A5E" w14:textId="77777777">
        <w:tc>
          <w:tcPr>
            <w:tcW w:w="2200" w:type="dxa"/>
            <w:tcBorders>
              <w:top w:val="single" w:sz="1" w:space="0" w:color="B0B0B0"/>
              <w:left w:val="single" w:sz="1" w:space="0" w:color="B0B0B0"/>
              <w:bottom w:val="single" w:sz="1" w:space="0" w:color="B0B0B0"/>
              <w:right w:val="single" w:sz="1" w:space="0" w:color="B0B0B0"/>
            </w:tcBorders>
          </w:tcPr>
          <w:p w14:paraId="7CB36A5B" w14:textId="77777777" w:rsidR="009A1DD2" w:rsidRDefault="00F20251">
            <w:proofErr w:type="spellStart"/>
            <w:r>
              <w:rPr>
                <w:sz w:val="20"/>
                <w:szCs w:val="20"/>
              </w:rPr>
              <w:t>PalsyNet</w:t>
            </w:r>
            <w:proofErr w:type="spellEnd"/>
            <w:r>
              <w:rPr>
                <w:sz w:val="20"/>
                <w:szCs w:val="20"/>
              </w:rPr>
              <w:t xml:space="preserve"> (</w:t>
            </w:r>
            <w:proofErr w:type="spellStart"/>
            <w:r>
              <w:rPr>
                <w:sz w:val="20"/>
                <w:szCs w:val="20"/>
              </w:rPr>
              <w:t>HuggingFace</w:t>
            </w:r>
            <w:proofErr w:type="spellEnd"/>
            <w:r>
              <w:rPr>
                <w:sz w:val="20"/>
                <w:szCs w:val="20"/>
              </w:rPr>
              <w:t>)</w:t>
            </w:r>
          </w:p>
        </w:tc>
        <w:tc>
          <w:tcPr>
            <w:tcW w:w="1800" w:type="dxa"/>
            <w:tcBorders>
              <w:top w:val="single" w:sz="1" w:space="0" w:color="B0B0B0"/>
              <w:left w:val="single" w:sz="1" w:space="0" w:color="B0B0B0"/>
              <w:bottom w:val="single" w:sz="1" w:space="0" w:color="B0B0B0"/>
              <w:right w:val="single" w:sz="1" w:space="0" w:color="B0B0B0"/>
            </w:tcBorders>
          </w:tcPr>
          <w:p w14:paraId="7CB36A5C" w14:textId="77777777" w:rsidR="009A1DD2" w:rsidRDefault="00F20251">
            <w:r>
              <w:rPr>
                <w:sz w:val="20"/>
                <w:szCs w:val="20"/>
              </w:rPr>
              <w:t>YouTube FP frames</w:t>
            </w:r>
          </w:p>
        </w:tc>
        <w:tc>
          <w:tcPr>
            <w:tcW w:w="5360" w:type="dxa"/>
            <w:tcBorders>
              <w:top w:val="single" w:sz="1" w:space="0" w:color="B0B0B0"/>
              <w:left w:val="single" w:sz="1" w:space="0" w:color="B0B0B0"/>
              <w:bottom w:val="single" w:sz="1" w:space="0" w:color="B0B0B0"/>
              <w:right w:val="single" w:sz="1" w:space="0" w:color="B0B0B0"/>
            </w:tcBorders>
          </w:tcPr>
          <w:p w14:paraId="7CB36A5D" w14:textId="77777777" w:rsidR="009A1DD2" w:rsidRDefault="00F20251">
            <w:r>
              <w:rPr>
                <w:sz w:val="20"/>
                <w:szCs w:val="20"/>
              </w:rPr>
              <w:t>Auxiliary binary FP-versus-healthy pretraining</w:t>
            </w:r>
          </w:p>
        </w:tc>
      </w:tr>
    </w:tbl>
    <w:p w14:paraId="7CB36A5F" w14:textId="77777777" w:rsidR="009A1DD2" w:rsidRDefault="00F20251">
      <w:pPr>
        <w:pStyle w:val="Heading1"/>
      </w:pPr>
      <w:r>
        <w:t>2. Model Selection</w:t>
      </w:r>
    </w:p>
    <w:p w14:paraId="7CB36A60" w14:textId="77777777" w:rsidR="009A1DD2" w:rsidRDefault="00F20251">
      <w:pPr>
        <w:pStyle w:val="Heading2"/>
      </w:pPr>
      <w:r>
        <w:t>2.1 Architecture Comparison</w:t>
      </w:r>
    </w:p>
    <w:p w14:paraId="7CB36A61" w14:textId="77777777" w:rsidR="009A1DD2" w:rsidRDefault="00F20251">
      <w:pPr>
        <w:spacing w:after="120"/>
      </w:pPr>
      <w:r>
        <w:t>The candidate model families are summarized below. At our cohort size, inductive bias and small-data behavior are the dominant criteria.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855"/>
        <w:gridCol w:w="2767"/>
        <w:gridCol w:w="2309"/>
        <w:gridCol w:w="2093"/>
      </w:tblGrid>
      <w:tr w:rsidR="009A1DD2" w14:paraId="7CB36A66" w14:textId="77777777" w:rsidTr="001A7FD2">
        <w:trPr>
          <w:tblHeader/>
        </w:trPr>
        <w:tc>
          <w:tcPr>
            <w:tcW w:w="1900" w:type="dxa"/>
            <w:tcBorders>
              <w:top w:val="single" w:sz="1" w:space="0" w:color="B0B0B0"/>
              <w:left w:val="single" w:sz="1" w:space="0" w:color="B0B0B0"/>
              <w:bottom w:val="single" w:sz="1" w:space="0" w:color="B0B0B0"/>
              <w:right w:val="single" w:sz="1" w:space="0" w:color="B0B0B0"/>
            </w:tcBorders>
            <w:vAlign w:val="center"/>
          </w:tcPr>
          <w:p w14:paraId="7CB36A62" w14:textId="77777777" w:rsidR="009A1DD2" w:rsidRDefault="00F20251">
            <w:r>
              <w:rPr>
                <w:b/>
                <w:bCs/>
                <w:sz w:val="20"/>
                <w:szCs w:val="20"/>
              </w:rPr>
              <w:t>Architecture</w:t>
            </w:r>
          </w:p>
        </w:tc>
        <w:tc>
          <w:tcPr>
            <w:tcW w:w="2900" w:type="dxa"/>
            <w:tcBorders>
              <w:top w:val="single" w:sz="1" w:space="0" w:color="B0B0B0"/>
              <w:left w:val="single" w:sz="1" w:space="0" w:color="B0B0B0"/>
              <w:bottom w:val="single" w:sz="1" w:space="0" w:color="B0B0B0"/>
              <w:right w:val="single" w:sz="1" w:space="0" w:color="B0B0B0"/>
            </w:tcBorders>
            <w:vAlign w:val="center"/>
          </w:tcPr>
          <w:p w14:paraId="7CB36A63" w14:textId="77777777" w:rsidR="009A1DD2" w:rsidRDefault="00F20251">
            <w:r>
              <w:rPr>
                <w:b/>
                <w:bCs/>
                <w:sz w:val="20"/>
                <w:szCs w:val="20"/>
              </w:rPr>
              <w:t>Inductive bias</w:t>
            </w:r>
          </w:p>
        </w:tc>
        <w:tc>
          <w:tcPr>
            <w:tcW w:w="2400" w:type="dxa"/>
            <w:tcBorders>
              <w:top w:val="single" w:sz="1" w:space="0" w:color="B0B0B0"/>
              <w:left w:val="single" w:sz="1" w:space="0" w:color="B0B0B0"/>
              <w:bottom w:val="single" w:sz="1" w:space="0" w:color="B0B0B0"/>
              <w:right w:val="single" w:sz="1" w:space="0" w:color="B0B0B0"/>
            </w:tcBorders>
            <w:vAlign w:val="center"/>
          </w:tcPr>
          <w:p w14:paraId="7CB36A64" w14:textId="77777777" w:rsidR="009A1DD2" w:rsidRDefault="00F20251">
            <w:r>
              <w:rPr>
                <w:b/>
                <w:bCs/>
                <w:sz w:val="20"/>
                <w:szCs w:val="20"/>
              </w:rPr>
              <w:t>Strengths</w:t>
            </w:r>
          </w:p>
        </w:tc>
        <w:tc>
          <w:tcPr>
            <w:tcW w:w="2160" w:type="dxa"/>
            <w:tcBorders>
              <w:top w:val="single" w:sz="1" w:space="0" w:color="B0B0B0"/>
              <w:left w:val="single" w:sz="1" w:space="0" w:color="B0B0B0"/>
              <w:bottom w:val="single" w:sz="1" w:space="0" w:color="B0B0B0"/>
              <w:right w:val="single" w:sz="1" w:space="0" w:color="B0B0B0"/>
            </w:tcBorders>
            <w:vAlign w:val="center"/>
          </w:tcPr>
          <w:p w14:paraId="7CB36A65" w14:textId="77777777" w:rsidR="009A1DD2" w:rsidRDefault="00F20251">
            <w:r>
              <w:rPr>
                <w:b/>
                <w:bCs/>
                <w:sz w:val="20"/>
                <w:szCs w:val="20"/>
              </w:rPr>
              <w:t>Weaknesses</w:t>
            </w:r>
          </w:p>
        </w:tc>
      </w:tr>
      <w:tr w:rsidR="009A1DD2" w14:paraId="7CB36A6B" w14:textId="77777777">
        <w:tc>
          <w:tcPr>
            <w:tcW w:w="1900" w:type="dxa"/>
            <w:tcBorders>
              <w:top w:val="single" w:sz="1" w:space="0" w:color="B0B0B0"/>
              <w:left w:val="single" w:sz="1" w:space="0" w:color="B0B0B0"/>
              <w:bottom w:val="single" w:sz="1" w:space="0" w:color="B0B0B0"/>
              <w:right w:val="single" w:sz="1" w:space="0" w:color="B0B0B0"/>
            </w:tcBorders>
          </w:tcPr>
          <w:p w14:paraId="7CB36A67" w14:textId="77777777" w:rsidR="009A1DD2" w:rsidRDefault="00F20251">
            <w:r>
              <w:rPr>
                <w:sz w:val="20"/>
                <w:szCs w:val="20"/>
              </w:rPr>
              <w:t>Closed-form geometric</w:t>
            </w:r>
          </w:p>
        </w:tc>
        <w:tc>
          <w:tcPr>
            <w:tcW w:w="2900" w:type="dxa"/>
            <w:tcBorders>
              <w:top w:val="single" w:sz="1" w:space="0" w:color="B0B0B0"/>
              <w:left w:val="single" w:sz="1" w:space="0" w:color="B0B0B0"/>
              <w:bottom w:val="single" w:sz="1" w:space="0" w:color="B0B0B0"/>
              <w:right w:val="single" w:sz="1" w:space="0" w:color="B0B0B0"/>
            </w:tcBorders>
          </w:tcPr>
          <w:p w14:paraId="7CB36A68" w14:textId="77777777" w:rsidR="009A1DD2" w:rsidRDefault="00F20251">
            <w:r>
              <w:rPr>
                <w:sz w:val="20"/>
                <w:szCs w:val="20"/>
              </w:rPr>
              <w:t>Hand-designed symmetry formulas over landmark coordinates, with no learning</w:t>
            </w:r>
          </w:p>
        </w:tc>
        <w:tc>
          <w:tcPr>
            <w:tcW w:w="2400" w:type="dxa"/>
            <w:tcBorders>
              <w:top w:val="single" w:sz="1" w:space="0" w:color="B0B0B0"/>
              <w:left w:val="single" w:sz="1" w:space="0" w:color="B0B0B0"/>
              <w:bottom w:val="single" w:sz="1" w:space="0" w:color="B0B0B0"/>
              <w:right w:val="single" w:sz="1" w:space="0" w:color="B0B0B0"/>
            </w:tcBorders>
          </w:tcPr>
          <w:p w14:paraId="7CB36A69" w14:textId="77777777" w:rsidR="009A1DD2" w:rsidRDefault="00F20251">
            <w:r>
              <w:rPr>
                <w:sz w:val="20"/>
                <w:szCs w:val="20"/>
              </w:rPr>
              <w:t>Interpretable and deterministic, and needs no training data</w:t>
            </w:r>
          </w:p>
        </w:tc>
        <w:tc>
          <w:tcPr>
            <w:tcW w:w="2160" w:type="dxa"/>
            <w:tcBorders>
              <w:top w:val="single" w:sz="1" w:space="0" w:color="B0B0B0"/>
              <w:left w:val="single" w:sz="1" w:space="0" w:color="B0B0B0"/>
              <w:bottom w:val="single" w:sz="1" w:space="0" w:color="B0B0B0"/>
              <w:right w:val="single" w:sz="1" w:space="0" w:color="B0B0B0"/>
            </w:tcBorders>
          </w:tcPr>
          <w:p w14:paraId="7CB36A6A" w14:textId="77777777" w:rsidR="009A1DD2" w:rsidRDefault="00F20251">
            <w:r>
              <w:rPr>
                <w:sz w:val="20"/>
                <w:szCs w:val="20"/>
              </w:rPr>
              <w:t>Performance ceiling is the formula itself. Reported r between 0.46 and 0.73 (Heinrich 2025 and 2026)</w:t>
            </w:r>
          </w:p>
        </w:tc>
      </w:tr>
      <w:tr w:rsidR="009A1DD2" w14:paraId="7CB36A70" w14:textId="77777777">
        <w:tc>
          <w:tcPr>
            <w:tcW w:w="1900" w:type="dxa"/>
            <w:tcBorders>
              <w:top w:val="single" w:sz="1" w:space="0" w:color="B0B0B0"/>
              <w:left w:val="single" w:sz="1" w:space="0" w:color="B0B0B0"/>
              <w:bottom w:val="single" w:sz="1" w:space="0" w:color="B0B0B0"/>
              <w:right w:val="single" w:sz="1" w:space="0" w:color="B0B0B0"/>
            </w:tcBorders>
          </w:tcPr>
          <w:p w14:paraId="7CB36A6C" w14:textId="77777777" w:rsidR="009A1DD2" w:rsidRDefault="00F20251">
            <w:r>
              <w:rPr>
                <w:sz w:val="20"/>
                <w:szCs w:val="20"/>
              </w:rPr>
              <w:t>Classical ML on engineered features</w:t>
            </w:r>
          </w:p>
        </w:tc>
        <w:tc>
          <w:tcPr>
            <w:tcW w:w="2900" w:type="dxa"/>
            <w:tcBorders>
              <w:top w:val="single" w:sz="1" w:space="0" w:color="B0B0B0"/>
              <w:left w:val="single" w:sz="1" w:space="0" w:color="B0B0B0"/>
              <w:bottom w:val="single" w:sz="1" w:space="0" w:color="B0B0B0"/>
              <w:right w:val="single" w:sz="1" w:space="0" w:color="B0B0B0"/>
            </w:tcBorders>
          </w:tcPr>
          <w:p w14:paraId="7CB36A6D" w14:textId="77777777" w:rsidR="009A1DD2" w:rsidRDefault="00F20251">
            <w:r>
              <w:rPr>
                <w:sz w:val="20"/>
                <w:szCs w:val="20"/>
              </w:rPr>
              <w:t xml:space="preserve">Hand-crafted asymmetry or </w:t>
            </w:r>
            <w:proofErr w:type="spellStart"/>
            <w:r>
              <w:rPr>
                <w:sz w:val="20"/>
                <w:szCs w:val="20"/>
              </w:rPr>
              <w:t>blendshape</w:t>
            </w:r>
            <w:proofErr w:type="spellEnd"/>
            <w:r>
              <w:rPr>
                <w:sz w:val="20"/>
                <w:szCs w:val="20"/>
              </w:rPr>
              <w:t xml:space="preserve"> features fed to an SVM, a random forest, or gradient boosting</w:t>
            </w:r>
          </w:p>
        </w:tc>
        <w:tc>
          <w:tcPr>
            <w:tcW w:w="2400" w:type="dxa"/>
            <w:tcBorders>
              <w:top w:val="single" w:sz="1" w:space="0" w:color="B0B0B0"/>
              <w:left w:val="single" w:sz="1" w:space="0" w:color="B0B0B0"/>
              <w:bottom w:val="single" w:sz="1" w:space="0" w:color="B0B0B0"/>
              <w:right w:val="single" w:sz="1" w:space="0" w:color="B0B0B0"/>
            </w:tcBorders>
          </w:tcPr>
          <w:p w14:paraId="7CB36A6E" w14:textId="77777777" w:rsidR="009A1DD2" w:rsidRDefault="00F20251">
            <w:r>
              <w:rPr>
                <w:sz w:val="20"/>
                <w:szCs w:val="20"/>
              </w:rPr>
              <w:t>Data-efficient, with transparent feature importance</w:t>
            </w:r>
          </w:p>
        </w:tc>
        <w:tc>
          <w:tcPr>
            <w:tcW w:w="2160" w:type="dxa"/>
            <w:tcBorders>
              <w:top w:val="single" w:sz="1" w:space="0" w:color="B0B0B0"/>
              <w:left w:val="single" w:sz="1" w:space="0" w:color="B0B0B0"/>
              <w:bottom w:val="single" w:sz="1" w:space="0" w:color="B0B0B0"/>
              <w:right w:val="single" w:sz="1" w:space="0" w:color="B0B0B0"/>
            </w:tcBorders>
          </w:tcPr>
          <w:p w14:paraId="7CB36A6F" w14:textId="77777777" w:rsidR="009A1DD2" w:rsidRDefault="00F20251">
            <w:r>
              <w:rPr>
                <w:sz w:val="20"/>
                <w:szCs w:val="20"/>
              </w:rPr>
              <w:t>Feature engineering caps accuracy, and cannot exploit raw pixel or temporal structure</w:t>
            </w:r>
          </w:p>
        </w:tc>
      </w:tr>
      <w:tr w:rsidR="009A1DD2" w14:paraId="7CB36A75" w14:textId="77777777">
        <w:tc>
          <w:tcPr>
            <w:tcW w:w="1900" w:type="dxa"/>
            <w:tcBorders>
              <w:top w:val="single" w:sz="1" w:space="0" w:color="B0B0B0"/>
              <w:left w:val="single" w:sz="1" w:space="0" w:color="B0B0B0"/>
              <w:bottom w:val="single" w:sz="1" w:space="0" w:color="B0B0B0"/>
              <w:right w:val="single" w:sz="1" w:space="0" w:color="B0B0B0"/>
            </w:tcBorders>
          </w:tcPr>
          <w:p w14:paraId="7CB36A71" w14:textId="77777777" w:rsidR="009A1DD2" w:rsidRDefault="00F20251">
            <w:r>
              <w:rPr>
                <w:sz w:val="20"/>
                <w:szCs w:val="20"/>
              </w:rPr>
              <w:t>CNN</w:t>
            </w:r>
          </w:p>
        </w:tc>
        <w:tc>
          <w:tcPr>
            <w:tcW w:w="2900" w:type="dxa"/>
            <w:tcBorders>
              <w:top w:val="single" w:sz="1" w:space="0" w:color="B0B0B0"/>
              <w:left w:val="single" w:sz="1" w:space="0" w:color="B0B0B0"/>
              <w:bottom w:val="single" w:sz="1" w:space="0" w:color="B0B0B0"/>
              <w:right w:val="single" w:sz="1" w:space="0" w:color="B0B0B0"/>
            </w:tcBorders>
          </w:tcPr>
          <w:p w14:paraId="7CB36A72" w14:textId="77777777" w:rsidR="009A1DD2" w:rsidRDefault="00F20251">
            <w:r>
              <w:rPr>
                <w:sz w:val="20"/>
                <w:szCs w:val="20"/>
              </w:rPr>
              <w:t>Translation-equivariant, with local receptive fields</w:t>
            </w:r>
          </w:p>
        </w:tc>
        <w:tc>
          <w:tcPr>
            <w:tcW w:w="2400" w:type="dxa"/>
            <w:tcBorders>
              <w:top w:val="single" w:sz="1" w:space="0" w:color="B0B0B0"/>
              <w:left w:val="single" w:sz="1" w:space="0" w:color="B0B0B0"/>
              <w:bottom w:val="single" w:sz="1" w:space="0" w:color="B0B0B0"/>
              <w:right w:val="single" w:sz="1" w:space="0" w:color="B0B0B0"/>
            </w:tcBorders>
          </w:tcPr>
          <w:p w14:paraId="7CB36A73" w14:textId="77777777" w:rsidR="009A1DD2" w:rsidRDefault="00F20251">
            <w:r>
              <w:rPr>
                <w:sz w:val="20"/>
                <w:szCs w:val="20"/>
              </w:rPr>
              <w:t xml:space="preserve">Mature and data-efficient at small n. Used in the </w:t>
            </w:r>
            <w:proofErr w:type="spellStart"/>
            <w:r>
              <w:rPr>
                <w:sz w:val="20"/>
                <w:szCs w:val="20"/>
              </w:rPr>
              <w:t>Harkel</w:t>
            </w:r>
            <w:proofErr w:type="spellEnd"/>
            <w:r>
              <w:rPr>
                <w:sz w:val="20"/>
                <w:szCs w:val="20"/>
              </w:rPr>
              <w:t xml:space="preserve"> 2024 baseline</w:t>
            </w:r>
          </w:p>
        </w:tc>
        <w:tc>
          <w:tcPr>
            <w:tcW w:w="2160" w:type="dxa"/>
            <w:tcBorders>
              <w:top w:val="single" w:sz="1" w:space="0" w:color="B0B0B0"/>
              <w:left w:val="single" w:sz="1" w:space="0" w:color="B0B0B0"/>
              <w:bottom w:val="single" w:sz="1" w:space="0" w:color="B0B0B0"/>
              <w:right w:val="single" w:sz="1" w:space="0" w:color="B0B0B0"/>
            </w:tcBorders>
          </w:tcPr>
          <w:p w14:paraId="7CB36A74" w14:textId="77777777" w:rsidR="009A1DD2" w:rsidRDefault="00F20251">
            <w:r>
              <w:rPr>
                <w:sz w:val="20"/>
                <w:szCs w:val="20"/>
              </w:rPr>
              <w:t>Not rotation-invariant, and cannot natively use the landmark graph</w:t>
            </w:r>
          </w:p>
        </w:tc>
      </w:tr>
      <w:tr w:rsidR="009A1DD2" w14:paraId="7CB36A7A" w14:textId="77777777">
        <w:tc>
          <w:tcPr>
            <w:tcW w:w="1900" w:type="dxa"/>
            <w:tcBorders>
              <w:top w:val="single" w:sz="1" w:space="0" w:color="B0B0B0"/>
              <w:left w:val="single" w:sz="1" w:space="0" w:color="B0B0B0"/>
              <w:bottom w:val="single" w:sz="1" w:space="0" w:color="B0B0B0"/>
              <w:right w:val="single" w:sz="1" w:space="0" w:color="B0B0B0"/>
            </w:tcBorders>
          </w:tcPr>
          <w:p w14:paraId="7CB36A76" w14:textId="77777777" w:rsidR="009A1DD2" w:rsidRDefault="00F20251">
            <w:r>
              <w:rPr>
                <w:sz w:val="20"/>
                <w:szCs w:val="20"/>
              </w:rPr>
              <w:t>GNN</w:t>
            </w:r>
          </w:p>
        </w:tc>
        <w:tc>
          <w:tcPr>
            <w:tcW w:w="2900" w:type="dxa"/>
            <w:tcBorders>
              <w:top w:val="single" w:sz="1" w:space="0" w:color="B0B0B0"/>
              <w:left w:val="single" w:sz="1" w:space="0" w:color="B0B0B0"/>
              <w:bottom w:val="single" w:sz="1" w:space="0" w:color="B0B0B0"/>
              <w:right w:val="single" w:sz="1" w:space="0" w:color="B0B0B0"/>
            </w:tcBorders>
          </w:tcPr>
          <w:p w14:paraId="7CB36A77" w14:textId="77777777" w:rsidR="009A1DD2" w:rsidRDefault="00F20251">
            <w:r>
              <w:rPr>
                <w:sz w:val="20"/>
                <w:szCs w:val="20"/>
              </w:rPr>
              <w:t>Permutation-equivariant on graph nodes, with message passing over mesh edges</w:t>
            </w:r>
          </w:p>
        </w:tc>
        <w:tc>
          <w:tcPr>
            <w:tcW w:w="2400" w:type="dxa"/>
            <w:tcBorders>
              <w:top w:val="single" w:sz="1" w:space="0" w:color="B0B0B0"/>
              <w:left w:val="single" w:sz="1" w:space="0" w:color="B0B0B0"/>
              <w:bottom w:val="single" w:sz="1" w:space="0" w:color="B0B0B0"/>
              <w:right w:val="single" w:sz="1" w:space="0" w:color="B0B0B0"/>
            </w:tcBorders>
          </w:tcPr>
          <w:p w14:paraId="7CB36A78" w14:textId="77777777" w:rsidR="009A1DD2" w:rsidRDefault="00F20251">
            <w:r>
              <w:rPr>
                <w:sz w:val="20"/>
                <w:szCs w:val="20"/>
              </w:rPr>
              <w:t xml:space="preserve">Matches the </w:t>
            </w:r>
            <w:proofErr w:type="spellStart"/>
            <w:r>
              <w:rPr>
                <w:sz w:val="20"/>
                <w:szCs w:val="20"/>
              </w:rPr>
              <w:t>MediaPipe</w:t>
            </w:r>
            <w:proofErr w:type="spellEnd"/>
            <w:r>
              <w:rPr>
                <w:sz w:val="20"/>
                <w:szCs w:val="20"/>
              </w:rPr>
              <w:t xml:space="preserve"> face mesh graph. Shagdar 2024 reports about 95% accuracy</w:t>
            </w:r>
          </w:p>
        </w:tc>
        <w:tc>
          <w:tcPr>
            <w:tcW w:w="2160" w:type="dxa"/>
            <w:tcBorders>
              <w:top w:val="single" w:sz="1" w:space="0" w:color="B0B0B0"/>
              <w:left w:val="single" w:sz="1" w:space="0" w:color="B0B0B0"/>
              <w:bottom w:val="single" w:sz="1" w:space="0" w:color="B0B0B0"/>
              <w:right w:val="single" w:sz="1" w:space="0" w:color="B0B0B0"/>
            </w:tcBorders>
          </w:tcPr>
          <w:p w14:paraId="7CB36A79" w14:textId="77777777" w:rsidR="009A1DD2" w:rsidRDefault="00F20251">
            <w:r>
              <w:rPr>
                <w:sz w:val="20"/>
                <w:szCs w:val="20"/>
              </w:rPr>
              <w:t>Ignores raw image texture, and usually needs a companion vision branch</w:t>
            </w:r>
          </w:p>
        </w:tc>
      </w:tr>
      <w:tr w:rsidR="009A1DD2" w14:paraId="7CB36A7F" w14:textId="77777777">
        <w:tc>
          <w:tcPr>
            <w:tcW w:w="1900" w:type="dxa"/>
            <w:tcBorders>
              <w:top w:val="single" w:sz="1" w:space="0" w:color="B0B0B0"/>
              <w:left w:val="single" w:sz="1" w:space="0" w:color="B0B0B0"/>
              <w:bottom w:val="single" w:sz="1" w:space="0" w:color="B0B0B0"/>
              <w:right w:val="single" w:sz="1" w:space="0" w:color="B0B0B0"/>
            </w:tcBorders>
          </w:tcPr>
          <w:p w14:paraId="7CB36A7B" w14:textId="77777777" w:rsidR="009A1DD2" w:rsidRDefault="00F20251">
            <w:r>
              <w:rPr>
                <w:sz w:val="20"/>
                <w:szCs w:val="20"/>
              </w:rPr>
              <w:t>Transformer (general)</w:t>
            </w:r>
          </w:p>
        </w:tc>
        <w:tc>
          <w:tcPr>
            <w:tcW w:w="2900" w:type="dxa"/>
            <w:tcBorders>
              <w:top w:val="single" w:sz="1" w:space="0" w:color="B0B0B0"/>
              <w:left w:val="single" w:sz="1" w:space="0" w:color="B0B0B0"/>
              <w:bottom w:val="single" w:sz="1" w:space="0" w:color="B0B0B0"/>
              <w:right w:val="single" w:sz="1" w:space="0" w:color="B0B0B0"/>
            </w:tcBorders>
          </w:tcPr>
          <w:p w14:paraId="7CB36A7C" w14:textId="77777777" w:rsidR="009A1DD2" w:rsidRDefault="00F20251">
            <w:r>
              <w:rPr>
                <w:sz w:val="20"/>
                <w:szCs w:val="20"/>
              </w:rPr>
              <w:t xml:space="preserve">Self-attention over an arbitrary token sequence, for example landmarks, </w:t>
            </w:r>
            <w:proofErr w:type="spellStart"/>
            <w:r>
              <w:rPr>
                <w:sz w:val="20"/>
                <w:szCs w:val="20"/>
              </w:rPr>
              <w:t>blendshapes</w:t>
            </w:r>
            <w:proofErr w:type="spellEnd"/>
            <w:r>
              <w:rPr>
                <w:sz w:val="20"/>
                <w:szCs w:val="20"/>
              </w:rPr>
              <w:t>, or video clips. No spatial prior</w:t>
            </w:r>
          </w:p>
        </w:tc>
        <w:tc>
          <w:tcPr>
            <w:tcW w:w="2400" w:type="dxa"/>
            <w:tcBorders>
              <w:top w:val="single" w:sz="1" w:space="0" w:color="B0B0B0"/>
              <w:left w:val="single" w:sz="1" w:space="0" w:color="B0B0B0"/>
              <w:bottom w:val="single" w:sz="1" w:space="0" w:color="B0B0B0"/>
              <w:right w:val="single" w:sz="1" w:space="0" w:color="B0B0B0"/>
            </w:tcBorders>
          </w:tcPr>
          <w:p w14:paraId="7CB36A7D" w14:textId="77777777" w:rsidR="009A1DD2" w:rsidRDefault="00F20251">
            <w:r>
              <w:rPr>
                <w:sz w:val="20"/>
                <w:szCs w:val="20"/>
              </w:rPr>
              <w:t>Flexible, supports cross-modal fusion, and scales with data</w:t>
            </w:r>
          </w:p>
        </w:tc>
        <w:tc>
          <w:tcPr>
            <w:tcW w:w="2160" w:type="dxa"/>
            <w:tcBorders>
              <w:top w:val="single" w:sz="1" w:space="0" w:color="B0B0B0"/>
              <w:left w:val="single" w:sz="1" w:space="0" w:color="B0B0B0"/>
              <w:bottom w:val="single" w:sz="1" w:space="0" w:color="B0B0B0"/>
              <w:right w:val="single" w:sz="1" w:space="0" w:color="B0B0B0"/>
            </w:tcBorders>
          </w:tcPr>
          <w:p w14:paraId="7CB36A7E" w14:textId="77777777" w:rsidR="009A1DD2" w:rsidRDefault="00F20251">
            <w:r>
              <w:rPr>
                <w:sz w:val="20"/>
                <w:szCs w:val="20"/>
              </w:rPr>
              <w:t>Quadratic in sequence length, and data-hungry</w:t>
            </w:r>
          </w:p>
        </w:tc>
      </w:tr>
      <w:tr w:rsidR="009A1DD2" w14:paraId="7CB36A84" w14:textId="77777777">
        <w:tc>
          <w:tcPr>
            <w:tcW w:w="1900" w:type="dxa"/>
            <w:tcBorders>
              <w:top w:val="single" w:sz="1" w:space="0" w:color="B0B0B0"/>
              <w:left w:val="single" w:sz="1" w:space="0" w:color="B0B0B0"/>
              <w:bottom w:val="single" w:sz="1" w:space="0" w:color="B0B0B0"/>
              <w:right w:val="single" w:sz="1" w:space="0" w:color="B0B0B0"/>
            </w:tcBorders>
          </w:tcPr>
          <w:p w14:paraId="7CB36A80" w14:textId="77777777" w:rsidR="009A1DD2" w:rsidRDefault="00F20251">
            <w:r>
              <w:rPr>
                <w:sz w:val="20"/>
                <w:szCs w:val="20"/>
              </w:rPr>
              <w:t>Vision Transformer (</w:t>
            </w:r>
            <w:proofErr w:type="spellStart"/>
            <w:r>
              <w:rPr>
                <w:sz w:val="20"/>
                <w:szCs w:val="20"/>
              </w:rPr>
              <w:t>ViT</w:t>
            </w:r>
            <w:proofErr w:type="spellEnd"/>
            <w:r>
              <w:rPr>
                <w:sz w:val="20"/>
                <w:szCs w:val="20"/>
              </w:rPr>
              <w:t>)</w:t>
            </w:r>
          </w:p>
        </w:tc>
        <w:tc>
          <w:tcPr>
            <w:tcW w:w="2900" w:type="dxa"/>
            <w:tcBorders>
              <w:top w:val="single" w:sz="1" w:space="0" w:color="B0B0B0"/>
              <w:left w:val="single" w:sz="1" w:space="0" w:color="B0B0B0"/>
              <w:bottom w:val="single" w:sz="1" w:space="0" w:color="B0B0B0"/>
              <w:right w:val="single" w:sz="1" w:space="0" w:color="B0B0B0"/>
            </w:tcBorders>
          </w:tcPr>
          <w:p w14:paraId="7CB36A81" w14:textId="77777777" w:rsidR="009A1DD2" w:rsidRDefault="00F20251">
            <w:r>
              <w:rPr>
                <w:sz w:val="20"/>
                <w:szCs w:val="20"/>
              </w:rPr>
              <w:t xml:space="preserve">Specialization where tokens are fixed-size image </w:t>
            </w:r>
            <w:r>
              <w:rPr>
                <w:sz w:val="20"/>
                <w:szCs w:val="20"/>
              </w:rPr>
              <w:lastRenderedPageBreak/>
              <w:t>patches with learned positional embeddings</w:t>
            </w:r>
          </w:p>
        </w:tc>
        <w:tc>
          <w:tcPr>
            <w:tcW w:w="2400" w:type="dxa"/>
            <w:tcBorders>
              <w:top w:val="single" w:sz="1" w:space="0" w:color="B0B0B0"/>
              <w:left w:val="single" w:sz="1" w:space="0" w:color="B0B0B0"/>
              <w:bottom w:val="single" w:sz="1" w:space="0" w:color="B0B0B0"/>
              <w:right w:val="single" w:sz="1" w:space="0" w:color="B0B0B0"/>
            </w:tcBorders>
          </w:tcPr>
          <w:p w14:paraId="7CB36A82" w14:textId="77777777" w:rsidR="009A1DD2" w:rsidRDefault="00F20251">
            <w:r>
              <w:rPr>
                <w:sz w:val="20"/>
                <w:szCs w:val="20"/>
              </w:rPr>
              <w:lastRenderedPageBreak/>
              <w:t>State of the art on large image benchmarks</w:t>
            </w:r>
          </w:p>
        </w:tc>
        <w:tc>
          <w:tcPr>
            <w:tcW w:w="2160" w:type="dxa"/>
            <w:tcBorders>
              <w:top w:val="single" w:sz="1" w:space="0" w:color="B0B0B0"/>
              <w:left w:val="single" w:sz="1" w:space="0" w:color="B0B0B0"/>
              <w:bottom w:val="single" w:sz="1" w:space="0" w:color="B0B0B0"/>
              <w:right w:val="single" w:sz="1" w:space="0" w:color="B0B0B0"/>
            </w:tcBorders>
          </w:tcPr>
          <w:p w14:paraId="7CB36A83" w14:textId="77777777" w:rsidR="009A1DD2" w:rsidRDefault="00F20251">
            <w:r>
              <w:rPr>
                <w:sz w:val="20"/>
                <w:szCs w:val="20"/>
              </w:rPr>
              <w:t xml:space="preserve">Typically requires &gt;100k samples to </w:t>
            </w:r>
            <w:r>
              <w:rPr>
                <w:sz w:val="20"/>
                <w:szCs w:val="20"/>
              </w:rPr>
              <w:lastRenderedPageBreak/>
              <w:t>outperform CNNs from scratch</w:t>
            </w:r>
          </w:p>
        </w:tc>
      </w:tr>
    </w:tbl>
    <w:p w14:paraId="7CB36A85" w14:textId="77777777" w:rsidR="009A1DD2" w:rsidRDefault="00F20251">
      <w:pPr>
        <w:spacing w:after="120"/>
      </w:pPr>
      <w:r>
        <w:lastRenderedPageBreak/>
        <w:t xml:space="preserve"> </w:t>
      </w:r>
    </w:p>
    <w:p w14:paraId="7CB36A87" w14:textId="26B62D5B" w:rsidR="009A1DD2" w:rsidRDefault="00F20251">
      <w:pPr>
        <w:spacing w:after="120"/>
      </w:pPr>
      <w:r>
        <w:t>The chosen architectures, the training plan, and the cohort-size feasibility analysis are deferred to the Zotero demonstration.</w:t>
      </w:r>
    </w:p>
    <w:p w14:paraId="74925BBC" w14:textId="77777777" w:rsidR="009A1DD2" w:rsidRDefault="00F20251">
      <w:pPr>
        <w:pStyle w:val="Heading2"/>
      </w:pPr>
      <w:r>
        <w:t>2.2 Reference Baselines</w:t>
      </w:r>
    </w:p>
    <w:p w14:paraId="2DD62F96" w14:textId="77777777" w:rsidR="009A1DD2" w:rsidRDefault="00F20251">
      <w:pPr>
        <w:spacing w:after="120"/>
      </w:pPr>
      <w:r>
        <w:t>Four baselines from the recent facial paralysis literature are carried as reference points. Three are converted to House-Brackmann output by training a head on our data; the fourth is evaluated on its native binary task.</w:t>
      </w:r>
    </w:p>
    <w:p w14:paraId="0CEC63BD" w14:textId="58FBEEB0" w:rsidR="009A1DD2" w:rsidRDefault="00F20251">
      <w:pPr>
        <w:spacing w:after="120"/>
      </w:pPr>
      <w:r>
        <w:rPr>
          <w:b/>
        </w:rPr>
        <w:t>1. Oo et al. 2025 (MLP-Mixer + handcrafted features).</w:t>
      </w:r>
      <w:r>
        <w:t xml:space="preserve"> Multimodal fusion model combining a pretrained MLP-Mixer image encoder with 29 handcrafted geometric features computed from MediaPipe landmarks. The original code repository was retracted; we reconstructed the inference pipeline from a Wayback Machine snapshot and the released checkpoint files. The frozen MLP-Mixer is used as a 768-dimensional face representation, on top of which an HB classifier head is trained.</w:t>
      </w:r>
      <w:r w:rsidR="00A7361C">
        <w:rPr>
          <w:noProof/>
        </w:rPr>
        <w:drawing>
          <wp:inline distT="0" distB="0" distL="0" distR="0" wp14:anchorId="5400B818" wp14:editId="5FBA431F">
            <wp:extent cx="5731510" cy="3470910"/>
            <wp:effectExtent l="0" t="0" r="0" b="0"/>
            <wp:docPr id="6777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57665" name="Picture 6777576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70910"/>
                    </a:xfrm>
                    <a:prstGeom prst="rect">
                      <a:avLst/>
                    </a:prstGeom>
                  </pic:spPr>
                </pic:pic>
              </a:graphicData>
            </a:graphic>
          </wp:inline>
        </w:drawing>
      </w:r>
    </w:p>
    <w:p w14:paraId="63BAFFC2" w14:textId="77777777" w:rsidR="009A1DD2" w:rsidRDefault="00F20251">
      <w:pPr>
        <w:spacing w:after="120"/>
      </w:pPr>
      <w:r>
        <w:rPr>
          <w:b/>
        </w:rPr>
        <w:t>2. Gaber et al. 2022 (Animation Symmetry Index).</w:t>
      </w:r>
      <w:r>
        <w:t xml:space="preserve"> Kinect-based facial paralysis assessment paper that defines an Animation Symmetry Index (ASI) over pairs of facial animation units in the eye, eyebrow, and mouth regions. The paper released no code; we reimplemented the eight ASI equations from scratch and mapped the original Kinect animation unit schema to our ARKit and MediaPipe blendshapes. An HB head is trained on the per-action ASI vector.</w:t>
      </w:r>
    </w:p>
    <w:p w14:paraId="17F294DD" w14:textId="77777777" w:rsidR="009A1DD2" w:rsidRDefault="00F20251">
      <w:pPr>
        <w:spacing w:after="120"/>
      </w:pPr>
      <w:r>
        <w:rPr>
          <w:b/>
        </w:rPr>
        <w:t xml:space="preserve">3. </w:t>
      </w:r>
      <w:bookmarkStart w:id="0" w:name="OLE_LINK1"/>
      <w:r>
        <w:rPr>
          <w:b/>
        </w:rPr>
        <w:t xml:space="preserve">Baumann 2022 </w:t>
      </w:r>
      <w:bookmarkEnd w:id="0"/>
      <w:r>
        <w:rPr>
          <w:b/>
        </w:rPr>
        <w:t>(House-Brackmann CNN ensemble).</w:t>
      </w:r>
      <w:r>
        <w:t xml:space="preserve"> Master's thesis from OTH Regensburg. Five ResNet-18 sub-networks (symmetry, eye, mouth, forehead, and direct HB) consume nine standardized poses per patient through an early-fusion 27-channel conv1, and emit an HB grade either directly or via a finite-state automaton over the four module-level outputs. The only HB-native baseline in our shortlist. We fine-tune the released checkpoints on our cohort.</w:t>
      </w:r>
    </w:p>
    <w:p w14:paraId="50459E87" w14:textId="2777C970" w:rsidR="009A1DD2" w:rsidRDefault="00F20251">
      <w:pPr>
        <w:spacing w:after="120"/>
      </w:pPr>
      <w:r>
        <w:rPr>
          <w:b/>
        </w:rPr>
        <w:lastRenderedPageBreak/>
        <w:t>4. Shagdar et al. 2024 (graph neural network).</w:t>
      </w:r>
      <w:r>
        <w:t xml:space="preserve"> Workshop paper that builds a face graph from 478 MediaPipe landmarks via Delaunay triangulation and applies a GCN backbone (GCNMid) for binary stroke versus non-stroke classification on the Toronto NeuroFace dataset. We use the released weights as-is and evaluate the model on its native binary task, comparing against a binary collapse of our HB labels.</w:t>
      </w:r>
      <w:r w:rsidR="007A4AC7">
        <w:rPr>
          <w:noProof/>
        </w:rPr>
        <w:drawing>
          <wp:inline distT="0" distB="0" distL="0" distR="0" wp14:anchorId="39778536" wp14:editId="272B4BD3">
            <wp:extent cx="5731510" cy="1733550"/>
            <wp:effectExtent l="0" t="0" r="0" b="6350"/>
            <wp:docPr id="172586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61271" name="Picture 17258612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7CB36A88" w14:textId="77777777" w:rsidR="009A1DD2" w:rsidRDefault="00F20251">
      <w:pPr>
        <w:pStyle w:val="Heading1"/>
      </w:pPr>
      <w:r>
        <w:t>3. Evaluation</w:t>
      </w:r>
    </w:p>
    <w:p w14:paraId="7CB36A89" w14:textId="77777777" w:rsidR="009A1DD2" w:rsidRDefault="00F20251">
      <w:pPr>
        <w:pStyle w:val="Heading2"/>
      </w:pPr>
      <w:r>
        <w:t>3.1 Scoring Standards</w:t>
      </w:r>
    </w:p>
    <w:p w14:paraId="7CB36A8A" w14:textId="77777777" w:rsidR="009A1DD2" w:rsidRDefault="00F20251">
      <w:pPr>
        <w:spacing w:after="120"/>
      </w:pPr>
      <w:r>
        <w:t>The clinical team has selected the House-Brackmann (HB) scale as the primary grading target for this project. HB is summarized below.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955"/>
        <w:gridCol w:w="2116"/>
        <w:gridCol w:w="1648"/>
        <w:gridCol w:w="3305"/>
      </w:tblGrid>
      <w:tr w:rsidR="009A1DD2" w14:paraId="7CB36A8F" w14:textId="77777777" w:rsidTr="001A7FD2">
        <w:trPr>
          <w:tblHeader/>
        </w:trPr>
        <w:tc>
          <w:tcPr>
            <w:tcW w:w="2000" w:type="dxa"/>
            <w:tcBorders>
              <w:top w:val="single" w:sz="1" w:space="0" w:color="B0B0B0"/>
              <w:left w:val="single" w:sz="1" w:space="0" w:color="B0B0B0"/>
              <w:bottom w:val="single" w:sz="1" w:space="0" w:color="B0B0B0"/>
              <w:right w:val="single" w:sz="1" w:space="0" w:color="B0B0B0"/>
            </w:tcBorders>
            <w:vAlign w:val="center"/>
          </w:tcPr>
          <w:p w14:paraId="7CB36A8B" w14:textId="77777777" w:rsidR="009A1DD2" w:rsidRDefault="00F20251">
            <w:r>
              <w:rPr>
                <w:b/>
                <w:bCs/>
                <w:sz w:val="20"/>
                <w:szCs w:val="20"/>
              </w:rPr>
              <w:t>Scale</w:t>
            </w:r>
          </w:p>
        </w:tc>
        <w:tc>
          <w:tcPr>
            <w:tcW w:w="2200" w:type="dxa"/>
            <w:tcBorders>
              <w:top w:val="single" w:sz="1" w:space="0" w:color="B0B0B0"/>
              <w:left w:val="single" w:sz="1" w:space="0" w:color="B0B0B0"/>
              <w:bottom w:val="single" w:sz="1" w:space="0" w:color="B0B0B0"/>
              <w:right w:val="single" w:sz="1" w:space="0" w:color="B0B0B0"/>
            </w:tcBorders>
            <w:vAlign w:val="center"/>
          </w:tcPr>
          <w:p w14:paraId="7CB36A8C" w14:textId="77777777" w:rsidR="009A1DD2" w:rsidRDefault="00F20251">
            <w:r>
              <w:rPr>
                <w:b/>
                <w:bCs/>
                <w:sz w:val="20"/>
                <w:szCs w:val="20"/>
              </w:rPr>
              <w:t>Output</w:t>
            </w:r>
          </w:p>
        </w:tc>
        <w:tc>
          <w:tcPr>
            <w:tcW w:w="1700" w:type="dxa"/>
            <w:tcBorders>
              <w:top w:val="single" w:sz="1" w:space="0" w:color="B0B0B0"/>
              <w:left w:val="single" w:sz="1" w:space="0" w:color="B0B0B0"/>
              <w:bottom w:val="single" w:sz="1" w:space="0" w:color="B0B0B0"/>
              <w:right w:val="single" w:sz="1" w:space="0" w:color="B0B0B0"/>
            </w:tcBorders>
            <w:vAlign w:val="center"/>
          </w:tcPr>
          <w:p w14:paraId="7CB36A8D" w14:textId="77777777" w:rsidR="009A1DD2" w:rsidRDefault="00F20251">
            <w:r>
              <w:rPr>
                <w:b/>
                <w:bCs/>
                <w:sz w:val="20"/>
                <w:szCs w:val="20"/>
              </w:rPr>
              <w:t>Human IRR</w:t>
            </w:r>
          </w:p>
        </w:tc>
        <w:tc>
          <w:tcPr>
            <w:tcW w:w="3460" w:type="dxa"/>
            <w:tcBorders>
              <w:top w:val="single" w:sz="1" w:space="0" w:color="B0B0B0"/>
              <w:left w:val="single" w:sz="1" w:space="0" w:color="B0B0B0"/>
              <w:bottom w:val="single" w:sz="1" w:space="0" w:color="B0B0B0"/>
              <w:right w:val="single" w:sz="1" w:space="0" w:color="B0B0B0"/>
            </w:tcBorders>
            <w:vAlign w:val="center"/>
          </w:tcPr>
          <w:p w14:paraId="7CB36A8E" w14:textId="77777777" w:rsidR="009A1DD2" w:rsidRDefault="00F20251">
            <w:r>
              <w:rPr>
                <w:b/>
                <w:bCs/>
                <w:sz w:val="20"/>
                <w:szCs w:val="20"/>
              </w:rPr>
              <w:t>Notes</w:t>
            </w:r>
          </w:p>
        </w:tc>
      </w:tr>
      <w:tr w:rsidR="009A1DD2" w14:paraId="7CB36A99" w14:textId="77777777">
        <w:tc>
          <w:tcPr>
            <w:tcW w:w="2000" w:type="dxa"/>
            <w:tcBorders>
              <w:top w:val="single" w:sz="1" w:space="0" w:color="B0B0B0"/>
              <w:left w:val="single" w:sz="1" w:space="0" w:color="B0B0B0"/>
              <w:bottom w:val="single" w:sz="1" w:space="0" w:color="B0B0B0"/>
              <w:right w:val="single" w:sz="1" w:space="0" w:color="B0B0B0"/>
            </w:tcBorders>
          </w:tcPr>
          <w:p w14:paraId="7CB36A95" w14:textId="77777777" w:rsidR="009A1DD2" w:rsidRDefault="00F20251">
            <w:r>
              <w:rPr>
                <w:b/>
                <w:bCs/>
                <w:sz w:val="20"/>
                <w:szCs w:val="20"/>
              </w:rPr>
              <w:t>House-Brackmann (HB)</w:t>
            </w:r>
          </w:p>
        </w:tc>
        <w:tc>
          <w:tcPr>
            <w:tcW w:w="2200" w:type="dxa"/>
            <w:tcBorders>
              <w:top w:val="single" w:sz="1" w:space="0" w:color="B0B0B0"/>
              <w:left w:val="single" w:sz="1" w:space="0" w:color="B0B0B0"/>
              <w:bottom w:val="single" w:sz="1" w:space="0" w:color="B0B0B0"/>
              <w:right w:val="single" w:sz="1" w:space="0" w:color="B0B0B0"/>
            </w:tcBorders>
          </w:tcPr>
          <w:p w14:paraId="7CB36A96" w14:textId="77777777" w:rsidR="009A1DD2" w:rsidRDefault="00F20251">
            <w:r>
              <w:rPr>
                <w:b/>
                <w:bCs/>
                <w:sz w:val="20"/>
                <w:szCs w:val="20"/>
              </w:rPr>
              <w:t>Ordinal grade I to VI</w:t>
            </w:r>
          </w:p>
        </w:tc>
        <w:tc>
          <w:tcPr>
            <w:tcW w:w="1700" w:type="dxa"/>
            <w:tcBorders>
              <w:top w:val="single" w:sz="1" w:space="0" w:color="B0B0B0"/>
              <w:left w:val="single" w:sz="1" w:space="0" w:color="B0B0B0"/>
              <w:bottom w:val="single" w:sz="1" w:space="0" w:color="B0B0B0"/>
              <w:right w:val="single" w:sz="1" w:space="0" w:color="B0B0B0"/>
            </w:tcBorders>
          </w:tcPr>
          <w:p w14:paraId="7CB36A97" w14:textId="77777777" w:rsidR="009A1DD2" w:rsidRDefault="00F20251">
            <w:r>
              <w:rPr>
                <w:b/>
                <w:bCs/>
                <w:sz w:val="20"/>
                <w:szCs w:val="20"/>
              </w:rPr>
              <w:t>Kappa 0.40 to 0.55</w:t>
            </w:r>
          </w:p>
        </w:tc>
        <w:tc>
          <w:tcPr>
            <w:tcW w:w="3460" w:type="dxa"/>
            <w:tcBorders>
              <w:top w:val="single" w:sz="1" w:space="0" w:color="B0B0B0"/>
              <w:left w:val="single" w:sz="1" w:space="0" w:color="B0B0B0"/>
              <w:bottom w:val="single" w:sz="1" w:space="0" w:color="B0B0B0"/>
              <w:right w:val="single" w:sz="1" w:space="0" w:color="B0B0B0"/>
            </w:tcBorders>
          </w:tcPr>
          <w:p w14:paraId="7CB36A98" w14:textId="77777777" w:rsidR="009A1DD2" w:rsidRDefault="00F20251">
            <w:r>
              <w:rPr>
                <w:b/>
                <w:bCs/>
                <w:sz w:val="20"/>
                <w:szCs w:val="20"/>
              </w:rPr>
              <w:t>Older clinical standard. Still widely used, but less reliable</w:t>
            </w:r>
          </w:p>
        </w:tc>
      </w:tr>
    </w:tbl>
    <w:p w14:paraId="7CB36AB0" w14:textId="77777777" w:rsidR="009A1DD2" w:rsidRDefault="00F20251">
      <w:pPr>
        <w:pStyle w:val="Heading2"/>
      </w:pPr>
      <w:r>
        <w:t>3.2 House-Brackmann Action Protocol</w:t>
      </w:r>
    </w:p>
    <w:p w14:paraId="7CB36AB1" w14:textId="66C1A6D0" w:rsidR="009A1DD2" w:rsidRDefault="00B2167E">
      <w:pPr>
        <w:spacing w:after="120"/>
      </w:pPr>
      <w:r>
        <w:t>T</w:t>
      </w:r>
      <w:r w:rsidR="00F20251">
        <w:t>he House-Brackmann scale is a holistic clinician assessment without a single canonically prescribed pose sequence. The data-capture session probes the three motor regions assessed by HB (forehead, eye, mouth) and exposes secondary movement (synkinesis), via the following standard poses. Each pose is held for approximately three seconds, with a brief rest between.</w:t>
      </w:r>
    </w:p>
    <w:p w14:paraId="7CB36AB2" w14:textId="77777777" w:rsidR="009A1DD2" w:rsidRDefault="00F20251">
      <w:pPr>
        <w:spacing w:after="120"/>
      </w:pPr>
      <w:r>
        <w:rPr>
          <w:b/>
          <w:bCs/>
        </w:rPr>
        <w:t xml:space="preserve">Rest. </w:t>
      </w:r>
      <w:r>
        <w:t>Neutral face, eyes open and mouth closed, held for approximately 5 seconds. Provides the resting symmetry baseline.</w:t>
      </w:r>
    </w:p>
    <w:p w14:paraId="7CB36AB3" w14:textId="77777777" w:rsidR="009A1DD2" w:rsidRDefault="00F20251">
      <w:pPr>
        <w:spacing w:after="120"/>
      </w:pPr>
      <w:r>
        <w:rPr>
          <w:b/>
          <w:bCs/>
        </w:rPr>
        <w:t xml:space="preserve">Brow elevation. </w:t>
      </w:r>
      <w:r>
        <w:t>Eyebrows raised maximally. Probes the frontalis muscle, served by the temporal branch of the facial nerve.</w:t>
      </w:r>
    </w:p>
    <w:p w14:paraId="7CB36AB4" w14:textId="77777777" w:rsidR="009A1DD2" w:rsidRDefault="00F20251">
      <w:pPr>
        <w:spacing w:after="120"/>
      </w:pPr>
      <w:r>
        <w:rPr>
          <w:b/>
          <w:bCs/>
        </w:rPr>
        <w:t xml:space="preserve">Light eye closure. </w:t>
      </w:r>
      <w:r>
        <w:t>Eyes closed gently, as if falling asleep. Probes orbicularis oculi and reveals lagophthalmos when present.</w:t>
      </w:r>
    </w:p>
    <w:p w14:paraId="7CB36AB5" w14:textId="77777777" w:rsidR="009A1DD2" w:rsidRDefault="00F20251">
      <w:pPr>
        <w:spacing w:after="120"/>
      </w:pPr>
      <w:r>
        <w:rPr>
          <w:b/>
          <w:bCs/>
        </w:rPr>
        <w:t xml:space="preserve">Forced eye closure. </w:t>
      </w:r>
      <w:r>
        <w:t>Eyes squeezed tightly shut. Tests maximum orbicularis oculi function and exposes synkinesis (involuntary mouth or cheek movement co-occurring with eye closure). This pose is particularly important for distinguishing HB Grade II and III, where synkinesis is the discriminating sign.</w:t>
      </w:r>
    </w:p>
    <w:p w14:paraId="7CB36AB6" w14:textId="77777777" w:rsidR="009A1DD2" w:rsidRDefault="00F20251">
      <w:pPr>
        <w:spacing w:after="120"/>
      </w:pPr>
      <w:r>
        <w:rPr>
          <w:b/>
          <w:bCs/>
        </w:rPr>
        <w:t xml:space="preserve">Open-mouth smile. </w:t>
      </w:r>
      <w:r>
        <w:t>Broad smile with teeth visible. Probes the zygomaticus complex (buccal branch). Commissure deviation is the dominant FP signal at the mouth.</w:t>
      </w:r>
    </w:p>
    <w:p w14:paraId="7CB36AB7" w14:textId="77777777" w:rsidR="009A1DD2" w:rsidRDefault="00F20251">
      <w:pPr>
        <w:spacing w:after="120"/>
      </w:pPr>
      <w:r>
        <w:t>Additional poses such as snarl (nose wrinkle / upper lip lift) and lip pucker may be captured for richer dynamics but are not strictly required for HB grading.</w:t>
      </w:r>
    </w:p>
    <w:p w14:paraId="7CB36AB8" w14:textId="77777777" w:rsidR="009A1DD2" w:rsidRDefault="00F20251">
      <w:pPr>
        <w:pStyle w:val="Heading2"/>
      </w:pPr>
      <w:r>
        <w:t>3.3 House-Brackmann Grading Criteria</w:t>
      </w:r>
    </w:p>
    <w:p w14:paraId="7CB36AB9" w14:textId="77777777" w:rsidR="009A1DD2" w:rsidRDefault="00F20251">
      <w:pPr>
        <w:spacing w:after="120"/>
      </w:pPr>
      <w:r>
        <w:lastRenderedPageBreak/>
        <w:t>The House-Brackmann scale assigns one of six grades based on the holistic appearance during the standard exam. Brief definitions per Brackmann &amp; House (1985):</w:t>
      </w:r>
    </w:p>
    <w:p w14:paraId="7CB36ABA" w14:textId="77777777" w:rsidR="009A1DD2" w:rsidRDefault="00F20251">
      <w:pPr>
        <w:spacing w:after="120"/>
      </w:pPr>
      <w:r>
        <w:rPr>
          <w:b/>
          <w:bCs/>
        </w:rPr>
        <w:t xml:space="preserve">Grade I (Normal). </w:t>
      </w:r>
      <w:r>
        <w:t>Normal symmetric facial function in all areas. No synkinesis, contracture, or spasm.</w:t>
      </w:r>
    </w:p>
    <w:p w14:paraId="7CB36ABB" w14:textId="77777777" w:rsidR="009A1DD2" w:rsidRDefault="00F20251">
      <w:pPr>
        <w:spacing w:after="120"/>
      </w:pPr>
      <w:r>
        <w:rPr>
          <w:b/>
          <w:bCs/>
        </w:rPr>
        <w:t xml:space="preserve">Grade II (Mild dysfunction). </w:t>
      </w:r>
      <w:r>
        <w:t>Slight weakness noticeable only on close inspection. At rest, normal symmetry and tone. Forehead, moderate to good function. Eye, complete closure with minimum effort. Mouth, slight asymmetry with movement. May have very slight synkinesis.</w:t>
      </w:r>
    </w:p>
    <w:p w14:paraId="7CB36ABC" w14:textId="77777777" w:rsidR="009A1DD2" w:rsidRDefault="00F20251">
      <w:pPr>
        <w:spacing w:after="120"/>
      </w:pPr>
      <w:r>
        <w:rPr>
          <w:b/>
          <w:bCs/>
        </w:rPr>
        <w:t xml:space="preserve">Grade III (Moderate dysfunction). </w:t>
      </w:r>
      <w:r>
        <w:t>Obvious but not disfiguring difference between the two sides. At rest, normal symmetry and tone. Forehead, slight to moderate movement. Eye, complete closure with effort. Mouth, slightly weak with maximum effort. Noticeable but not severe synkinesis, contracture, or hemifacial spasm. (This is the boundary where synkinesis becomes a defining feature.)</w:t>
      </w:r>
    </w:p>
    <w:p w14:paraId="7CB36ABD" w14:textId="77777777" w:rsidR="009A1DD2" w:rsidRDefault="00F20251">
      <w:pPr>
        <w:spacing w:after="120"/>
      </w:pPr>
      <w:r>
        <w:rPr>
          <w:b/>
          <w:bCs/>
        </w:rPr>
        <w:t xml:space="preserve">Grade IV (Moderately severe dysfunction). </w:t>
      </w:r>
      <w:r>
        <w:t>Obvious weakness and/or disfiguring asymmetry. At rest, normal symmetry and tone. Forehead, no motion. Eye, incomplete closure. Mouth, asymmetric with maximum effort.</w:t>
      </w:r>
    </w:p>
    <w:p w14:paraId="7CB36ABE" w14:textId="77777777" w:rsidR="009A1DD2" w:rsidRDefault="00F20251">
      <w:pPr>
        <w:spacing w:after="120"/>
      </w:pPr>
      <w:r>
        <w:rPr>
          <w:b/>
          <w:bCs/>
        </w:rPr>
        <w:t xml:space="preserve">Grade V (Severe dysfunction). </w:t>
      </w:r>
      <w:r>
        <w:t>Only barely perceptible motion. At rest, asymmetry is now apparent. Forehead, no motion. Eye, incomplete closure. Mouth, slight movement.</w:t>
      </w:r>
    </w:p>
    <w:p w14:paraId="7CB36ABF" w14:textId="77777777" w:rsidR="009A1DD2" w:rsidRDefault="00F20251">
      <w:pPr>
        <w:spacing w:after="120"/>
      </w:pPr>
      <w:r>
        <w:rPr>
          <w:b/>
          <w:bCs/>
        </w:rPr>
        <w:t xml:space="preserve">Grade VI (Total paralysis). </w:t>
      </w:r>
      <w:r>
        <w:t>No movement. Loss of tone. No synkinesis, contracture, or hemifacial spasm.</w:t>
      </w:r>
    </w:p>
    <w:p w14:paraId="7CB36AC0" w14:textId="77777777" w:rsidR="009A1DD2" w:rsidRDefault="00F20251">
      <w:pPr>
        <w:spacing w:after="120"/>
      </w:pPr>
      <w:r>
        <w:t>The scale focuses on three motor regions (forehead, eye, mouth) and secondary movements (synkinesis, contracture, spasm). Inter-rater reliability is moderate (kappa 0.40 to 0.55), which sets an upper bound on the agreement any model can be expected to achieve against a single clinician.</w:t>
      </w:r>
    </w:p>
    <w:p w14:paraId="7CB36AA9" w14:textId="77777777" w:rsidR="009A1DD2" w:rsidRDefault="00F20251">
      <w:pPr>
        <w:spacing w:after="120"/>
      </w:pPr>
      <w:r>
        <w:t xml:space="preserve"> </w:t>
      </w:r>
    </w:p>
    <w:sectPr w:rsidR="009A1D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7FC"/>
    <w:multiLevelType w:val="hybridMultilevel"/>
    <w:tmpl w:val="0AFCCEF2"/>
    <w:lvl w:ilvl="0" w:tplc="9CD4F3CC">
      <w:start w:val="1"/>
      <w:numFmt w:val="bullet"/>
      <w:lvlText w:val="●"/>
      <w:lvlJc w:val="left"/>
      <w:pPr>
        <w:ind w:left="720" w:hanging="360"/>
      </w:pPr>
    </w:lvl>
    <w:lvl w:ilvl="1" w:tplc="8458AD36">
      <w:start w:val="1"/>
      <w:numFmt w:val="bullet"/>
      <w:lvlText w:val="○"/>
      <w:lvlJc w:val="left"/>
      <w:pPr>
        <w:ind w:left="1440" w:hanging="360"/>
      </w:pPr>
    </w:lvl>
    <w:lvl w:ilvl="2" w:tplc="8820AD30">
      <w:start w:val="1"/>
      <w:numFmt w:val="bullet"/>
      <w:lvlText w:val="■"/>
      <w:lvlJc w:val="left"/>
      <w:pPr>
        <w:ind w:left="2160" w:hanging="360"/>
      </w:pPr>
    </w:lvl>
    <w:lvl w:ilvl="3" w:tplc="B46C2C06">
      <w:start w:val="1"/>
      <w:numFmt w:val="bullet"/>
      <w:lvlText w:val="●"/>
      <w:lvlJc w:val="left"/>
      <w:pPr>
        <w:ind w:left="2880" w:hanging="360"/>
      </w:pPr>
    </w:lvl>
    <w:lvl w:ilvl="4" w:tplc="44B8BD68">
      <w:start w:val="1"/>
      <w:numFmt w:val="bullet"/>
      <w:lvlText w:val="○"/>
      <w:lvlJc w:val="left"/>
      <w:pPr>
        <w:ind w:left="3600" w:hanging="360"/>
      </w:pPr>
    </w:lvl>
    <w:lvl w:ilvl="5" w:tplc="DAA2F2F6">
      <w:start w:val="1"/>
      <w:numFmt w:val="bullet"/>
      <w:lvlText w:val="■"/>
      <w:lvlJc w:val="left"/>
      <w:pPr>
        <w:ind w:left="4320" w:hanging="360"/>
      </w:pPr>
    </w:lvl>
    <w:lvl w:ilvl="6" w:tplc="5178C002">
      <w:start w:val="1"/>
      <w:numFmt w:val="bullet"/>
      <w:lvlText w:val="●"/>
      <w:lvlJc w:val="left"/>
      <w:pPr>
        <w:ind w:left="5040" w:hanging="360"/>
      </w:pPr>
    </w:lvl>
    <w:lvl w:ilvl="7" w:tplc="8CA296FA">
      <w:start w:val="1"/>
      <w:numFmt w:val="bullet"/>
      <w:lvlText w:val="●"/>
      <w:lvlJc w:val="left"/>
      <w:pPr>
        <w:ind w:left="5760" w:hanging="360"/>
      </w:pPr>
    </w:lvl>
    <w:lvl w:ilvl="8" w:tplc="6D443502">
      <w:start w:val="1"/>
      <w:numFmt w:val="bullet"/>
      <w:lvlText w:val="●"/>
      <w:lvlJc w:val="left"/>
      <w:pPr>
        <w:ind w:left="6480" w:hanging="360"/>
      </w:pPr>
    </w:lvl>
  </w:abstractNum>
  <w:abstractNum w:abstractNumId="1" w15:restartNumberingAfterBreak="0">
    <w:nsid w:val="7EBB1714"/>
    <w:multiLevelType w:val="hybridMultilevel"/>
    <w:tmpl w:val="39A85BBA"/>
    <w:lvl w:ilvl="0" w:tplc="56822D1A">
      <w:start w:val="1"/>
      <w:numFmt w:val="bullet"/>
      <w:lvlText w:val="•"/>
      <w:lvlJc w:val="left"/>
      <w:pPr>
        <w:ind w:left="720" w:hanging="360"/>
      </w:pPr>
    </w:lvl>
    <w:lvl w:ilvl="1" w:tplc="B5AE5CFC">
      <w:start w:val="1"/>
      <w:numFmt w:val="bullet"/>
      <w:lvlText w:val="◦"/>
      <w:lvlJc w:val="left"/>
      <w:pPr>
        <w:ind w:left="1440" w:hanging="360"/>
      </w:pPr>
    </w:lvl>
    <w:lvl w:ilvl="2" w:tplc="95FC7440">
      <w:numFmt w:val="decimal"/>
      <w:lvlText w:val=""/>
      <w:lvlJc w:val="left"/>
    </w:lvl>
    <w:lvl w:ilvl="3" w:tplc="46D272AE">
      <w:numFmt w:val="decimal"/>
      <w:lvlText w:val=""/>
      <w:lvlJc w:val="left"/>
    </w:lvl>
    <w:lvl w:ilvl="4" w:tplc="15BC2282">
      <w:numFmt w:val="decimal"/>
      <w:lvlText w:val=""/>
      <w:lvlJc w:val="left"/>
    </w:lvl>
    <w:lvl w:ilvl="5" w:tplc="375C4DAE">
      <w:numFmt w:val="decimal"/>
      <w:lvlText w:val=""/>
      <w:lvlJc w:val="left"/>
    </w:lvl>
    <w:lvl w:ilvl="6" w:tplc="6B2AC5FA">
      <w:numFmt w:val="decimal"/>
      <w:lvlText w:val=""/>
      <w:lvlJc w:val="left"/>
    </w:lvl>
    <w:lvl w:ilvl="7" w:tplc="A54848D6">
      <w:numFmt w:val="decimal"/>
      <w:lvlText w:val=""/>
      <w:lvlJc w:val="left"/>
    </w:lvl>
    <w:lvl w:ilvl="8" w:tplc="A76ED642">
      <w:numFmt w:val="decimal"/>
      <w:lvlText w:val=""/>
      <w:lvlJc w:val="left"/>
    </w:lvl>
  </w:abstractNum>
  <w:num w:numId="1" w16cid:durableId="786432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DD2"/>
    <w:rsid w:val="001A7FD2"/>
    <w:rsid w:val="00417C2A"/>
    <w:rsid w:val="005525AB"/>
    <w:rsid w:val="00630274"/>
    <w:rsid w:val="007A4AC7"/>
    <w:rsid w:val="00855E05"/>
    <w:rsid w:val="008A191E"/>
    <w:rsid w:val="0090575C"/>
    <w:rsid w:val="009A1DD2"/>
    <w:rsid w:val="009C4F13"/>
    <w:rsid w:val="00A7361C"/>
    <w:rsid w:val="00B13D37"/>
    <w:rsid w:val="00B2167E"/>
    <w:rsid w:val="00CE145D"/>
    <w:rsid w:val="00D75994"/>
    <w:rsid w:val="00D95476"/>
    <w:rsid w:val="00F2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6A20"/>
  <w15:docId w15:val="{959E1CA5-3406-FC48-8940-17E8B20C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Qiu, William</cp:lastModifiedBy>
  <cp:revision>13</cp:revision>
  <dcterms:created xsi:type="dcterms:W3CDTF">2026-05-21T15:19:00Z</dcterms:created>
  <dcterms:modified xsi:type="dcterms:W3CDTF">2026-06-02T14:01:00Z</dcterms:modified>
</cp:coreProperties>
</file>