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52"/>
          <w:szCs w:val="52"/>
          <w:rtl w:val="0"/>
        </w:rPr>
        <w:t xml:space="preserve">William Richards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rtl w:val="0"/>
        </w:rPr>
        <w:t xml:space="preserve">Senior Front-End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richardsw2017@gmail.com  |  (801) 755-8538  |  </w:t>
      </w:r>
      <w:hyperlink r:id="rId6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linkedin.com/in/richardsw</w:t>
        </w:r>
      </w:hyperlink>
      <w:r w:rsidDel="00000000" w:rsidR="00000000" w:rsidRPr="00000000">
        <w:rPr>
          <w:color w:val="6b7280"/>
          <w:sz w:val="20"/>
          <w:szCs w:val="20"/>
          <w:rtl w:val="0"/>
        </w:rPr>
        <w:t xml:space="preserve">  |  </w:t>
      </w:r>
      <w:hyperlink r:id="rId7">
        <w:r w:rsidDel="00000000" w:rsidR="00000000" w:rsidRPr="00000000">
          <w:rPr>
            <w:color w:val="1a56db"/>
            <w:sz w:val="20"/>
            <w:szCs w:val="20"/>
            <w:u w:val="single"/>
            <w:rtl w:val="0"/>
          </w:rPr>
          <w:t xml:space="preserve">willrichards.dev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Software Engineer with 9 years of experience, including 7 years specializing in front-end development and 5 years building enterprise-scale web applications for Fortune 500 clients.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Led front-end architecture on an AI governance platform at ModelOp, expanding scope into Python SDK development, test automation infrastructure, and cloud deployments. Deep expertise in Angular and TypeScript; actively working in React for modern full-stack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Senior Front-End Engineer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ModelOp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Apr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Owned front-end architecture end-to-end for an AI governance platform serving Fortune 100 clients, leading feature delivery across Angular 17+, TypeScript, RxJS, NgRx, and SCSS with zero critical regressions across major releases.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 performance and accessibility overhaul: achieved WCAG 2.2 AA compliance and 320px responsiveness while cutting initial load time 40% and bundle size 60% via Lazy Loading and Tree Shaking.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Introduced Tailwind CSS and a token-based design system (SCSS + Figma Tokens Studio) across a 5-engineer front-end team, standardizing styling conventions and eliminating a class of style-related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test automation SDK in Python abstracting common UI workflows into reusable, composable functions, enabling scalable pytest/Selenium test authoring; automated 20 of 400 manual regression tests as an initial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Contributed Spring Data JPA repository methods using derived query conventions; collaborated across Docker and Kubernetes environments to diagnose and resolve production issues alongside Java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change detection to a zoneless, signal-based architecture, eliminating Zone.js overhead and reducing unnecessary CD cycles; measured runtime improvements via Lighthouse, yielding meaningful reductions in Total Blocking Time (TBT).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Drove adoption of Chart.js, Angular 17, and AI development tooling by presenting technical roadmaps to the Director of UI/UX, VP of Product, and 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Web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May 2019 – 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Built a genomic pedigree visualization platform with Vue, D3, and Node.js; leveraged Vuex, Web Workers, and OffscreenCanvas for high-interactivity rendering.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Deployed in a secure AWS environment using OAuth 2.0, CloudFormation, and IAM policies for consistent, auditable provisioning.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360"/>
        </w:tabs>
        <w:spacing w:after="2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rtl w:val="0"/>
        </w:rPr>
        <w:t xml:space="preserve">Software Developer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color w:val="6b7280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color w:val="1a56db"/>
          <w:sz w:val="21"/>
          <w:szCs w:val="21"/>
          <w:rtl w:val="0"/>
        </w:rPr>
        <w:t xml:space="preserve">University of Utah – Dept. of Human Genetics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Jun 2017 – Apr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Refactored genomic variant-detection pipelines in C++11/CMake, achieving a 10× build-time reduction; built high-throughput ALU detection tools using FASTAHACK, MINIMAP2, and lock-free hash tables.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40" w:line="240" w:lineRule="auto"/>
        <w:ind w:left="360" w:hanging="2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color w:val="374151"/>
          <w:sz w:val="20"/>
          <w:szCs w:val="20"/>
          <w:rtl w:val="0"/>
        </w:rPr>
        <w:t xml:space="preserve">Trained TensorFlow CNN classifiers to detect tissue contamination in xenograft genomic data, achieving 92% accuracy for downstream oncological research.</w:t>
      </w:r>
    </w:p>
    <w:p w:rsidR="00000000" w:rsidDel="00000000" w:rsidP="00000000" w:rsidRDefault="00000000" w:rsidRPr="00000000" w14:paraId="00000019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20" w:before="60" w:line="240" w:lineRule="auto"/>
        <w:rPr>
          <w:color w:val="374151"/>
          <w:sz w:val="20"/>
          <w:szCs w:val="20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Blotify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React, Next.js  |  Automated western blot and cytokine array quantification; deployed and actively used as a production research tool at a university lab  |  </w:t>
      </w:r>
      <w:hyperlink r:id="rId8">
        <w:r w:rsidDel="00000000" w:rsidR="00000000" w:rsidRPr="00000000">
          <w:rPr>
            <w:sz w:val="20"/>
            <w:szCs w:val="20"/>
            <w:rtl w:val="0"/>
          </w:rPr>
          <w:t xml:space="preserve">blotify.dev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7760"/>
        <w:tblGridChange w:id="0">
          <w:tblGrid>
            <w:gridCol w:w="1600"/>
            <w:gridCol w:w="7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TypeScript, JavaScript (ES6+), Python 3, C++11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Angular 17+, React, Vue, Node.js, RxJS, NgRx, Redux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Styling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SCSS, Tailwind CSS, Material Design, Design Tokens, Figma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Vitest, Jasmine, Jest, Selenium, Playwright, Lighthouse, Axe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Tools &amp; 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Git, Webpack, Vite, Docker, AWS, ESLint, D3.js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11827"/>
                <w:sz w:val="20"/>
                <w:szCs w:val="20"/>
                <w:rtl w:val="0"/>
              </w:rPr>
              <w:t xml:space="preserve">Standards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374151"/>
                <w:sz w:val="20"/>
                <w:szCs w:val="20"/>
                <w:rtl w:val="0"/>
              </w:rPr>
              <w:t xml:space="preserve">WCAG 2.2 AA, Atomic Design, Component-Driven Dev, Agile / Scrum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lin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1a56db" w:space="0" w:sz="6" w:val="single"/>
        </w:pBdr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a56db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9360"/>
        </w:tabs>
        <w:spacing w:before="60" w:line="240" w:lineRule="auto"/>
        <w:rPr>
          <w:rFonts w:ascii="Calibri" w:cs="Calibri" w:eastAsia="Calibri" w:hAnsi="Calibri"/>
          <w:b w:val="1"/>
          <w:bCs w:val="1"/>
          <w:color w:val="3d85cc"/>
          <w:sz w:val="48"/>
          <w:szCs w:val="48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Bachelor of Arts, Computer Science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|  Carleton College, Northfield, MN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2013 –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right" w:leader="none" w:pos="9360"/>
        </w:tabs>
        <w:spacing w:after="20" w:before="60" w:line="240" w:lineRule="auto"/>
        <w:rPr>
          <w:b w:val="1"/>
          <w:bCs w:val="1"/>
          <w:color w:val="111827"/>
          <w:sz w:val="52"/>
          <w:szCs w:val="52"/>
        </w:rPr>
      </w:pP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AWS Certified Cloud Practitioner  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|</w:t>
      </w:r>
      <w:r w:rsidDel="00000000" w:rsidR="00000000" w:rsidRPr="00000000">
        <w:rPr>
          <w:b w:val="1"/>
          <w:bCs w:val="1"/>
          <w:color w:val="111827"/>
          <w:sz w:val="21"/>
          <w:szCs w:val="21"/>
          <w:rtl w:val="0"/>
        </w:rPr>
        <w:t xml:space="preserve">  AWS Certified AI Practitioner</w:t>
      </w:r>
      <w:r w:rsidDel="00000000" w:rsidR="00000000" w:rsidRPr="00000000">
        <w:rPr>
          <w:color w:val="374151"/>
          <w:sz w:val="20"/>
          <w:szCs w:val="20"/>
          <w:rtl w:val="0"/>
        </w:rPr>
        <w:t xml:space="preserve">  ·  </w:t>
        <w:tab/>
      </w: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2026 – 2029</w:t>
      </w:r>
      <w:r w:rsidDel="00000000" w:rsidR="00000000" w:rsidRPr="00000000">
        <w:rPr>
          <w:rtl w:val="0"/>
        </w:rPr>
      </w:r>
    </w:p>
    <w:sectPr>
      <w:pgSz w:h="15840" w:w="12240" w:orient="portrait"/>
      <w:pgMar w:bottom="0" w:top="629.3700000000001" w:left="1077.3" w:right="1077.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▸"/>
      <w:lvlJc w:val="left"/>
      <w:pPr>
        <w:ind w:left="360" w:hanging="2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richardsw" TargetMode="External"/><Relationship Id="rId7" Type="http://schemas.openxmlformats.org/officeDocument/2006/relationships/hyperlink" Target="https://willrichards.dev" TargetMode="External"/><Relationship Id="rId8" Type="http://schemas.openxmlformats.org/officeDocument/2006/relationships/hyperlink" Target="https://www.blotif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