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11827"/>
          <w:sz w:val="52"/>
          <w:szCs w:val="52"/>
          <w:rtl w:val="0"/>
        </w:rPr>
        <w:t xml:space="preserve">William Richards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a56db"/>
          <w:rtl w:val="0"/>
        </w:rPr>
        <w:t xml:space="preserve">Senior Front-End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richardsw2017@gmail.com  |  (801) 755-8538  |  </w:t>
      </w:r>
      <w:hyperlink r:id="rId6">
        <w:r w:rsidDel="00000000" w:rsidR="00000000" w:rsidRPr="00000000">
          <w:rPr>
            <w:color w:val="1a56db"/>
            <w:sz w:val="20"/>
            <w:szCs w:val="20"/>
            <w:u w:val="single"/>
            <w:rtl w:val="0"/>
          </w:rPr>
          <w:t xml:space="preserve">linkedin.com/in/richardsw</w:t>
        </w:r>
      </w:hyperlink>
      <w:r w:rsidDel="00000000" w:rsidR="00000000" w:rsidRPr="00000000">
        <w:rPr>
          <w:color w:val="6b7280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color w:val="1a56db"/>
            <w:sz w:val="20"/>
            <w:szCs w:val="20"/>
            <w:u w:val="single"/>
            <w:rtl w:val="0"/>
          </w:rPr>
          <w:t xml:space="preserve">willrichards.dev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6db" w:space="0" w:sz="6" w:val="single"/>
        </w:pBd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a56db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Software Engineer with 9 years of experience, including 7 years specializing in front-end development and 5 years building enterprise-scale web applications for Fortune 500 clients.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Led front-end architecture on an AI governance platform at ModelOp, expanding scope into Python SDK development, test automation infrastructure, and cloud deployments. Deep expertise in Angular and TypeScript; actively working in React for modern full-stack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a56db" w:space="0" w:sz="6" w:val="single"/>
        </w:pBd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a56db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after="2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Senior Front-End Engineer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|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1a56db"/>
          <w:sz w:val="21"/>
          <w:szCs w:val="21"/>
          <w:rtl w:val="0"/>
        </w:rPr>
        <w:t xml:space="preserve">ModelOp</w:t>
        <w:tab/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Apr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Owned front-end architecture end-to-end for an AI governance platform serving Fortune 100 clients, leading feature delivery across Angular 17+, TypeScript, RxJS, NgRx, and SCSS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Drove a performance and accessibility overhaul: achieved WCAG 2.2 AA compliance and 320px responsiveness while cutting initial load time 40% and bundle size 60% via Lazy Loading and Tree Shaking.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Introduced Tailwind CSS and a token-based design system (SCSS + Figma Tokens Studio) across a 5-engineer front-end team, standardizing styling conventions and eliminating a class of style-related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Built a test automation SDK in Python abstracting common UI workflows into reusable, composable functions, enabling scalable pytest/Selenium test authoring; automated 20 of 400 manual regression tests as an initial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Contributed Spring Data JPA repository methods using derived query conventions; collaborated across Docker and Kubernetes environments to diagnose and resolve production issues alongside Java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Refactored change detection to a zoneless, signal-based architecture, eliminating Zone.js overhead and reducing unnecessary CD cycles; measured runtime improvements via Lighthouse, yielding meaningful reductions in Total Blocking Time (TBT).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Drove adoption of Chart.js, Angular 17, and AI development tooling by presenting technical roadmaps to the Director of UI/UX, VP of Product, and 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2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Web Developer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|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1a56db"/>
          <w:sz w:val="21"/>
          <w:szCs w:val="21"/>
          <w:rtl w:val="0"/>
        </w:rPr>
        <w:t xml:space="preserve">University of Utah – Dept. of Human Genetics</w:t>
        <w:tab/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May 2019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Built a genomic pedigree visualization platform with Vue, D3, and Node.js; leveraged Vuex, Web Workers, and OffscreenCanvas for high-interactivity rendering.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Deployed in a secure AWS environment using OAuth 2.0, CloudFormation, and IAM policies for consistent, auditable provisioning.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2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Software Developer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|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1a56db"/>
          <w:sz w:val="21"/>
          <w:szCs w:val="21"/>
          <w:rtl w:val="0"/>
        </w:rPr>
        <w:t xml:space="preserve">University of Utah – Dept. of Human Genetics</w:t>
        <w:tab/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Jun 2017 – Apr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Refactored genomic variant-detection pipelines in C++11/CMake, achieving a 10× build-time reduction; built high-throughput ALU detection tools using FASTAHACK, MINIMAP2, and lock-free hash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line="240" w:lineRule="auto"/>
        <w:ind w:left="360" w:hanging="2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Trained TensorFlow CNN classifiers to detect tissue contamination in xenograft genomic data, achieving 92% accuracy for downstream oncological research.</w:t>
      </w:r>
    </w:p>
    <w:p w:rsidR="00000000" w:rsidDel="00000000" w:rsidP="00000000" w:rsidRDefault="00000000" w:rsidRPr="00000000" w14:paraId="00000019">
      <w:pPr>
        <w:pBdr>
          <w:bottom w:color="1a56db" w:space="0" w:sz="6" w:val="single"/>
        </w:pBd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a56db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before="60" w:line="240" w:lineRule="auto"/>
        <w:rPr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111827"/>
          <w:sz w:val="21"/>
          <w:szCs w:val="21"/>
          <w:rtl w:val="0"/>
        </w:rPr>
        <w:t xml:space="preserve">Blotify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|  React, Next.js  |  Automated western blot and cytokine array quantification; deployed and actively used as a production research tool at a university lab  |  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blotify.dev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a56db" w:space="0" w:sz="6" w:val="single"/>
        </w:pBd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a56db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TypeScript, JavaScript (ES6+), Python 3, C++11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Angular 17+, React, Vue, Node.js, RxJS, NgRx, Redux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SCSS, Tailwind CSS, Material Design, Design Tokens, 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Vitest, Jasmine, Jest, Selenium, Playwright, Lighthouse, Axe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Tools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Git, Webpack, Vite, Docker, AWS, ESLint, D3.js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WCAG 2.2 AA, Atomic Design, Component-Driven Dev, Agile / Scrum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a56db" w:space="0" w:sz="6" w:val="single"/>
        </w:pBd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a56db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spacing w:before="60" w:line="240" w:lineRule="auto"/>
        <w:rPr>
          <w:rFonts w:ascii="Calibri" w:cs="Calibri" w:eastAsia="Calibri" w:hAnsi="Calibri"/>
          <w:b w:val="1"/>
          <w:bCs w:val="1"/>
          <w:color w:val="3d85cc"/>
          <w:sz w:val="48"/>
          <w:szCs w:val="48"/>
        </w:rPr>
      </w:pPr>
      <w:r w:rsidDel="00000000" w:rsidR="00000000" w:rsidRPr="00000000">
        <w:rPr>
          <w:b w:val="1"/>
          <w:bCs w:val="1"/>
          <w:color w:val="111827"/>
          <w:sz w:val="21"/>
          <w:szCs w:val="21"/>
          <w:rtl w:val="0"/>
        </w:rPr>
        <w:t xml:space="preserve">Bachelor of Arts, Computer Science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|  Carleton College, Northfield, MN</w:t>
        <w:tab/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2013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20" w:before="60" w:line="240" w:lineRule="auto"/>
        <w:rPr>
          <w:b w:val="1"/>
          <w:bCs w:val="1"/>
          <w:color w:val="111827"/>
          <w:sz w:val="52"/>
          <w:szCs w:val="52"/>
        </w:rPr>
      </w:pPr>
      <w:r w:rsidDel="00000000" w:rsidR="00000000" w:rsidRPr="00000000">
        <w:rPr>
          <w:b w:val="1"/>
          <w:bCs w:val="1"/>
          <w:color w:val="111827"/>
          <w:sz w:val="21"/>
          <w:szCs w:val="21"/>
          <w:rtl w:val="0"/>
        </w:rPr>
        <w:t xml:space="preserve">AWS Certified Cloud Practitioner 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|</w:t>
      </w:r>
      <w:r w:rsidDel="00000000" w:rsidR="00000000" w:rsidRPr="00000000">
        <w:rPr>
          <w:b w:val="1"/>
          <w:bCs w:val="1"/>
          <w:color w:val="111827"/>
          <w:sz w:val="21"/>
          <w:szCs w:val="21"/>
          <w:rtl w:val="0"/>
        </w:rPr>
        <w:t xml:space="preserve">  AWS Certified AI Practitioner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·  </w:t>
        <w:tab/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2026 – 2029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629.3700000000001" w:left="1077.3" w:right="1077.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36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richardsw" TargetMode="External"/><Relationship Id="rId7" Type="http://schemas.openxmlformats.org/officeDocument/2006/relationships/hyperlink" Target="https://willrichards.dev" TargetMode="External"/><Relationship Id="rId8" Type="http://schemas.openxmlformats.org/officeDocument/2006/relationships/hyperlink" Target="https://www.blotif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